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地方政府债务情况说明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经市政府批准，我区</w:t>
      </w:r>
      <w:r>
        <w:rPr>
          <w:rFonts w:hint="eastAsia"/>
          <w:sz w:val="32"/>
          <w:szCs w:val="32"/>
          <w:lang w:val="en-US" w:eastAsia="zh-CN"/>
        </w:rPr>
        <w:t>2017年地方政府债务限额为547,000万元，一般债务限额为400,000万元，专项债务限额为127,000万元。2017年置换债券238,511.6万元，化解政府债务12,523.89万元，年末全区政府债务余额为508,396.77万元，其中：一般债务余额为386,947.09万元，专项债务余额为121,449.68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5756"/>
    <w:rsid w:val="4E285756"/>
    <w:rsid w:val="51550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2017-10-31T08:09:00Z</dcterms:created>
  <dc:creator>Administrator</dc:creator>
  <cp:lastModifiedBy>Administrator</cp:lastModifiedBy>
  <cp:lastPrinted>2017-10-31T08:23:00Z</cp:lastPrinted>
  <dcterms:modified xsi:type="dcterms:W3CDTF">2018-09-11T01:15:20Z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