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楷体_GB2312" w:eastAsia="楷体_GB2312"/>
          <w:sz w:val="44"/>
          <w:szCs w:val="44"/>
        </w:rPr>
      </w:pPr>
      <w:r>
        <w:rPr>
          <w:rFonts w:hint="eastAsia" w:ascii="楷体_GB2312" w:eastAsia="楷体_GB2312"/>
          <w:sz w:val="44"/>
          <w:szCs w:val="44"/>
        </w:rPr>
        <w:t>2014年度（盘锦市双台子区人民法院）部门决算信息公开情况说明</w:t>
      </w:r>
    </w:p>
    <w:p>
      <w:pPr>
        <w:jc w:val="center"/>
        <w:rPr>
          <w:rFonts w:ascii="楷体_GB2312" w:eastAsia="楷体_GB2312"/>
          <w:sz w:val="30"/>
          <w:szCs w:val="30"/>
        </w:rPr>
      </w:pPr>
    </w:p>
    <w:p>
      <w:pPr>
        <w:jc w:val="center"/>
        <w:rPr>
          <w:rFonts w:ascii="楷体" w:hAnsi="楷体" w:eastAsia="楷体" w:cs="Times New Roman"/>
          <w:sz w:val="30"/>
          <w:szCs w:val="30"/>
        </w:rPr>
      </w:pP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 xml:space="preserve">一、主要职能 </w:t>
      </w:r>
      <w:r>
        <w:rPr>
          <w:rFonts w:ascii="楷体" w:hAnsi="楷体" w:eastAsia="楷体"/>
          <w:sz w:val="30"/>
          <w:szCs w:val="30"/>
        </w:rPr>
        <w:t>人民法院是中华人民共和国的国家审判机关，中华人民共和国设立最高人民法院、地方各级人民法院和军事法院等专门人民法院。其审理案件，除法律规定的特别情况外，一律公开进行。被告人有权获得辩护。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二、机构编制情况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行政编制56人 ，事业4人(其中人才储备中心编制3人，环卫处编制1人)，临时聘用人员25人。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 xml:space="preserve">三、部门预算单位构成 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 xml:space="preserve"> </w:t>
      </w:r>
      <w:r>
        <w:rPr>
          <w:rFonts w:hint="eastAsia" w:ascii="楷体" w:hAnsi="楷体" w:eastAsia="楷体"/>
          <w:sz w:val="30"/>
          <w:szCs w:val="30"/>
          <w:lang w:val="en-US" w:eastAsia="zh-CN"/>
        </w:rPr>
        <w:t>独立核算机构</w:t>
      </w:r>
      <w:bookmarkStart w:id="0" w:name="_GoBack"/>
      <w:bookmarkEnd w:id="0"/>
      <w:r>
        <w:rPr>
          <w:rFonts w:hint="eastAsia" w:ascii="楷体" w:hAnsi="楷体" w:eastAsia="楷体"/>
          <w:sz w:val="30"/>
          <w:szCs w:val="30"/>
        </w:rPr>
        <w:t>。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四、2014年度公共预算收入支出决算总体情况说明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2014年度收入总计</w:t>
      </w:r>
      <w:r>
        <w:rPr>
          <w:rFonts w:hint="eastAsia" w:ascii="楷体" w:hAnsi="楷体" w:eastAsia="楷体"/>
          <w:sz w:val="30"/>
          <w:szCs w:val="30"/>
        </w:rPr>
        <w:t>572.2</w:t>
      </w:r>
      <w:r>
        <w:rPr>
          <w:rFonts w:hint="eastAsia" w:ascii="楷体" w:hAnsi="楷体" w:eastAsia="楷体" w:cs="Times New Roman"/>
          <w:sz w:val="30"/>
          <w:szCs w:val="30"/>
        </w:rPr>
        <w:t>万元，支出总计</w:t>
      </w:r>
      <w:r>
        <w:rPr>
          <w:rFonts w:hint="eastAsia" w:ascii="楷体" w:hAnsi="楷体" w:eastAsia="楷体"/>
          <w:sz w:val="30"/>
          <w:szCs w:val="30"/>
        </w:rPr>
        <w:t>572.2</w:t>
      </w:r>
      <w:r>
        <w:rPr>
          <w:rFonts w:hint="eastAsia" w:ascii="楷体" w:hAnsi="楷体" w:eastAsia="楷体" w:cs="Times New Roman"/>
          <w:sz w:val="30"/>
          <w:szCs w:val="30"/>
        </w:rPr>
        <w:t>万元。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五、2014年度公共预算收入决算情况说明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本年收入合计</w:t>
      </w:r>
      <w:r>
        <w:rPr>
          <w:rFonts w:hint="eastAsia" w:ascii="楷体" w:hAnsi="楷体" w:eastAsia="楷体"/>
          <w:sz w:val="30"/>
          <w:szCs w:val="30"/>
        </w:rPr>
        <w:t>572.2</w:t>
      </w:r>
      <w:r>
        <w:rPr>
          <w:rFonts w:hint="eastAsia" w:ascii="楷体" w:hAnsi="楷体" w:eastAsia="楷体" w:cs="Times New Roman"/>
          <w:sz w:val="30"/>
          <w:szCs w:val="30"/>
        </w:rPr>
        <w:t>万元，全是财政拨款收入。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六、2014年度公共预算支出决算情况说明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本年支出合计</w:t>
      </w:r>
      <w:r>
        <w:rPr>
          <w:rFonts w:hint="eastAsia" w:ascii="楷体" w:hAnsi="楷体" w:eastAsia="楷体"/>
          <w:sz w:val="30"/>
          <w:szCs w:val="30"/>
        </w:rPr>
        <w:t>572.2</w:t>
      </w:r>
      <w:r>
        <w:rPr>
          <w:rFonts w:hint="eastAsia" w:ascii="楷体" w:hAnsi="楷体" w:eastAsia="楷体" w:cs="Times New Roman"/>
          <w:sz w:val="30"/>
          <w:szCs w:val="30"/>
        </w:rPr>
        <w:t>万元，其中：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工资福利支出307.05万元，商品和服务支出100.19万元，对各人和家庭的补助支出123.13万元，其他资本性支出41.83万元。</w:t>
      </w:r>
    </w:p>
    <w:p>
      <w:pPr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 xml:space="preserve">七、单位三公经费决算情况说明    </w:t>
      </w:r>
      <w:r>
        <w:rPr>
          <w:rFonts w:hint="eastAsia" w:ascii="楷体" w:hAnsi="楷体" w:eastAsia="楷体" w:cs="Times New Roman"/>
          <w:sz w:val="30"/>
          <w:szCs w:val="30"/>
        </w:rPr>
        <w:br w:type="textWrapping"/>
      </w:r>
      <w:r>
        <w:rPr>
          <w:rFonts w:hint="eastAsia" w:ascii="楷体" w:hAnsi="楷体" w:eastAsia="楷体" w:cs="Times New Roman"/>
          <w:sz w:val="30"/>
          <w:szCs w:val="30"/>
        </w:rPr>
        <w:t xml:space="preserve">       （一）因公出国（境）预算。我单位不存在因公出国（境）的情况，此项预算无。</w:t>
      </w:r>
      <w:r>
        <w:rPr>
          <w:rFonts w:hint="eastAsia" w:ascii="楷体" w:hAnsi="楷体" w:eastAsia="楷体" w:cs="Times New Roman"/>
          <w:sz w:val="30"/>
          <w:szCs w:val="30"/>
        </w:rPr>
        <w:br w:type="textWrapping"/>
      </w:r>
      <w:r>
        <w:rPr>
          <w:rFonts w:hint="eastAsia" w:ascii="楷体" w:hAnsi="楷体" w:eastAsia="楷体" w:cs="Times New Roman"/>
          <w:sz w:val="30"/>
          <w:szCs w:val="30"/>
        </w:rPr>
        <w:t xml:space="preserve">       （二）公务用车购置及运行费15.58万元   </w:t>
      </w:r>
    </w:p>
    <w:p>
      <w:pPr>
        <w:ind w:firstLine="450" w:firstLineChars="15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 xml:space="preserve">    （三）无公务招待费用。</w:t>
      </w:r>
    </w:p>
    <w:p>
      <w:pPr/>
    </w:p>
    <w:p>
      <w:pPr/>
    </w:p>
    <w:p>
      <w:pPr/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09A0"/>
    <w:rsid w:val="000B3704"/>
    <w:rsid w:val="00640849"/>
    <w:rsid w:val="00844217"/>
    <w:rsid w:val="008B09A0"/>
    <w:rsid w:val="00BC2160"/>
    <w:rsid w:val="5E3F7E8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456</Characters>
  <Lines>3</Lines>
  <Paragraphs>1</Paragraphs>
  <TotalTime>0</TotalTime>
  <ScaleCrop>false</ScaleCrop>
  <LinksUpToDate>false</LinksUpToDate>
  <CharactersWithSpaces>535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2016-05-26T07:37:00Z</dcterms:created>
  <dc:creator>user</dc:creator>
  <cp:lastModifiedBy>Administrator</cp:lastModifiedBy>
  <dcterms:modified xsi:type="dcterms:W3CDTF">2016-05-29T03:14:30Z</dcterms:modified>
  <dc:title>2014年度（盘锦市双台子区人民法院）部门决算信息公开情况说明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