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354EF8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2020-02-16T01:28:53Z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