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附件2</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兴隆台区教育局随机抽查事项清单</w:t>
      </w:r>
    </w:p>
    <w:p>
      <w:pPr>
        <w:jc w:val="center"/>
        <w:rPr>
          <w:rFonts w:hint="eastAsia" w:asciiTheme="majorEastAsia" w:hAnsiTheme="majorEastAsia" w:eastAsiaTheme="majorEastAsia" w:cstheme="majorEastAsia"/>
          <w:b/>
          <w:bCs/>
          <w:sz w:val="36"/>
          <w:szCs w:val="36"/>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435"/>
        <w:gridCol w:w="705"/>
        <w:gridCol w:w="765"/>
        <w:gridCol w:w="705"/>
        <w:gridCol w:w="915"/>
        <w:gridCol w:w="3855"/>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部门</w:t>
            </w:r>
          </w:p>
        </w:tc>
        <w:tc>
          <w:tcPr>
            <w:tcW w:w="43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检查主体</w:t>
            </w:r>
          </w:p>
        </w:tc>
        <w:tc>
          <w:tcPr>
            <w:tcW w:w="7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检查事项</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检查内容</w:t>
            </w:r>
          </w:p>
        </w:tc>
        <w:tc>
          <w:tcPr>
            <w:tcW w:w="9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检查事项类别</w:t>
            </w:r>
          </w:p>
        </w:tc>
        <w:tc>
          <w:tcPr>
            <w:tcW w:w="385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检查依据</w:t>
            </w:r>
          </w:p>
        </w:tc>
        <w:tc>
          <w:tcPr>
            <w:tcW w:w="48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61" w:type="dxa"/>
            <w:vMerge w:val="restar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兴隆台区教育局</w:t>
            </w:r>
          </w:p>
        </w:tc>
        <w:tc>
          <w:tcPr>
            <w:tcW w:w="43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学前办</w:t>
            </w:r>
          </w:p>
        </w:tc>
        <w:tc>
          <w:tcPr>
            <w:tcW w:w="7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sz w:val="21"/>
                <w:szCs w:val="21"/>
              </w:rPr>
              <w:t>幼儿园办学资质</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办学许可</w:t>
            </w:r>
          </w:p>
        </w:tc>
        <w:tc>
          <w:tcPr>
            <w:tcW w:w="9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双随机抽查</w:t>
            </w:r>
          </w:p>
        </w:tc>
        <w:tc>
          <w:tcPr>
            <w:tcW w:w="3855" w:type="dxa"/>
            <w:vAlign w:val="top"/>
          </w:tcPr>
          <w:p>
            <w:pPr>
              <w:widowControl/>
              <w:spacing w:line="280" w:lineRule="exact"/>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《辽宁省学前教育条例》第十二条</w:t>
            </w:r>
            <w:r>
              <w:rPr>
                <w:rFonts w:hint="eastAsia" w:asciiTheme="minorEastAsia" w:hAnsiTheme="minorEastAsia" w:cstheme="minorEastAsia"/>
                <w:color w:val="000000"/>
                <w:kern w:val="0"/>
                <w:sz w:val="21"/>
                <w:szCs w:val="21"/>
                <w:lang w:eastAsia="zh-CN"/>
              </w:rPr>
              <w:t>、第十三条</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xml:space="preserve">第十二条  </w:t>
            </w:r>
            <w:r>
              <w:rPr>
                <w:rFonts w:hint="eastAsia" w:asciiTheme="minorEastAsia" w:hAnsiTheme="minorEastAsia" w:eastAsiaTheme="minorEastAsia" w:cstheme="minorEastAsia"/>
                <w:color w:val="000000"/>
                <w:sz w:val="21"/>
                <w:szCs w:val="21"/>
              </w:rPr>
              <w:t>设立幼儿园，应当具备下列基本条件：</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（一）有符合规定的组织机构和章程；</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（二）有符合规定的园长、教师、保育、卫生保健、保安等人员；</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（三）有符合规定标准的保育教育场所以及设施、设备等；</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（四）有必备的办学资金和稳定的经费来源；</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sz w:val="21"/>
                <w:szCs w:val="21"/>
              </w:rPr>
              <w:t>（五）国家和省规定的其他办学条件。</w:t>
            </w:r>
            <w:r>
              <w:rPr>
                <w:rFonts w:hint="eastAsia" w:asciiTheme="minorEastAsia" w:hAnsiTheme="minorEastAsia" w:eastAsiaTheme="minorEastAsia" w:cstheme="minorEastAsia"/>
                <w:b/>
                <w:bCs/>
                <w:color w:val="000000"/>
                <w:sz w:val="21"/>
                <w:szCs w:val="21"/>
              </w:rPr>
              <w:t>第十三条</w:t>
            </w:r>
            <w:r>
              <w:rPr>
                <w:rFonts w:hint="eastAsia" w:asciiTheme="minorEastAsia" w:hAnsiTheme="minorEastAsia" w:eastAsiaTheme="minorEastAsia" w:cstheme="minorEastAsia"/>
                <w:color w:val="000000"/>
                <w:sz w:val="21"/>
                <w:szCs w:val="21"/>
              </w:rPr>
              <w:t>设立幼儿园应当依法向所在地县教育主管部门申请登记注册或者办学许可。未经依法登记注册或者取得办学许可，任何单位和个人不得举办幼儿园或者其他从事学前教育的机构。</w:t>
            </w:r>
          </w:p>
        </w:tc>
        <w:tc>
          <w:tcPr>
            <w:tcW w:w="481"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61"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43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学前办</w:t>
            </w:r>
          </w:p>
        </w:tc>
        <w:tc>
          <w:tcPr>
            <w:tcW w:w="7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sz w:val="21"/>
                <w:szCs w:val="21"/>
              </w:rPr>
              <w:t>幼儿园办学管理</w:t>
            </w:r>
          </w:p>
        </w:tc>
        <w:tc>
          <w:tcPr>
            <w:tcW w:w="705" w:type="dxa"/>
            <w:vAlign w:val="top"/>
          </w:tcPr>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cstheme="minorEastAsia"/>
                <w:sz w:val="21"/>
                <w:szCs w:val="21"/>
                <w:vertAlign w:val="baseline"/>
                <w:lang w:val="en-US" w:eastAsia="zh-CN"/>
              </w:rPr>
            </w:pPr>
          </w:p>
          <w:p>
            <w:pPr>
              <w:jc w:val="both"/>
              <w:rPr>
                <w:rFonts w:hint="eastAsia" w:asciiTheme="minorEastAsia" w:hAnsi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无证举办或违法经营幼儿园治理</w:t>
            </w:r>
          </w:p>
        </w:tc>
        <w:tc>
          <w:tcPr>
            <w:tcW w:w="9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双随机抽查</w:t>
            </w:r>
          </w:p>
        </w:tc>
        <w:tc>
          <w:tcPr>
            <w:tcW w:w="3855" w:type="dxa"/>
            <w:vAlign w:val="top"/>
          </w:tcPr>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《辽宁省学前教育条例》第四十二条——第四十六条</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xml:space="preserve">第四十二条  </w:t>
            </w:r>
            <w:r>
              <w:rPr>
                <w:rFonts w:hint="eastAsia" w:asciiTheme="minorEastAsia" w:hAnsiTheme="minorEastAsia" w:eastAsiaTheme="minorEastAsia" w:cstheme="minorEastAsia"/>
                <w:color w:val="000000"/>
                <w:sz w:val="21"/>
                <w:szCs w:val="21"/>
              </w:rPr>
              <w:t>未经教育主管部门登记注册或者颁发办学许可，擅自举办幼儿园或者其他从事学前教育的机构，由教育主管部门责令停止违法办学行为，并向社会发布警示公告；有违法所得的，没收违法所得；对直接负责的主管人员和其他直接责任人员，依法给予处分。</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xml:space="preserve">第四十三条  </w:t>
            </w:r>
            <w:r>
              <w:rPr>
                <w:rFonts w:hint="eastAsia" w:asciiTheme="minorEastAsia" w:hAnsiTheme="minorEastAsia" w:eastAsiaTheme="minorEastAsia" w:cstheme="minorEastAsia"/>
                <w:color w:val="000000"/>
                <w:sz w:val="21"/>
                <w:szCs w:val="21"/>
              </w:rPr>
              <w:t>幼儿园有下列情形之一的，由教育主管部门责令限期改正，降低其评估等级；逾期拒不改正或者情节严重的，责令暂停办园，处三万元罚款；对直接负责的主管人员和其他直接责任人员建议其主管单位给予处分：</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（一）园舍、设施设备和玩教具等不符合国家和省有关安全、卫生和环保标准，损害儿童身体健康或者威胁儿童安全的；</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（二）提供不符合食品安全和卫生标准的食品、饮用水的；</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（三）未履行安全保护义务，导致发生儿童人身安全事故的。</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xml:space="preserve">第四十四条  </w:t>
            </w:r>
            <w:r>
              <w:rPr>
                <w:rFonts w:hint="eastAsia" w:asciiTheme="minorEastAsia" w:hAnsiTheme="minorEastAsia" w:eastAsiaTheme="minorEastAsia" w:cstheme="minorEastAsia"/>
                <w:color w:val="000000"/>
                <w:sz w:val="21"/>
                <w:szCs w:val="21"/>
              </w:rPr>
              <w:t>幼儿园违反本条例第二十五条第二款规定或者违反规定聘用人员的，由教育主管部门责令限期改正；逾期拒不改正或者情节严重的，降低其评估等级，处一万元罚款；对直接负责的主管人员和其他直接责任人员建议其主管单位给予处分。</w:t>
            </w:r>
          </w:p>
          <w:p>
            <w:pPr>
              <w:pStyle w:val="2"/>
              <w:spacing w:before="0" w:beforeAutospacing="0" w:after="0" w:afterAutospacing="0" w:line="280" w:lineRule="exact"/>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xml:space="preserve">第四十五条  </w:t>
            </w:r>
            <w:r>
              <w:rPr>
                <w:rFonts w:hint="eastAsia" w:asciiTheme="minorEastAsia" w:hAnsiTheme="minorEastAsia" w:eastAsiaTheme="minorEastAsia" w:cstheme="minorEastAsia"/>
                <w:color w:val="000000"/>
                <w:sz w:val="21"/>
                <w:szCs w:val="21"/>
              </w:rPr>
              <w:t>幼儿园教职工违反本条例第二十六条第二款规定或者将儿童交与除家长和受托人以外的无关人员的，由教育主管部门对直接责任人员给予警告，处三千元罚款；情节严重的，建议所在幼儿园给予开除处分或者解除劳动合同，教育主管部门可以依法对教师撤销其教师资格；构成违反治安管理行为的，由公安机关依法处罚；构成犯罪的，依法追究刑事责任。</w:t>
            </w: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color w:val="000000"/>
                <w:sz w:val="21"/>
                <w:szCs w:val="21"/>
              </w:rPr>
              <w:t xml:space="preserve">第四十六条  </w:t>
            </w:r>
            <w:r>
              <w:rPr>
                <w:rFonts w:hint="eastAsia" w:asciiTheme="minorEastAsia" w:hAnsiTheme="minorEastAsia" w:eastAsiaTheme="minorEastAsia" w:cstheme="minorEastAsia"/>
                <w:color w:val="000000"/>
                <w:sz w:val="21"/>
                <w:szCs w:val="21"/>
              </w:rPr>
              <w:t>未经家长事前同意，给儿童服用药品的，由教育主管部门降低幼儿园评估等级，处三万元罚款；对直接负责的主管人员和其他直接责任人员建议其主管单位给予处分。</w:t>
            </w:r>
          </w:p>
        </w:tc>
        <w:tc>
          <w:tcPr>
            <w:tcW w:w="481"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43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职教办</w:t>
            </w:r>
          </w:p>
        </w:tc>
        <w:tc>
          <w:tcPr>
            <w:tcW w:w="7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sz w:val="21"/>
                <w:szCs w:val="21"/>
              </w:rPr>
              <w:t>民办教育培训机构办学资质</w:t>
            </w:r>
          </w:p>
        </w:tc>
        <w:tc>
          <w:tcPr>
            <w:tcW w:w="705" w:type="dxa"/>
            <w:vAlign w:val="top"/>
          </w:tcPr>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办学许可</w:t>
            </w:r>
          </w:p>
        </w:tc>
        <w:tc>
          <w:tcPr>
            <w:tcW w:w="9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双随机抽查</w:t>
            </w:r>
          </w:p>
        </w:tc>
        <w:tc>
          <w:tcPr>
            <w:tcW w:w="3855" w:type="dxa"/>
            <w:vAlign w:val="top"/>
          </w:tcPr>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 xml:space="preserve">第十二条  </w:t>
            </w:r>
            <w:r>
              <w:rPr>
                <w:rFonts w:hint="eastAsia" w:asciiTheme="minorEastAsia" w:hAnsiTheme="minorEastAsia" w:eastAsiaTheme="minorEastAsia" w:cstheme="minorEastAsia"/>
                <w:color w:val="000000"/>
                <w:kern w:val="0"/>
                <w:sz w:val="21"/>
                <w:szCs w:val="21"/>
              </w:rPr>
              <w:t>申请筹设民办学校，举办者应当向审批机关提交下列材料：</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（一）申办报告，内容应当主要包括：举办者、培养目标、办学规模、办学层次、办学形式、办学条件、内部管理体制、经费筹措与管理使用等；</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（二）举办者的姓名、住址或者名称、地址；</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（三）资产来源、资金数额及有效证明文件，并载明产权；</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（四）属捐赠性质的校产须提交捐赠协议，载明捐赠人的姓名、所捐资产的数额、用途和管理方法及相关有效证明文件。</w:t>
            </w:r>
          </w:p>
          <w:p>
            <w:pPr>
              <w:jc w:val="both"/>
              <w:rPr>
                <w:rFonts w:hint="eastAsia" w:asciiTheme="minorEastAsia" w:hAnsiTheme="minorEastAsia" w:eastAsiaTheme="minorEastAsia" w:cstheme="minorEastAsia"/>
                <w:sz w:val="21"/>
                <w:szCs w:val="21"/>
                <w:vertAlign w:val="baseline"/>
                <w:lang w:val="en-US" w:eastAsia="zh-CN"/>
              </w:rPr>
            </w:pPr>
          </w:p>
        </w:tc>
        <w:tc>
          <w:tcPr>
            <w:tcW w:w="481"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43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70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职教办</w:t>
            </w:r>
          </w:p>
        </w:tc>
        <w:tc>
          <w:tcPr>
            <w:tcW w:w="76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sz w:val="21"/>
                <w:szCs w:val="21"/>
              </w:rPr>
              <w:t>民办教育培训机构办学管理</w:t>
            </w:r>
          </w:p>
        </w:tc>
        <w:tc>
          <w:tcPr>
            <w:tcW w:w="705" w:type="dxa"/>
            <w:vAlign w:val="top"/>
          </w:tcPr>
          <w:p>
            <w:pPr>
              <w:jc w:val="both"/>
              <w:rPr>
                <w:rFonts w:hint="eastAsia" w:asciiTheme="minorEastAsia" w:hAnsiTheme="minorEastAsia" w:eastAsiaTheme="minorEastAsia" w:cstheme="minorEastAsia"/>
                <w:sz w:val="21"/>
                <w:szCs w:val="21"/>
                <w:vertAlign w:val="baseline"/>
                <w:lang w:val="en-US" w:eastAsia="zh-CN"/>
              </w:rPr>
            </w:pPr>
          </w:p>
          <w:p>
            <w:pPr>
              <w:jc w:val="both"/>
              <w:rPr>
                <w:rFonts w:hint="eastAsia" w:asciiTheme="minorEastAsia" w:hAnsiTheme="minorEastAsia" w:eastAsiaTheme="minorEastAsia" w:cstheme="minorEastAsia"/>
                <w:sz w:val="21"/>
                <w:szCs w:val="21"/>
                <w:vertAlign w:val="baseline"/>
                <w:lang w:val="en-US" w:eastAsia="zh-CN"/>
              </w:rPr>
            </w:pPr>
            <w:bookmarkStart w:id="0" w:name="_GoBack"/>
            <w:bookmarkEnd w:id="0"/>
            <w:r>
              <w:rPr>
                <w:rFonts w:hint="eastAsia" w:asciiTheme="minorEastAsia" w:hAnsiTheme="minorEastAsia" w:cstheme="minorEastAsia"/>
                <w:sz w:val="21"/>
                <w:szCs w:val="21"/>
                <w:vertAlign w:val="baseline"/>
                <w:lang w:val="en-US" w:eastAsia="zh-CN"/>
              </w:rPr>
              <w:t>无证举办或违法经营教育培训机构治理</w:t>
            </w:r>
          </w:p>
        </w:tc>
        <w:tc>
          <w:tcPr>
            <w:tcW w:w="91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双随机抽查</w:t>
            </w:r>
          </w:p>
        </w:tc>
        <w:tc>
          <w:tcPr>
            <w:tcW w:w="3855" w:type="dxa"/>
            <w:vAlign w:val="top"/>
          </w:tcPr>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 xml:space="preserve">第六十一条  </w:t>
            </w:r>
            <w:r>
              <w:rPr>
                <w:rFonts w:hint="eastAsia" w:asciiTheme="minorEastAsia" w:hAnsiTheme="minorEastAsia" w:eastAsiaTheme="minorEastAsia" w:cstheme="minorEastAsia"/>
                <w:color w:val="000000"/>
                <w:kern w:val="0"/>
                <w:sz w:val="21"/>
                <w:szCs w:val="21"/>
              </w:rPr>
              <w:t>民办学校在教育活动中违反教育法、教师法规定的，依照教育法、教师法的有关规定给予处罚。</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 xml:space="preserve">第六十二条  </w:t>
            </w:r>
            <w:r>
              <w:rPr>
                <w:rFonts w:hint="eastAsia" w:asciiTheme="minorEastAsia" w:hAnsiTheme="minorEastAsia" w:eastAsiaTheme="minorEastAsia" w:cstheme="minorEastAsia"/>
                <w:color w:val="000000"/>
                <w:kern w:val="0"/>
                <w:sz w:val="21"/>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（一）擅自分立、合并民办学校的；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（二）擅自改变民办学校名称、层次、类别和举办者的；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（三）发布虚假招生简章或者广告，骗取钱财的；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（四）非法颁发或者伪造学历证书、结业证书、培训证书、职业资格证书的；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（五）管理混乱严重影响教育教学，产生恶劣社会影响的；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（六）提交虚假证明文件或者采取其他欺诈手段隐瞒重要事实骗取办学许可证的；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（七）伪造、变造、买卖、出租、出借办学许可证的；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（八）恶意终止办学、抽逃资金或者挪用办学经费的。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 xml:space="preserve">第六十三条  </w:t>
            </w:r>
            <w:r>
              <w:rPr>
                <w:rFonts w:hint="eastAsia" w:asciiTheme="minorEastAsia" w:hAnsiTheme="minorEastAsia" w:eastAsiaTheme="minorEastAsia" w:cstheme="minorEastAsia"/>
                <w:color w:val="000000"/>
                <w:kern w:val="0"/>
                <w:sz w:val="21"/>
                <w:szCs w:val="21"/>
              </w:rPr>
              <w:t>审批机关和有关部门有下列行为之一的，由上级机关责令其改正；情节严重的，对直接负责的主管人员和其他直接责任人员，依法给予行政处分；造成经济损失的，依法承担赔偿责任；构成犯罪的，依法追究刑事责任：</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（一）已受理设立申请，逾期不予答复的；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（二）批准不符合本法规定条件申请的；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（三）疏于管理，造成严重后果的；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（四）违反国家有关规定收取费用的；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（五）侵犯民办学校合法权益的；</w:t>
            </w:r>
          </w:p>
          <w:p>
            <w:pPr>
              <w:widowControl/>
              <w:spacing w:line="280" w:lineRule="exact"/>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（六）其他滥用职权、徇私舞弊的。</w:t>
            </w: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color w:val="000000"/>
                <w:kern w:val="0"/>
                <w:sz w:val="21"/>
                <w:szCs w:val="21"/>
              </w:rPr>
              <w:t xml:space="preserve">第六十四条  </w:t>
            </w:r>
            <w:r>
              <w:rPr>
                <w:rFonts w:hint="eastAsia" w:asciiTheme="minorEastAsia" w:hAnsiTheme="minorEastAsia" w:eastAsiaTheme="minorEastAsia" w:cstheme="minorEastAsia"/>
                <w:color w:val="000000"/>
                <w:kern w:val="0"/>
                <w:sz w:val="21"/>
                <w:szCs w:val="21"/>
              </w:rPr>
              <w:t>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tc>
        <w:tc>
          <w:tcPr>
            <w:tcW w:w="481" w:type="dxa"/>
            <w:vAlign w:val="center"/>
          </w:tcPr>
          <w:p>
            <w:pPr>
              <w:jc w:val="center"/>
              <w:rPr>
                <w:rFonts w:hint="eastAsia" w:asciiTheme="minorEastAsia" w:hAnsiTheme="minorEastAsia" w:eastAsiaTheme="minorEastAsia" w:cstheme="minorEastAsia"/>
                <w:sz w:val="21"/>
                <w:szCs w:val="21"/>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5621C"/>
    <w:rsid w:val="2A4A7B06"/>
    <w:rsid w:val="387F2BA6"/>
    <w:rsid w:val="40FD4069"/>
    <w:rsid w:val="47207B55"/>
    <w:rsid w:val="48984500"/>
    <w:rsid w:val="60DC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2020-05-20T07:57:00Z</dcterms:created>
  <dc:creator>Administrator</dc:creator>
  <cp:lastModifiedBy>Administrator</cp:lastModifiedBy>
  <dcterms:modified xsi:type="dcterms:W3CDTF">2020-05-21T06:32:09Z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