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44" w:rsidRDefault="00DA140B" w:rsidP="00DA140B">
      <w:pPr>
        <w:jc w:val="center"/>
        <w:rPr>
          <w:rFonts w:ascii="方正小标宋简体" w:eastAsia="方正小标宋简体" w:hint="eastAsia"/>
          <w:sz w:val="44"/>
          <w:szCs w:val="44"/>
        </w:rPr>
      </w:pPr>
      <w:r w:rsidRPr="00DA140B">
        <w:rPr>
          <w:rFonts w:ascii="方正小标宋简体" w:eastAsia="方正小标宋简体" w:hint="eastAsia"/>
          <w:sz w:val="44"/>
          <w:szCs w:val="44"/>
        </w:rPr>
        <w:t>兴隆台区</w:t>
      </w:r>
      <w:proofErr w:type="gramStart"/>
      <w:r w:rsidRPr="00DA140B">
        <w:rPr>
          <w:rFonts w:ascii="方正小标宋简体" w:eastAsia="方正小标宋简体" w:hint="eastAsia"/>
          <w:sz w:val="44"/>
          <w:szCs w:val="44"/>
        </w:rPr>
        <w:t>文广局随机</w:t>
      </w:r>
      <w:proofErr w:type="gramEnd"/>
      <w:r w:rsidRPr="00DA140B">
        <w:rPr>
          <w:rFonts w:ascii="方正小标宋简体" w:eastAsia="方正小标宋简体" w:hint="eastAsia"/>
          <w:sz w:val="44"/>
          <w:szCs w:val="44"/>
        </w:rPr>
        <w:t>抽查事项抽查清单</w:t>
      </w:r>
    </w:p>
    <w:tbl>
      <w:tblPr>
        <w:tblW w:w="97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
        <w:gridCol w:w="851"/>
        <w:gridCol w:w="1134"/>
        <w:gridCol w:w="1134"/>
        <w:gridCol w:w="1134"/>
        <w:gridCol w:w="1276"/>
        <w:gridCol w:w="2551"/>
        <w:gridCol w:w="725"/>
      </w:tblGrid>
      <w:tr w:rsidR="00DA0CC0" w:rsidTr="003F7195">
        <w:tblPrEx>
          <w:tblCellMar>
            <w:top w:w="0" w:type="dxa"/>
            <w:bottom w:w="0" w:type="dxa"/>
          </w:tblCellMar>
        </w:tblPrEx>
        <w:trPr>
          <w:trHeight w:val="330"/>
        </w:trPr>
        <w:tc>
          <w:tcPr>
            <w:tcW w:w="993" w:type="dxa"/>
          </w:tcPr>
          <w:p w:rsidR="00DA140B" w:rsidRPr="00DA140B" w:rsidRDefault="00DA140B" w:rsidP="00DA140B">
            <w:pPr>
              <w:jc w:val="center"/>
              <w:rPr>
                <w:rFonts w:ascii="黑体" w:eastAsia="黑体" w:hAnsi="黑体" w:hint="eastAsia"/>
                <w:szCs w:val="21"/>
              </w:rPr>
            </w:pPr>
            <w:r w:rsidRPr="00DA140B">
              <w:rPr>
                <w:rFonts w:ascii="黑体" w:eastAsia="黑体" w:hAnsi="黑体" w:hint="eastAsia"/>
                <w:szCs w:val="21"/>
              </w:rPr>
              <w:t>部门</w:t>
            </w:r>
          </w:p>
        </w:tc>
        <w:tc>
          <w:tcPr>
            <w:tcW w:w="851" w:type="dxa"/>
          </w:tcPr>
          <w:p w:rsidR="00DA140B" w:rsidRPr="00DA140B" w:rsidRDefault="00DA140B" w:rsidP="00DA140B">
            <w:pPr>
              <w:jc w:val="center"/>
              <w:rPr>
                <w:rFonts w:ascii="黑体" w:eastAsia="黑体" w:hAnsi="黑体" w:hint="eastAsia"/>
                <w:szCs w:val="21"/>
              </w:rPr>
            </w:pPr>
            <w:r w:rsidRPr="00DA140B">
              <w:rPr>
                <w:rFonts w:ascii="黑体" w:eastAsia="黑体" w:hAnsi="黑体" w:hint="eastAsia"/>
                <w:szCs w:val="21"/>
              </w:rPr>
              <w:t>序号</w:t>
            </w:r>
          </w:p>
        </w:tc>
        <w:tc>
          <w:tcPr>
            <w:tcW w:w="1134" w:type="dxa"/>
          </w:tcPr>
          <w:p w:rsidR="00DA140B" w:rsidRPr="00DA140B" w:rsidRDefault="00DA140B" w:rsidP="00DA140B">
            <w:pPr>
              <w:jc w:val="center"/>
              <w:rPr>
                <w:rFonts w:ascii="黑体" w:eastAsia="黑体" w:hAnsi="黑体" w:hint="eastAsia"/>
                <w:szCs w:val="21"/>
              </w:rPr>
            </w:pPr>
            <w:r w:rsidRPr="00DA140B">
              <w:rPr>
                <w:rFonts w:ascii="黑体" w:eastAsia="黑体" w:hAnsi="黑体" w:hint="eastAsia"/>
                <w:szCs w:val="21"/>
              </w:rPr>
              <w:t>检查主体</w:t>
            </w:r>
          </w:p>
        </w:tc>
        <w:tc>
          <w:tcPr>
            <w:tcW w:w="1134" w:type="dxa"/>
            <w:tcBorders>
              <w:bottom w:val="nil"/>
            </w:tcBorders>
          </w:tcPr>
          <w:p w:rsidR="00DA140B" w:rsidRPr="00DA140B" w:rsidRDefault="00DA140B" w:rsidP="00DA140B">
            <w:pPr>
              <w:rPr>
                <w:rFonts w:ascii="黑体" w:eastAsia="黑体" w:hAnsi="黑体" w:hint="eastAsia"/>
                <w:szCs w:val="21"/>
              </w:rPr>
            </w:pPr>
            <w:r w:rsidRPr="00DA140B">
              <w:rPr>
                <w:rFonts w:ascii="黑体" w:eastAsia="黑体" w:hAnsi="黑体" w:hint="eastAsia"/>
                <w:szCs w:val="21"/>
              </w:rPr>
              <w:t>检查事项</w:t>
            </w:r>
          </w:p>
        </w:tc>
        <w:tc>
          <w:tcPr>
            <w:tcW w:w="1134" w:type="dxa"/>
            <w:tcBorders>
              <w:bottom w:val="nil"/>
            </w:tcBorders>
          </w:tcPr>
          <w:p w:rsidR="00DA140B" w:rsidRPr="00DA140B" w:rsidRDefault="00DA140B" w:rsidP="00DA140B">
            <w:pPr>
              <w:rPr>
                <w:rFonts w:ascii="黑体" w:eastAsia="黑体" w:hAnsi="黑体" w:hint="eastAsia"/>
                <w:szCs w:val="21"/>
              </w:rPr>
            </w:pPr>
            <w:r w:rsidRPr="00DA140B">
              <w:rPr>
                <w:rFonts w:ascii="黑体" w:eastAsia="黑体" w:hAnsi="黑体" w:hint="eastAsia"/>
                <w:szCs w:val="21"/>
              </w:rPr>
              <w:t>检查内容</w:t>
            </w:r>
          </w:p>
        </w:tc>
        <w:tc>
          <w:tcPr>
            <w:tcW w:w="1276" w:type="dxa"/>
            <w:tcBorders>
              <w:bottom w:val="nil"/>
            </w:tcBorders>
          </w:tcPr>
          <w:p w:rsidR="00DA140B" w:rsidRPr="00DA140B" w:rsidRDefault="00DA140B" w:rsidP="00DA140B">
            <w:pPr>
              <w:jc w:val="center"/>
              <w:rPr>
                <w:rFonts w:ascii="黑体" w:eastAsia="黑体" w:hAnsi="黑体" w:hint="eastAsia"/>
                <w:szCs w:val="21"/>
              </w:rPr>
            </w:pPr>
            <w:r w:rsidRPr="00DA140B">
              <w:rPr>
                <w:rFonts w:ascii="黑体" w:eastAsia="黑体" w:hAnsi="黑体" w:hint="eastAsia"/>
                <w:szCs w:val="21"/>
              </w:rPr>
              <w:t>检查类别</w:t>
            </w:r>
          </w:p>
        </w:tc>
        <w:tc>
          <w:tcPr>
            <w:tcW w:w="2551" w:type="dxa"/>
            <w:tcBorders>
              <w:bottom w:val="nil"/>
            </w:tcBorders>
          </w:tcPr>
          <w:p w:rsidR="00DA140B" w:rsidRPr="00DA140B" w:rsidRDefault="00DA140B" w:rsidP="00DA140B">
            <w:pPr>
              <w:jc w:val="center"/>
              <w:rPr>
                <w:rFonts w:ascii="黑体" w:eastAsia="黑体" w:hAnsi="黑体" w:hint="eastAsia"/>
                <w:szCs w:val="21"/>
              </w:rPr>
            </w:pPr>
            <w:r w:rsidRPr="00DA140B">
              <w:rPr>
                <w:rFonts w:ascii="黑体" w:eastAsia="黑体" w:hAnsi="黑体" w:hint="eastAsia"/>
                <w:szCs w:val="21"/>
              </w:rPr>
              <w:t>检查依据</w:t>
            </w:r>
          </w:p>
        </w:tc>
        <w:tc>
          <w:tcPr>
            <w:tcW w:w="725" w:type="dxa"/>
            <w:tcBorders>
              <w:bottom w:val="nil"/>
            </w:tcBorders>
          </w:tcPr>
          <w:p w:rsidR="00DA140B" w:rsidRPr="00DA140B" w:rsidRDefault="00DA140B" w:rsidP="00DA140B">
            <w:pPr>
              <w:jc w:val="center"/>
              <w:rPr>
                <w:rFonts w:ascii="黑体" w:eastAsia="黑体" w:hAnsi="黑体" w:hint="eastAsia"/>
                <w:szCs w:val="21"/>
              </w:rPr>
            </w:pPr>
            <w:r w:rsidRPr="00DA140B">
              <w:rPr>
                <w:rFonts w:ascii="黑体" w:eastAsia="黑体" w:hAnsi="黑体" w:hint="eastAsia"/>
                <w:szCs w:val="21"/>
              </w:rPr>
              <w:t>备注</w:t>
            </w:r>
          </w:p>
        </w:tc>
      </w:tr>
      <w:tr w:rsidR="00DA0CC0" w:rsidTr="003F7195">
        <w:tblPrEx>
          <w:tblCellMar>
            <w:top w:w="0" w:type="dxa"/>
            <w:bottom w:w="0" w:type="dxa"/>
          </w:tblCellMar>
        </w:tblPrEx>
        <w:trPr>
          <w:trHeight w:val="10899"/>
        </w:trPr>
        <w:tc>
          <w:tcPr>
            <w:tcW w:w="993" w:type="dxa"/>
            <w:vAlign w:val="center"/>
          </w:tcPr>
          <w:p w:rsidR="00DA0CC0" w:rsidRPr="00DA0CC0" w:rsidRDefault="00DA0CC0" w:rsidP="00DA0CC0">
            <w:pPr>
              <w:jc w:val="center"/>
              <w:rPr>
                <w:rFonts w:ascii="仿宋_GB2312" w:eastAsia="仿宋_GB2312" w:hint="eastAsia"/>
                <w:szCs w:val="21"/>
              </w:rPr>
            </w:pPr>
            <w:r w:rsidRPr="00DA0CC0">
              <w:rPr>
                <w:rFonts w:ascii="仿宋_GB2312" w:eastAsia="仿宋_GB2312" w:hint="eastAsia"/>
                <w:szCs w:val="21"/>
              </w:rPr>
              <w:t>兴隆台区文化旅游和广播电视局</w:t>
            </w:r>
          </w:p>
        </w:tc>
        <w:tc>
          <w:tcPr>
            <w:tcW w:w="851" w:type="dxa"/>
            <w:vAlign w:val="center"/>
          </w:tcPr>
          <w:p w:rsidR="00DA0CC0" w:rsidRPr="00DA0CC0" w:rsidRDefault="00DA0CC0" w:rsidP="00DA0CC0">
            <w:pPr>
              <w:jc w:val="center"/>
              <w:rPr>
                <w:rFonts w:ascii="仿宋_GB2312" w:eastAsia="仿宋_GB2312" w:hint="eastAsia"/>
                <w:szCs w:val="21"/>
              </w:rPr>
            </w:pPr>
            <w:r w:rsidRPr="00DA0CC0">
              <w:rPr>
                <w:rFonts w:ascii="仿宋_GB2312" w:eastAsia="仿宋_GB2312" w:hint="eastAsia"/>
                <w:szCs w:val="21"/>
              </w:rPr>
              <w:t>1</w:t>
            </w:r>
          </w:p>
        </w:tc>
        <w:tc>
          <w:tcPr>
            <w:tcW w:w="1134" w:type="dxa"/>
            <w:vAlign w:val="center"/>
          </w:tcPr>
          <w:p w:rsidR="00DA0CC0" w:rsidRPr="00DA0CC0" w:rsidRDefault="00DA0CC0" w:rsidP="00DA0CC0">
            <w:pPr>
              <w:jc w:val="center"/>
              <w:rPr>
                <w:rFonts w:ascii="仿宋_GB2312" w:eastAsia="仿宋_GB2312" w:hint="eastAsia"/>
                <w:szCs w:val="21"/>
              </w:rPr>
            </w:pPr>
            <w:r>
              <w:rPr>
                <w:rFonts w:ascii="仿宋_GB2312" w:eastAsia="仿宋_GB2312" w:hint="eastAsia"/>
                <w:szCs w:val="21"/>
              </w:rPr>
              <w:t>文化市场办</w:t>
            </w:r>
          </w:p>
        </w:tc>
        <w:tc>
          <w:tcPr>
            <w:tcW w:w="1134" w:type="dxa"/>
            <w:vAlign w:val="center"/>
          </w:tcPr>
          <w:p w:rsidR="00DA0CC0" w:rsidRPr="00DA0CC0" w:rsidRDefault="00DA0CC0" w:rsidP="00DA0CC0">
            <w:pPr>
              <w:jc w:val="center"/>
              <w:rPr>
                <w:rFonts w:ascii="仿宋_GB2312" w:eastAsia="仿宋_GB2312" w:hint="eastAsia"/>
                <w:szCs w:val="21"/>
              </w:rPr>
            </w:pPr>
            <w:r w:rsidRPr="00DA0CC0">
              <w:rPr>
                <w:rFonts w:ascii="仿宋_GB2312" w:eastAsia="仿宋_GB2312" w:hint="eastAsia"/>
                <w:szCs w:val="21"/>
              </w:rPr>
              <w:t>互联网上网服务营业场所</w:t>
            </w:r>
            <w:r w:rsidRPr="00DA0CC0">
              <w:rPr>
                <w:rFonts w:ascii="仿宋_GB2312" w:eastAsia="仿宋_GB2312" w:hint="eastAsia"/>
                <w:szCs w:val="21"/>
              </w:rPr>
              <w:t> </w:t>
            </w:r>
            <w:r w:rsidRPr="00DA0CC0">
              <w:rPr>
                <w:rFonts w:ascii="仿宋_GB2312" w:eastAsia="仿宋_GB2312" w:hint="eastAsia"/>
                <w:szCs w:val="21"/>
              </w:rPr>
              <w:t xml:space="preserve"> 监督管理</w:t>
            </w:r>
          </w:p>
        </w:tc>
        <w:tc>
          <w:tcPr>
            <w:tcW w:w="1134" w:type="dxa"/>
            <w:vAlign w:val="center"/>
          </w:tcPr>
          <w:p w:rsidR="00DA0CC0" w:rsidRPr="00DA0CC0" w:rsidRDefault="00DA0CC0" w:rsidP="00DA0CC0">
            <w:pPr>
              <w:jc w:val="center"/>
              <w:rPr>
                <w:rFonts w:ascii="仿宋_GB2312" w:eastAsia="仿宋_GB2312" w:hint="eastAsia"/>
                <w:szCs w:val="21"/>
              </w:rPr>
            </w:pPr>
            <w:r w:rsidRPr="00DA0CC0">
              <w:rPr>
                <w:rFonts w:ascii="仿宋_GB2312" w:eastAsia="仿宋_GB2312" w:hint="eastAsia"/>
                <w:szCs w:val="21"/>
              </w:rPr>
              <w:t>互联网上网服务营业场所接纳未成年人进入营业场所</w:t>
            </w:r>
            <w:r>
              <w:rPr>
                <w:rFonts w:ascii="仿宋_GB2312" w:eastAsia="仿宋_GB2312" w:hint="eastAsia"/>
                <w:szCs w:val="21"/>
              </w:rPr>
              <w:t>；</w:t>
            </w:r>
            <w:r>
              <w:rPr>
                <w:rFonts w:ascii="仿宋_GB2312" w:eastAsia="仿宋_GB2312" w:hint="eastAsia"/>
              </w:rPr>
              <w:t>未按规定核对、登记上网消费者的有效身份证件或者记录有关上网信息。</w:t>
            </w:r>
          </w:p>
        </w:tc>
        <w:tc>
          <w:tcPr>
            <w:tcW w:w="1276" w:type="dxa"/>
            <w:vAlign w:val="center"/>
          </w:tcPr>
          <w:p w:rsidR="00DA0CC0" w:rsidRPr="00DA0CC0" w:rsidRDefault="00DA0CC0" w:rsidP="00DA0CC0">
            <w:pPr>
              <w:jc w:val="center"/>
              <w:rPr>
                <w:rFonts w:ascii="仿宋_GB2312" w:eastAsia="仿宋_GB2312" w:hint="eastAsia"/>
                <w:szCs w:val="21"/>
              </w:rPr>
            </w:pPr>
            <w:r>
              <w:rPr>
                <w:rFonts w:ascii="仿宋_GB2312" w:eastAsia="仿宋_GB2312" w:hint="eastAsia"/>
                <w:szCs w:val="21"/>
              </w:rPr>
              <w:t>双随机抽查</w:t>
            </w:r>
          </w:p>
        </w:tc>
        <w:tc>
          <w:tcPr>
            <w:tcW w:w="2551" w:type="dxa"/>
            <w:vAlign w:val="center"/>
          </w:tcPr>
          <w:p w:rsidR="00DA0CC0" w:rsidRPr="003F7195" w:rsidRDefault="00DA0CC0" w:rsidP="003F7195">
            <w:pPr>
              <w:widowControl/>
              <w:wordWrap w:val="0"/>
              <w:spacing w:line="300" w:lineRule="atLeast"/>
              <w:jc w:val="left"/>
              <w:rPr>
                <w:rFonts w:ascii="宋体" w:eastAsia="宋体" w:hAnsi="宋体" w:cs="Arial" w:hint="eastAsia"/>
                <w:kern w:val="0"/>
                <w:sz w:val="18"/>
                <w:szCs w:val="18"/>
              </w:rPr>
            </w:pPr>
            <w:r w:rsidRPr="00DA0CC0">
              <w:rPr>
                <w:rFonts w:ascii="仿宋_GB2312" w:eastAsia="仿宋_GB2312" w:hAnsi="宋体" w:cs="Arial" w:hint="eastAsia"/>
                <w:color w:val="000000"/>
                <w:spacing w:val="8"/>
                <w:kern w:val="0"/>
                <w:sz w:val="18"/>
                <w:szCs w:val="18"/>
              </w:rPr>
              <w:t>《互联网上网服务营业场所管理条例》（国务院令第588号）第四条 县级以上人民政府文化行政部门负责互联网上网服务营业场所经营单位的设立审批，并负责对依</w:t>
            </w:r>
            <w:r w:rsidRPr="00DA0CC0">
              <w:rPr>
                <w:rFonts w:ascii="仿宋_GB2312" w:eastAsia="仿宋_GB2312" w:hAnsi="宋体" w:cs="Arial" w:hint="eastAsia"/>
                <w:kern w:val="0"/>
                <w:szCs w:val="21"/>
              </w:rPr>
              <w:t>法设立的互联网上网服务营业场所经营单位经营活动的监督管理。第三十条 互联网上网服务营业场所经营单位违反本条例的规定，有下列行为之一的，由文化行政部门给予警告，可以并处１５０００元以下的罚款；情节严重的，责令停业整顿，直至吊销《网络文化经营许可证》： （一）在规定的营业时间以外营业的</w:t>
            </w:r>
            <w:r>
              <w:rPr>
                <w:rFonts w:ascii="仿宋_GB2312" w:eastAsia="仿宋_GB2312" w:hAnsi="宋体" w:cs="Arial" w:hint="eastAsia"/>
                <w:kern w:val="0"/>
                <w:szCs w:val="21"/>
              </w:rPr>
              <w:t>；</w:t>
            </w:r>
            <w:r w:rsidRPr="00DA0CC0">
              <w:rPr>
                <w:rFonts w:ascii="仿宋_GB2312" w:eastAsia="仿宋_GB2312" w:hAnsi="宋体" w:cs="Arial" w:hint="eastAsia"/>
                <w:kern w:val="0"/>
                <w:szCs w:val="21"/>
              </w:rPr>
              <w:t xml:space="preserve">（二）接纳未成年人进入营业场所的；（三）经营非网络游戏的；（四）擅自停止实施经营管理技术措施的；（五）未悬挂《网络文化经营许可证》或者未成年人禁入标志的。 </w:t>
            </w:r>
          </w:p>
        </w:tc>
        <w:tc>
          <w:tcPr>
            <w:tcW w:w="725" w:type="dxa"/>
            <w:vAlign w:val="center"/>
          </w:tcPr>
          <w:p w:rsidR="00DA0CC0" w:rsidRPr="00DA0CC0" w:rsidRDefault="00DA0CC0" w:rsidP="00DA0CC0">
            <w:pPr>
              <w:jc w:val="center"/>
              <w:rPr>
                <w:rFonts w:ascii="仿宋_GB2312" w:eastAsia="仿宋_GB2312" w:hint="eastAsia"/>
                <w:szCs w:val="21"/>
              </w:rPr>
            </w:pPr>
          </w:p>
        </w:tc>
      </w:tr>
    </w:tbl>
    <w:p w:rsidR="00DA140B" w:rsidRPr="00DA140B" w:rsidRDefault="00DA140B" w:rsidP="00DA140B">
      <w:pPr>
        <w:jc w:val="center"/>
        <w:rPr>
          <w:rFonts w:ascii="方正小标宋简体" w:eastAsia="方正小标宋简体" w:hint="eastAsia"/>
          <w:sz w:val="44"/>
          <w:szCs w:val="44"/>
        </w:rPr>
      </w:pPr>
    </w:p>
    <w:sectPr w:rsidR="00DA140B" w:rsidRPr="00DA140B" w:rsidSect="00A865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436" w:rsidRDefault="00462436" w:rsidP="00DA140B">
      <w:r>
        <w:separator/>
      </w:r>
    </w:p>
  </w:endnote>
  <w:endnote w:type="continuationSeparator" w:id="0">
    <w:p w:rsidR="00462436" w:rsidRDefault="00462436" w:rsidP="00DA14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436" w:rsidRDefault="00462436" w:rsidP="00DA140B">
      <w:r>
        <w:separator/>
      </w:r>
    </w:p>
  </w:footnote>
  <w:footnote w:type="continuationSeparator" w:id="0">
    <w:p w:rsidR="00462436" w:rsidRDefault="00462436" w:rsidP="00DA14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140B"/>
    <w:rsid w:val="00077B71"/>
    <w:rsid w:val="003F7195"/>
    <w:rsid w:val="00462436"/>
    <w:rsid w:val="00A865CC"/>
    <w:rsid w:val="00D85A3D"/>
    <w:rsid w:val="00DA0CC0"/>
    <w:rsid w:val="00DA14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5C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14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140B"/>
    <w:rPr>
      <w:sz w:val="18"/>
      <w:szCs w:val="18"/>
    </w:rPr>
  </w:style>
  <w:style w:type="paragraph" w:styleId="a4">
    <w:name w:val="footer"/>
    <w:basedOn w:val="a"/>
    <w:link w:val="Char0"/>
    <w:uiPriority w:val="99"/>
    <w:semiHidden/>
    <w:unhideWhenUsed/>
    <w:rsid w:val="00DA14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140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2020-05-21T14:11:00Z</dcterms:created>
  <dcterms:modified xsi:type="dcterms:W3CDTF">2020-05-21T14:32:00Z</dcterms:modified>
</cp:coreProperties>
</file>