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  <w:t>附件1</w:t>
      </w:r>
    </w:p>
    <w:p>
      <w:pPr>
        <w:widowControl/>
        <w:ind w:firstLine="480"/>
        <w:rPr>
          <w:rFonts w:hint="eastAsia" w:ascii="宋体" w:hAnsi="宋体" w:eastAsia="宋体" w:cs="宋体"/>
          <w:color w:val="000000"/>
          <w:kern w:val="0"/>
          <w:sz w:val="16"/>
          <w:szCs w:val="16"/>
        </w:rPr>
      </w:pPr>
    </w:p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工业产品生产许可证取消、合并</w:t>
      </w:r>
    </w:p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管理的产品目录（共计15类）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br w:type="textWrapping"/>
      </w:r>
    </w:p>
    <w:tbl>
      <w:tblPr>
        <w:tblStyle w:val="3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2363"/>
        <w:gridCol w:w="2359"/>
        <w:gridCol w:w="35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3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目前实施机关</w:t>
            </w:r>
          </w:p>
        </w:tc>
        <w:tc>
          <w:tcPr>
            <w:tcW w:w="3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调整情况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轴承钢材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国家市场监督管理总局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防伪技术产品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摩擦材料及密封制品*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公路桥梁支座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内燃机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砂轮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钢丝绳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预应力混凝土用钢材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预应力混凝土枕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特种劳动防护用品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耐火材料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建筑防水卷材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汽车制动液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卫星电视广播地面接收设备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国家市场监督管理总局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取消室外单元等单元，与无线广播电视发射设备合并为广播电视传输设备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无线广播电视发射设备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国家市场监督管理总局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取消发射天线等单元，与卫星电视广播地面接收设备合并为广播电视传输设备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Segoe UI" w:hAnsi="Segoe UI" w:eastAsia="宋体" w:cs="Segoe UI"/>
          <w:color w:val="000000"/>
          <w:kern w:val="0"/>
          <w:sz w:val="20"/>
          <w:szCs w:val="20"/>
        </w:rPr>
        <w:t>　　*“摩擦材料及密封制品”中的刹车片产品需在完成相关程序后转为强制性产品认证管理，在此之前仍对其实施生产许可证管理。</w:t>
      </w:r>
    </w:p>
    <w:p>
      <w:pPr>
        <w:widowControl/>
        <w:jc w:val="left"/>
        <w:rPr>
          <w:rFonts w:ascii="Segoe UI" w:hAnsi="Segoe UI" w:eastAsia="宋体" w:cs="Segoe UI"/>
          <w:color w:val="000000"/>
          <w:kern w:val="0"/>
          <w:sz w:val="24"/>
          <w:szCs w:val="24"/>
        </w:rPr>
      </w:pPr>
      <w:r>
        <w:rPr>
          <w:rFonts w:ascii="Segoe UI" w:hAnsi="Segoe UI" w:eastAsia="宋体" w:cs="Segoe UI"/>
          <w:color w:val="000000"/>
          <w:kern w:val="0"/>
          <w:sz w:val="14"/>
          <w:szCs w:val="14"/>
        </w:rPr>
        <w:br w:type="textWrapping"/>
      </w: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</w:pPr>
    </w:p>
    <w:p>
      <w:pPr>
        <w:widowControl/>
        <w:rPr>
          <w:rFonts w:ascii="宋体" w:hAnsi="宋体" w:eastAsia="宋体" w:cs="宋体"/>
          <w:color w:val="000000"/>
          <w:kern w:val="0"/>
          <w:sz w:val="16"/>
          <w:szCs w:val="1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  <w:t>附件2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  <w:br w:type="textWrapping"/>
      </w:r>
    </w:p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调整后继续实施工业产品生产许可证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管理的产品目录（共计10类）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br w:type="textWrapping"/>
      </w:r>
    </w:p>
    <w:tbl>
      <w:tblPr>
        <w:tblStyle w:val="3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4055"/>
        <w:gridCol w:w="42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4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实施机关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建筑用钢筋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国家市场监督管理总局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水泥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国家市场监督管理总局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广播电视传输设备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国家市场监督管理总局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人民币鉴别仪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国家市场监督管理总局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预应力混凝土铁路桥简支梁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国家市场监督管理总局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电线电缆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危险化学品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危险化学品包装物及容器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化肥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直接接触食品的材料等相关产品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省级市场监督管理部门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09"/>
    <w:rsid w:val="000F59B9"/>
    <w:rsid w:val="00673909"/>
    <w:rsid w:val="65F8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278</Words>
  <Characters>1586</Characters>
  <Lines>13</Lines>
  <Paragraphs>3</Paragraphs>
  <TotalTime>5</TotalTime>
  <ScaleCrop>false</ScaleCrop>
  <LinksUpToDate>false</LinksUpToDate>
  <CharactersWithSpaces>1861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2019-11-04T07:31:00Z</dcterms:created>
  <dc:creator>NTKO</dc:creator>
  <cp:lastModifiedBy>张琪</cp:lastModifiedBy>
  <cp:lastPrinted>2019-11-04T07:33:00Z</cp:lastPrinted>
  <dcterms:modified xsi:type="dcterms:W3CDTF">2019-11-13T14:40:19Z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