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60AEF23">
      <w:pPr>
        <w:spacing w:line="700" w:lineRule="exact"/>
        <w:jc w:val="center"/>
        <w:rPr>
          <w:rFonts w:hint="eastAsia" w:ascii="方正小标宋简体" w:hAnsi="方正小标宋简体" w:eastAsia="方正小标宋简体" w:cs="方正小标宋简体"/>
          <w:sz w:val="44"/>
          <w:szCs w:val="44"/>
          <w:lang w:val="en-US" w:eastAsia="zh-CN"/>
        </w:rPr>
      </w:pPr>
      <w:bookmarkStart w:id="0" w:name="_GoBack"/>
      <w:bookmarkEnd w:id="0"/>
      <w:r>
        <w:rPr>
          <w:rFonts w:hint="eastAsia" w:ascii="方正小标宋简体" w:hAnsi="方正小标宋简体" w:eastAsia="方正小标宋简体" w:cs="方正小标宋简体"/>
          <w:sz w:val="44"/>
          <w:szCs w:val="44"/>
        </w:rPr>
        <w:t>盘锦市国有建设用地使用权转让、出租、抵押二级市场管理办法（试行）</w:t>
      </w:r>
    </w:p>
    <w:p w14:paraId="4A8788B4">
      <w:pPr>
        <w:keepNext w:val="0"/>
        <w:keepLines w:val="0"/>
        <w:pageBreakBefore w:val="0"/>
        <w:widowControl w:val="0"/>
        <w:kinsoku/>
        <w:wordWrap/>
        <w:overflowPunct/>
        <w:topLinePunct w:val="0"/>
        <w:autoSpaceDE/>
        <w:autoSpaceDN/>
        <w:bidi w:val="0"/>
        <w:adjustRightInd/>
        <w:snapToGrid/>
        <w:spacing w:before="0" w:beforeLines="0" w:after="0" w:afterLines="0" w:line="576" w:lineRule="exact"/>
        <w:ind w:left="0" w:leftChars="0" w:right="0" w:rightChars="0"/>
        <w:textAlignment w:val="auto"/>
        <w:outlineLvl w:val="9"/>
        <w:rPr>
          <w:rFonts w:hint="eastAsia" w:ascii="仿宋_GB2312" w:hAnsi="仿宋_GB2312" w:eastAsia="仿宋_GB2312" w:cs="仿宋_GB2312"/>
          <w:bCs/>
          <w:color w:val="000000"/>
          <w:kern w:val="2"/>
          <w:sz w:val="32"/>
          <w:szCs w:val="32"/>
          <w:lang w:val="en-US" w:eastAsia="zh-CN"/>
        </w:rPr>
      </w:pPr>
    </w:p>
    <w:p w14:paraId="12F60483">
      <w:pPr>
        <w:keepNext w:val="0"/>
        <w:keepLines w:val="0"/>
        <w:pageBreakBefore w:val="0"/>
        <w:widowControl w:val="0"/>
        <w:kinsoku/>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6"/>
          <w:szCs w:val="36"/>
          <w:highlight w:val="none"/>
          <w:lang w:val="en-US" w:eastAsia="zh-CN"/>
        </w:rPr>
      </w:pPr>
      <w:r>
        <w:rPr>
          <w:rFonts w:hint="eastAsia" w:ascii="仿宋_GB2312" w:hAnsi="仿宋_GB2312" w:eastAsia="仿宋_GB2312" w:cs="仿宋_GB2312"/>
          <w:bCs/>
          <w:color w:val="000000"/>
          <w:kern w:val="2"/>
          <w:sz w:val="36"/>
          <w:szCs w:val="36"/>
          <w:lang w:val="en-US" w:eastAsia="zh-CN"/>
        </w:rPr>
        <w:t>盘自然资发〔2023〕</w:t>
      </w:r>
      <w:r>
        <w:rPr>
          <w:rFonts w:hint="eastAsia" w:ascii="仿宋_GB2312" w:hAnsi="仿宋_GB2312" w:eastAsia="仿宋_GB2312" w:cs="仿宋_GB2312"/>
          <w:bCs/>
          <w:color w:val="000000"/>
          <w:kern w:val="2"/>
          <w:sz w:val="36"/>
          <w:szCs w:val="36"/>
          <w:highlight w:val="none"/>
          <w:lang w:val="en-US" w:eastAsia="zh-CN"/>
        </w:rPr>
        <w:t>115</w:t>
      </w:r>
      <w:r>
        <w:rPr>
          <w:rFonts w:hint="eastAsia" w:ascii="仿宋_GB2312" w:hAnsi="仿宋_GB2312" w:eastAsia="仿宋_GB2312" w:cs="仿宋_GB2312"/>
          <w:bCs/>
          <w:color w:val="000000"/>
          <w:kern w:val="2"/>
          <w:sz w:val="36"/>
          <w:szCs w:val="36"/>
          <w:lang w:val="en-US" w:eastAsia="zh-CN"/>
        </w:rPr>
        <w:t xml:space="preserve">号 </w:t>
      </w:r>
      <w:r>
        <w:rPr>
          <w:rFonts w:hint="eastAsia" w:ascii="仿宋_GB2312" w:hAnsi="仿宋_GB2312" w:eastAsia="仿宋_GB2312" w:cs="仿宋_GB2312"/>
          <w:sz w:val="36"/>
          <w:szCs w:val="36"/>
          <w:lang w:val="en-US" w:eastAsia="zh-CN"/>
        </w:rPr>
        <w:t>自2023年12月13日起实施</w:t>
      </w:r>
    </w:p>
    <w:p w14:paraId="18C365B8">
      <w:pPr>
        <w:keepNext w:val="0"/>
        <w:keepLines w:val="0"/>
        <w:pageBreakBefore w:val="0"/>
        <w:widowControl w:val="0"/>
        <w:kinsoku/>
        <w:wordWrap/>
        <w:overflowPunct/>
        <w:topLinePunct w:val="0"/>
        <w:autoSpaceDE/>
        <w:autoSpaceDN/>
        <w:bidi w:val="0"/>
        <w:adjustRightInd/>
        <w:snapToGrid/>
        <w:spacing w:before="316" w:beforeLines="100" w:after="316" w:afterLines="100" w:line="576" w:lineRule="exact"/>
        <w:jc w:val="center"/>
        <w:textAlignment w:val="auto"/>
        <w:rPr>
          <w:rFonts w:hint="eastAsia" w:ascii="黑体" w:hAnsi="黑体" w:eastAsia="黑体" w:cs="Times New Roman"/>
          <w:sz w:val="36"/>
          <w:szCs w:val="36"/>
        </w:rPr>
      </w:pPr>
      <w:r>
        <w:rPr>
          <w:rFonts w:hint="eastAsia" w:ascii="黑体" w:hAnsi="黑体" w:eastAsia="黑体" w:cs="Times New Roman"/>
          <w:sz w:val="36"/>
          <w:szCs w:val="36"/>
        </w:rPr>
        <w:t>第一章 总 则</w:t>
      </w:r>
    </w:p>
    <w:p w14:paraId="6D2124FB">
      <w:pPr>
        <w:keepNext w:val="0"/>
        <w:keepLines w:val="0"/>
        <w:pageBreakBefore w:val="0"/>
        <w:widowControl w:val="0"/>
        <w:kinsoku/>
        <w:wordWrap/>
        <w:overflowPunct/>
        <w:topLinePunct w:val="0"/>
        <w:autoSpaceDE/>
        <w:autoSpaceDN/>
        <w:bidi w:val="0"/>
        <w:adjustRightInd/>
        <w:snapToGrid/>
        <w:spacing w:line="576" w:lineRule="exact"/>
        <w:ind w:firstLine="723" w:firstLineChars="200"/>
        <w:jc w:val="both"/>
        <w:textAlignment w:val="auto"/>
        <w:rPr>
          <w:rFonts w:ascii="仿宋_GB2312" w:hAnsi="Calibri" w:eastAsia="仿宋_GB2312" w:cs="Times New Roman"/>
          <w:sz w:val="36"/>
          <w:szCs w:val="36"/>
        </w:rPr>
      </w:pPr>
      <w:r>
        <w:rPr>
          <w:rFonts w:hint="eastAsia" w:ascii="仿宋_GB2312" w:hAnsi="Calibri" w:eastAsia="仿宋_GB2312" w:cs="Times New Roman"/>
          <w:b/>
          <w:sz w:val="36"/>
          <w:szCs w:val="36"/>
        </w:rPr>
        <w:t>第一条</w:t>
      </w:r>
      <w:r>
        <w:rPr>
          <w:rFonts w:hint="eastAsia" w:ascii="仿宋_GB2312" w:hAnsi="Calibri" w:eastAsia="仿宋_GB2312" w:cs="Times New Roman"/>
          <w:sz w:val="36"/>
          <w:szCs w:val="36"/>
        </w:rPr>
        <w:t xml:space="preserve"> 为健全土地二级市场运行体制机制，保障资源要素流通，提高存量土地资源利用效率，促进经济高质量发展，依据《中华人民共和国城市房地产管理法》《国务院办公厅关于完善建设用地使用权转让、出租、抵押二级市场的指导意见》《辽宁省人民政府办公厅关于完善建设用地使用权转让、出租、抵押二级市场的实施意见》等有关规定，结合我市实际，制定本办法。</w:t>
      </w:r>
    </w:p>
    <w:p w14:paraId="215F1205">
      <w:pPr>
        <w:keepNext w:val="0"/>
        <w:keepLines w:val="0"/>
        <w:pageBreakBefore w:val="0"/>
        <w:widowControl w:val="0"/>
        <w:kinsoku/>
        <w:wordWrap/>
        <w:overflowPunct/>
        <w:topLinePunct w:val="0"/>
        <w:autoSpaceDE/>
        <w:autoSpaceDN/>
        <w:bidi w:val="0"/>
        <w:adjustRightInd/>
        <w:snapToGrid/>
        <w:spacing w:line="576" w:lineRule="exact"/>
        <w:ind w:firstLine="723" w:firstLineChars="200"/>
        <w:jc w:val="both"/>
        <w:textAlignment w:val="auto"/>
        <w:rPr>
          <w:rFonts w:ascii="仿宋_GB2312" w:hAnsi="Calibri" w:eastAsia="仿宋_GB2312" w:cs="Times New Roman"/>
          <w:sz w:val="36"/>
          <w:szCs w:val="36"/>
        </w:rPr>
      </w:pPr>
      <w:r>
        <w:rPr>
          <w:rFonts w:hint="eastAsia" w:ascii="仿宋_GB2312" w:hAnsi="Calibri" w:eastAsia="仿宋_GB2312" w:cs="Times New Roman"/>
          <w:b/>
          <w:sz w:val="36"/>
          <w:szCs w:val="36"/>
        </w:rPr>
        <w:t>第二条</w:t>
      </w:r>
      <w:r>
        <w:rPr>
          <w:rFonts w:hint="eastAsia" w:ascii="仿宋_GB2312" w:hAnsi="Calibri" w:eastAsia="仿宋_GB2312" w:cs="Times New Roman"/>
          <w:sz w:val="36"/>
          <w:szCs w:val="36"/>
        </w:rPr>
        <w:t xml:space="preserve"> 本办法适用于本市行政区域内国有建设用地使用权转让、出租、抵押二级市场（以下简称土地二级市场）的建设、运行和管理。</w:t>
      </w:r>
    </w:p>
    <w:p w14:paraId="78EF2A70">
      <w:pPr>
        <w:keepNext w:val="0"/>
        <w:keepLines w:val="0"/>
        <w:pageBreakBefore w:val="0"/>
        <w:widowControl w:val="0"/>
        <w:kinsoku/>
        <w:wordWrap/>
        <w:overflowPunct/>
        <w:topLinePunct w:val="0"/>
        <w:autoSpaceDE/>
        <w:autoSpaceDN/>
        <w:bidi w:val="0"/>
        <w:adjustRightInd/>
        <w:snapToGrid/>
        <w:spacing w:line="576" w:lineRule="exact"/>
        <w:ind w:firstLine="723" w:firstLineChars="200"/>
        <w:jc w:val="both"/>
        <w:textAlignment w:val="auto"/>
        <w:rPr>
          <w:rFonts w:ascii="仿宋_GB2312" w:hAnsi="Calibri" w:eastAsia="仿宋_GB2312" w:cs="Times New Roman"/>
          <w:sz w:val="36"/>
          <w:szCs w:val="36"/>
        </w:rPr>
      </w:pPr>
      <w:r>
        <w:rPr>
          <w:rFonts w:hint="eastAsia" w:ascii="仿宋_GB2312" w:hAnsi="Calibri" w:eastAsia="仿宋_GB2312" w:cs="Times New Roman"/>
          <w:b/>
          <w:sz w:val="36"/>
          <w:szCs w:val="36"/>
        </w:rPr>
        <w:t>第三条</w:t>
      </w:r>
      <w:r>
        <w:rPr>
          <w:rFonts w:hint="eastAsia" w:ascii="仿宋_GB2312" w:hAnsi="Calibri" w:eastAsia="仿宋_GB2312" w:cs="Times New Roman"/>
          <w:sz w:val="36"/>
          <w:szCs w:val="36"/>
        </w:rPr>
        <w:t xml:space="preserve"> 国有建设用地使用权转让、出租、抵押应遵循平等、全面、依法保护产权，充分尊重权利人意愿，切实维护土地所有权人权益的原则。</w:t>
      </w:r>
    </w:p>
    <w:p w14:paraId="615D3EC7">
      <w:pPr>
        <w:keepNext w:val="0"/>
        <w:keepLines w:val="0"/>
        <w:pageBreakBefore w:val="0"/>
        <w:widowControl w:val="0"/>
        <w:kinsoku/>
        <w:wordWrap/>
        <w:overflowPunct/>
        <w:topLinePunct w:val="0"/>
        <w:autoSpaceDE/>
        <w:autoSpaceDN/>
        <w:bidi w:val="0"/>
        <w:adjustRightInd/>
        <w:snapToGrid/>
        <w:spacing w:line="576" w:lineRule="exact"/>
        <w:ind w:firstLine="723" w:firstLineChars="200"/>
        <w:jc w:val="both"/>
        <w:textAlignment w:val="auto"/>
        <w:rPr>
          <w:rFonts w:ascii="仿宋_GB2312" w:hAnsi="Calibri" w:eastAsia="仿宋_GB2312" w:cs="Times New Roman"/>
          <w:sz w:val="36"/>
          <w:szCs w:val="36"/>
        </w:rPr>
      </w:pPr>
      <w:r>
        <w:rPr>
          <w:rFonts w:hint="eastAsia" w:ascii="仿宋_GB2312" w:hAnsi="Calibri" w:eastAsia="仿宋_GB2312" w:cs="Times New Roman"/>
          <w:b/>
          <w:sz w:val="36"/>
          <w:szCs w:val="36"/>
        </w:rPr>
        <w:t>第四条</w:t>
      </w:r>
      <w:r>
        <w:rPr>
          <w:rFonts w:hint="eastAsia" w:ascii="仿宋_GB2312" w:hAnsi="Calibri" w:eastAsia="仿宋_GB2312" w:cs="Times New Roman"/>
          <w:sz w:val="36"/>
          <w:szCs w:val="36"/>
        </w:rPr>
        <w:t xml:space="preserve"> 自然资源部门依法对土地二级市场进行监督，并负责日常管理工作。</w:t>
      </w:r>
    </w:p>
    <w:p w14:paraId="6E13CC9A">
      <w:pPr>
        <w:keepNext w:val="0"/>
        <w:keepLines w:val="0"/>
        <w:pageBreakBefore w:val="0"/>
        <w:widowControl w:val="0"/>
        <w:kinsoku/>
        <w:wordWrap/>
        <w:overflowPunct/>
        <w:topLinePunct w:val="0"/>
        <w:autoSpaceDE/>
        <w:autoSpaceDN/>
        <w:bidi w:val="0"/>
        <w:adjustRightInd/>
        <w:snapToGrid/>
        <w:spacing w:line="576" w:lineRule="exact"/>
        <w:ind w:firstLine="720" w:firstLineChars="200"/>
        <w:jc w:val="both"/>
        <w:textAlignment w:val="auto"/>
        <w:rPr>
          <w:rFonts w:ascii="仿宋_GB2312" w:hAnsi="Calibri" w:eastAsia="仿宋_GB2312" w:cs="Times New Roman"/>
          <w:sz w:val="36"/>
          <w:szCs w:val="36"/>
        </w:rPr>
      </w:pPr>
      <w:r>
        <w:rPr>
          <w:rFonts w:hint="eastAsia" w:ascii="仿宋_GB2312" w:hAnsi="Calibri" w:eastAsia="仿宋_GB2312" w:cs="Times New Roman"/>
          <w:sz w:val="36"/>
          <w:szCs w:val="36"/>
        </w:rPr>
        <w:t>发改、财政、国资、税务、住建、市场监管、营商等部门按照各自职责做好相关工作。</w:t>
      </w:r>
    </w:p>
    <w:p w14:paraId="2D6A2DE5">
      <w:pPr>
        <w:keepNext w:val="0"/>
        <w:keepLines w:val="0"/>
        <w:pageBreakBefore w:val="0"/>
        <w:widowControl w:val="0"/>
        <w:kinsoku/>
        <w:wordWrap/>
        <w:overflowPunct/>
        <w:topLinePunct w:val="0"/>
        <w:autoSpaceDE/>
        <w:autoSpaceDN/>
        <w:bidi w:val="0"/>
        <w:adjustRightInd/>
        <w:snapToGrid/>
        <w:spacing w:before="316" w:beforeLines="100" w:after="316" w:afterLines="100" w:line="576" w:lineRule="exact"/>
        <w:jc w:val="center"/>
        <w:textAlignment w:val="auto"/>
        <w:rPr>
          <w:rFonts w:hint="eastAsia" w:ascii="黑体" w:hAnsi="黑体" w:eastAsia="黑体" w:cs="Times New Roman"/>
          <w:sz w:val="36"/>
          <w:szCs w:val="36"/>
        </w:rPr>
      </w:pPr>
      <w:r>
        <w:rPr>
          <w:rFonts w:hint="eastAsia" w:ascii="黑体" w:hAnsi="黑体" w:eastAsia="黑体" w:cs="Times New Roman"/>
          <w:sz w:val="36"/>
          <w:szCs w:val="36"/>
        </w:rPr>
        <w:t>第二章 国有建设用地使用权转让</w:t>
      </w:r>
    </w:p>
    <w:p w14:paraId="62A70563">
      <w:pPr>
        <w:keepNext w:val="0"/>
        <w:keepLines w:val="0"/>
        <w:pageBreakBefore w:val="0"/>
        <w:widowControl w:val="0"/>
        <w:kinsoku/>
        <w:wordWrap/>
        <w:overflowPunct/>
        <w:topLinePunct w:val="0"/>
        <w:autoSpaceDE/>
        <w:autoSpaceDN/>
        <w:bidi w:val="0"/>
        <w:adjustRightInd/>
        <w:snapToGrid/>
        <w:spacing w:line="576" w:lineRule="exact"/>
        <w:ind w:firstLine="723" w:firstLineChars="200"/>
        <w:jc w:val="both"/>
        <w:textAlignment w:val="auto"/>
        <w:rPr>
          <w:rFonts w:ascii="仿宋_GB2312" w:hAnsi="Calibri" w:eastAsia="仿宋_GB2312" w:cs="Times New Roman"/>
          <w:sz w:val="36"/>
          <w:szCs w:val="36"/>
        </w:rPr>
      </w:pPr>
      <w:r>
        <w:rPr>
          <w:rFonts w:hint="eastAsia" w:ascii="仿宋_GB2312" w:hAnsi="Calibri" w:eastAsia="仿宋_GB2312" w:cs="Times New Roman"/>
          <w:b/>
          <w:sz w:val="36"/>
          <w:szCs w:val="36"/>
        </w:rPr>
        <w:t xml:space="preserve">第五条 </w:t>
      </w:r>
      <w:r>
        <w:rPr>
          <w:rFonts w:hint="eastAsia" w:ascii="仿宋_GB2312" w:hAnsi="Calibri" w:eastAsia="仿宋_GB2312" w:cs="Times New Roman"/>
          <w:sz w:val="36"/>
          <w:szCs w:val="36"/>
        </w:rPr>
        <w:t>本办法所称国有建设用地使用权转让是指各类导致建设用地使用权转移的行为，包括买卖、交换、赠与、出资以及司法处置、资产处置、法人或其他组织合并或分立、母公司与子公司之间相互转让等形式涉及的建设用地使用权转移，以及分割或合并导致权属发生转移等法律、法规规定的其他情形。</w:t>
      </w:r>
    </w:p>
    <w:p w14:paraId="702E4484">
      <w:pPr>
        <w:keepNext w:val="0"/>
        <w:keepLines w:val="0"/>
        <w:pageBreakBefore w:val="0"/>
        <w:widowControl w:val="0"/>
        <w:kinsoku/>
        <w:wordWrap/>
        <w:overflowPunct/>
        <w:topLinePunct w:val="0"/>
        <w:autoSpaceDE/>
        <w:autoSpaceDN/>
        <w:bidi w:val="0"/>
        <w:adjustRightInd/>
        <w:snapToGrid/>
        <w:spacing w:line="576" w:lineRule="exact"/>
        <w:ind w:firstLine="720" w:firstLineChars="200"/>
        <w:jc w:val="both"/>
        <w:textAlignment w:val="auto"/>
        <w:rPr>
          <w:rFonts w:ascii="仿宋_GB2312" w:hAnsi="Calibri" w:eastAsia="仿宋_GB2312" w:cs="Times New Roman"/>
          <w:sz w:val="36"/>
          <w:szCs w:val="36"/>
        </w:rPr>
      </w:pPr>
      <w:r>
        <w:rPr>
          <w:rFonts w:hint="eastAsia" w:ascii="仿宋_GB2312" w:hAnsi="Calibri" w:eastAsia="仿宋_GB2312" w:cs="Times New Roman"/>
          <w:sz w:val="36"/>
          <w:szCs w:val="36"/>
        </w:rPr>
        <w:t>以出让方式取得的国有建设用地使用权转让时，土地使用权出让合同载明的权利、义务随之转移。</w:t>
      </w:r>
    </w:p>
    <w:p w14:paraId="59E36F46">
      <w:pPr>
        <w:keepNext w:val="0"/>
        <w:keepLines w:val="0"/>
        <w:pageBreakBefore w:val="0"/>
        <w:widowControl w:val="0"/>
        <w:kinsoku/>
        <w:wordWrap/>
        <w:overflowPunct/>
        <w:topLinePunct w:val="0"/>
        <w:autoSpaceDE/>
        <w:autoSpaceDN/>
        <w:bidi w:val="0"/>
        <w:adjustRightInd/>
        <w:snapToGrid/>
        <w:spacing w:line="576" w:lineRule="exact"/>
        <w:ind w:firstLine="720" w:firstLineChars="200"/>
        <w:jc w:val="both"/>
        <w:textAlignment w:val="auto"/>
        <w:rPr>
          <w:rFonts w:ascii="仿宋_GB2312" w:hAnsi="Calibri" w:eastAsia="仿宋_GB2312" w:cs="Times New Roman"/>
          <w:b/>
          <w:sz w:val="36"/>
          <w:szCs w:val="36"/>
        </w:rPr>
      </w:pPr>
      <w:r>
        <w:rPr>
          <w:rFonts w:hint="eastAsia" w:ascii="仿宋_GB2312" w:hAnsi="Calibri" w:eastAsia="仿宋_GB2312" w:cs="Times New Roman"/>
          <w:sz w:val="36"/>
          <w:szCs w:val="36"/>
        </w:rPr>
        <w:t>国有建设用地使用权转移的，地上建筑物、其他附着物所有权应一并转移。</w:t>
      </w:r>
    </w:p>
    <w:p w14:paraId="0947970A">
      <w:pPr>
        <w:keepNext w:val="0"/>
        <w:keepLines w:val="0"/>
        <w:pageBreakBefore w:val="0"/>
        <w:widowControl w:val="0"/>
        <w:kinsoku/>
        <w:wordWrap/>
        <w:overflowPunct/>
        <w:topLinePunct w:val="0"/>
        <w:autoSpaceDE/>
        <w:autoSpaceDN/>
        <w:bidi w:val="0"/>
        <w:adjustRightInd/>
        <w:snapToGrid/>
        <w:spacing w:line="576" w:lineRule="exact"/>
        <w:ind w:firstLine="723" w:firstLineChars="200"/>
        <w:jc w:val="both"/>
        <w:textAlignment w:val="auto"/>
        <w:rPr>
          <w:rFonts w:ascii="仿宋_GB2312" w:hAnsi="Calibri" w:eastAsia="仿宋_GB2312" w:cs="Times New Roman"/>
          <w:sz w:val="36"/>
          <w:szCs w:val="36"/>
        </w:rPr>
      </w:pPr>
      <w:r>
        <w:rPr>
          <w:rFonts w:hint="eastAsia" w:ascii="仿宋_GB2312" w:hAnsi="Calibri" w:eastAsia="仿宋_GB2312" w:cs="Times New Roman"/>
          <w:b/>
          <w:sz w:val="36"/>
          <w:szCs w:val="36"/>
        </w:rPr>
        <w:t>第六条</w:t>
      </w:r>
      <w:r>
        <w:rPr>
          <w:rFonts w:hint="eastAsia" w:ascii="仿宋_GB2312" w:hAnsi="Calibri" w:eastAsia="仿宋_GB2312" w:cs="Times New Roman"/>
          <w:sz w:val="36"/>
          <w:szCs w:val="36"/>
        </w:rPr>
        <w:t xml:space="preserve"> 国有建设用地使用权转让涉及房地产的应当符合以下条件：</w:t>
      </w:r>
    </w:p>
    <w:p w14:paraId="5330D066">
      <w:pPr>
        <w:keepNext w:val="0"/>
        <w:keepLines w:val="0"/>
        <w:pageBreakBefore w:val="0"/>
        <w:widowControl w:val="0"/>
        <w:kinsoku/>
        <w:wordWrap/>
        <w:overflowPunct/>
        <w:topLinePunct w:val="0"/>
        <w:autoSpaceDE/>
        <w:autoSpaceDN/>
        <w:bidi w:val="0"/>
        <w:adjustRightInd/>
        <w:snapToGrid/>
        <w:spacing w:line="576" w:lineRule="exact"/>
        <w:ind w:firstLine="720" w:firstLineChars="200"/>
        <w:jc w:val="both"/>
        <w:textAlignment w:val="auto"/>
        <w:rPr>
          <w:rFonts w:ascii="仿宋_GB2312" w:hAnsi="Calibri" w:eastAsia="仿宋_GB2312" w:cs="Times New Roman"/>
          <w:sz w:val="36"/>
          <w:szCs w:val="36"/>
        </w:rPr>
      </w:pPr>
      <w:r>
        <w:rPr>
          <w:rFonts w:hint="eastAsia" w:ascii="仿宋_GB2312" w:hAnsi="Calibri" w:eastAsia="仿宋_GB2312" w:cs="Times New Roman"/>
          <w:sz w:val="36"/>
          <w:szCs w:val="36"/>
        </w:rPr>
        <w:t xml:space="preserve">（一） 土地及地上物权属无争议； </w:t>
      </w:r>
    </w:p>
    <w:p w14:paraId="283AC9A1">
      <w:pPr>
        <w:keepNext w:val="0"/>
        <w:keepLines w:val="0"/>
        <w:pageBreakBefore w:val="0"/>
        <w:widowControl w:val="0"/>
        <w:kinsoku/>
        <w:wordWrap/>
        <w:overflowPunct/>
        <w:topLinePunct w:val="0"/>
        <w:autoSpaceDE/>
        <w:autoSpaceDN/>
        <w:bidi w:val="0"/>
        <w:adjustRightInd/>
        <w:snapToGrid/>
        <w:spacing w:line="576" w:lineRule="exact"/>
        <w:ind w:firstLine="720" w:firstLineChars="200"/>
        <w:jc w:val="both"/>
        <w:textAlignment w:val="auto"/>
        <w:rPr>
          <w:rFonts w:ascii="仿宋_GB2312" w:hAnsi="Calibri" w:eastAsia="仿宋_GB2312" w:cs="Times New Roman"/>
          <w:sz w:val="36"/>
          <w:szCs w:val="36"/>
        </w:rPr>
      </w:pPr>
      <w:r>
        <w:rPr>
          <w:rFonts w:hint="eastAsia" w:ascii="仿宋_GB2312" w:hAnsi="Calibri" w:eastAsia="仿宋_GB2312" w:cs="Times New Roman"/>
          <w:sz w:val="36"/>
          <w:szCs w:val="36"/>
        </w:rPr>
        <w:t>（二） 权利人已依法登记领取权属证书；</w:t>
      </w:r>
    </w:p>
    <w:p w14:paraId="686F8D3E">
      <w:pPr>
        <w:keepNext w:val="0"/>
        <w:keepLines w:val="0"/>
        <w:pageBreakBefore w:val="0"/>
        <w:widowControl w:val="0"/>
        <w:kinsoku/>
        <w:wordWrap/>
        <w:overflowPunct/>
        <w:topLinePunct w:val="0"/>
        <w:autoSpaceDE/>
        <w:autoSpaceDN/>
        <w:bidi w:val="0"/>
        <w:adjustRightInd/>
        <w:snapToGrid/>
        <w:spacing w:line="576" w:lineRule="exact"/>
        <w:ind w:firstLine="720" w:firstLineChars="200"/>
        <w:jc w:val="both"/>
        <w:textAlignment w:val="auto"/>
        <w:rPr>
          <w:rFonts w:ascii="仿宋_GB2312" w:hAnsi="Calibri" w:eastAsia="仿宋_GB2312" w:cs="Times New Roman"/>
          <w:sz w:val="36"/>
          <w:szCs w:val="36"/>
        </w:rPr>
      </w:pPr>
      <w:r>
        <w:rPr>
          <w:rFonts w:hint="eastAsia" w:ascii="仿宋_GB2312" w:hAnsi="Calibri" w:eastAsia="仿宋_GB2312" w:cs="Times New Roman"/>
          <w:sz w:val="36"/>
          <w:szCs w:val="36"/>
        </w:rPr>
        <w:t>（三） 整宗划拨国有建设用地使用权转让获政府批准；</w:t>
      </w:r>
    </w:p>
    <w:p w14:paraId="4C51E1B7">
      <w:pPr>
        <w:keepNext w:val="0"/>
        <w:keepLines w:val="0"/>
        <w:pageBreakBefore w:val="0"/>
        <w:widowControl w:val="0"/>
        <w:kinsoku/>
        <w:wordWrap/>
        <w:overflowPunct/>
        <w:topLinePunct w:val="0"/>
        <w:autoSpaceDE/>
        <w:autoSpaceDN/>
        <w:bidi w:val="0"/>
        <w:adjustRightInd/>
        <w:snapToGrid/>
        <w:spacing w:line="576" w:lineRule="exact"/>
        <w:ind w:firstLine="720" w:firstLineChars="200"/>
        <w:jc w:val="both"/>
        <w:textAlignment w:val="auto"/>
        <w:rPr>
          <w:rFonts w:ascii="仿宋_GB2312" w:hAnsi="Calibri" w:eastAsia="仿宋_GB2312" w:cs="Times New Roman"/>
          <w:sz w:val="36"/>
          <w:szCs w:val="36"/>
        </w:rPr>
      </w:pPr>
      <w:r>
        <w:rPr>
          <w:rFonts w:hint="eastAsia" w:ascii="仿宋_GB2312" w:hAnsi="Calibri" w:eastAsia="仿宋_GB2312" w:cs="Times New Roman"/>
          <w:sz w:val="36"/>
          <w:szCs w:val="36"/>
        </w:rPr>
        <w:t>（四） 属于房屋建设工程的，已按土地出让合同约定完成开发投资总额的25%（含25%）以上；</w:t>
      </w:r>
    </w:p>
    <w:p w14:paraId="562C5437">
      <w:pPr>
        <w:keepNext w:val="0"/>
        <w:keepLines w:val="0"/>
        <w:pageBreakBefore w:val="0"/>
        <w:widowControl w:val="0"/>
        <w:kinsoku/>
        <w:wordWrap/>
        <w:overflowPunct/>
        <w:topLinePunct w:val="0"/>
        <w:autoSpaceDE/>
        <w:autoSpaceDN/>
        <w:bidi w:val="0"/>
        <w:adjustRightInd/>
        <w:snapToGrid/>
        <w:spacing w:line="576" w:lineRule="exact"/>
        <w:ind w:firstLine="720" w:firstLineChars="200"/>
        <w:jc w:val="both"/>
        <w:textAlignment w:val="auto"/>
        <w:rPr>
          <w:rFonts w:ascii="仿宋_GB2312" w:hAnsi="Calibri" w:eastAsia="仿宋_GB2312" w:cs="Times New Roman"/>
          <w:sz w:val="36"/>
          <w:szCs w:val="36"/>
        </w:rPr>
      </w:pPr>
      <w:r>
        <w:rPr>
          <w:rFonts w:hint="eastAsia" w:ascii="仿宋_GB2312" w:hAnsi="Calibri" w:eastAsia="仿宋_GB2312" w:cs="Times New Roman"/>
          <w:sz w:val="36"/>
          <w:szCs w:val="36"/>
        </w:rPr>
        <w:t>（五） 属于用于成片开发的国有建设用地以出让方式取得使用权的，已形成工业用地或者其他建设用地条件；</w:t>
      </w:r>
    </w:p>
    <w:p w14:paraId="600520C5">
      <w:pPr>
        <w:keepNext w:val="0"/>
        <w:keepLines w:val="0"/>
        <w:pageBreakBefore w:val="0"/>
        <w:widowControl w:val="0"/>
        <w:kinsoku/>
        <w:wordWrap/>
        <w:overflowPunct/>
        <w:topLinePunct w:val="0"/>
        <w:autoSpaceDE/>
        <w:autoSpaceDN/>
        <w:bidi w:val="0"/>
        <w:adjustRightInd/>
        <w:snapToGrid/>
        <w:spacing w:line="576" w:lineRule="exact"/>
        <w:ind w:firstLine="720" w:firstLineChars="200"/>
        <w:jc w:val="both"/>
        <w:textAlignment w:val="auto"/>
        <w:rPr>
          <w:rFonts w:ascii="仿宋_GB2312" w:hAnsi="Calibri" w:eastAsia="仿宋_GB2312" w:cs="Times New Roman"/>
          <w:sz w:val="36"/>
          <w:szCs w:val="36"/>
        </w:rPr>
      </w:pPr>
      <w:r>
        <w:rPr>
          <w:rFonts w:hint="eastAsia" w:ascii="仿宋_GB2312" w:hAnsi="Calibri" w:eastAsia="仿宋_GB2312" w:cs="Times New Roman"/>
          <w:sz w:val="36"/>
          <w:szCs w:val="36"/>
        </w:rPr>
        <w:t xml:space="preserve">（六） 被认定为闲置土地的，已处置到位； </w:t>
      </w:r>
    </w:p>
    <w:p w14:paraId="3EEBAA8D">
      <w:pPr>
        <w:keepNext w:val="0"/>
        <w:keepLines w:val="0"/>
        <w:pageBreakBefore w:val="0"/>
        <w:widowControl w:val="0"/>
        <w:kinsoku/>
        <w:wordWrap/>
        <w:overflowPunct/>
        <w:topLinePunct w:val="0"/>
        <w:autoSpaceDE/>
        <w:autoSpaceDN/>
        <w:bidi w:val="0"/>
        <w:adjustRightInd/>
        <w:snapToGrid/>
        <w:spacing w:line="576" w:lineRule="exact"/>
        <w:ind w:firstLine="720" w:firstLineChars="200"/>
        <w:jc w:val="both"/>
        <w:textAlignment w:val="auto"/>
        <w:rPr>
          <w:rFonts w:ascii="仿宋_GB2312" w:hAnsi="Calibri" w:eastAsia="仿宋_GB2312" w:cs="Times New Roman"/>
          <w:sz w:val="36"/>
          <w:szCs w:val="36"/>
        </w:rPr>
      </w:pPr>
      <w:r>
        <w:rPr>
          <w:rFonts w:hint="eastAsia" w:ascii="仿宋_GB2312" w:hAnsi="Calibri" w:eastAsia="仿宋_GB2312" w:cs="Times New Roman"/>
          <w:sz w:val="36"/>
          <w:szCs w:val="36"/>
        </w:rPr>
        <w:t xml:space="preserve">（七） 国有建设用地使用权由多个权利人共有的，经其他共有人书面同意； </w:t>
      </w:r>
    </w:p>
    <w:p w14:paraId="1DC2AAB9">
      <w:pPr>
        <w:keepNext w:val="0"/>
        <w:keepLines w:val="0"/>
        <w:pageBreakBefore w:val="0"/>
        <w:widowControl w:val="0"/>
        <w:kinsoku/>
        <w:wordWrap/>
        <w:overflowPunct/>
        <w:topLinePunct w:val="0"/>
        <w:autoSpaceDE/>
        <w:autoSpaceDN/>
        <w:bidi w:val="0"/>
        <w:adjustRightInd/>
        <w:snapToGrid/>
        <w:spacing w:line="576" w:lineRule="exact"/>
        <w:ind w:firstLine="720" w:firstLineChars="200"/>
        <w:jc w:val="both"/>
        <w:textAlignment w:val="auto"/>
        <w:rPr>
          <w:rFonts w:ascii="仿宋_GB2312" w:hAnsi="Calibri" w:eastAsia="仿宋_GB2312" w:cs="Times New Roman"/>
          <w:sz w:val="36"/>
          <w:szCs w:val="36"/>
        </w:rPr>
      </w:pPr>
      <w:r>
        <w:rPr>
          <w:rFonts w:hint="eastAsia" w:ascii="仿宋_GB2312" w:hAnsi="Calibri" w:eastAsia="仿宋_GB2312" w:cs="Times New Roman"/>
          <w:sz w:val="36"/>
          <w:szCs w:val="36"/>
        </w:rPr>
        <w:t>（八）不存在法律、法规规定禁止交易的情形。</w:t>
      </w:r>
    </w:p>
    <w:p w14:paraId="0BCA2510">
      <w:pPr>
        <w:keepNext w:val="0"/>
        <w:keepLines w:val="0"/>
        <w:pageBreakBefore w:val="0"/>
        <w:widowControl w:val="0"/>
        <w:kinsoku/>
        <w:wordWrap/>
        <w:overflowPunct/>
        <w:topLinePunct w:val="0"/>
        <w:autoSpaceDE/>
        <w:autoSpaceDN/>
        <w:bidi w:val="0"/>
        <w:adjustRightInd/>
        <w:snapToGrid/>
        <w:spacing w:line="576" w:lineRule="exact"/>
        <w:ind w:firstLine="723" w:firstLineChars="200"/>
        <w:jc w:val="both"/>
        <w:textAlignment w:val="auto"/>
        <w:rPr>
          <w:rFonts w:ascii="仿宋_GB2312" w:hAnsi="Calibri" w:eastAsia="仿宋_GB2312" w:cs="Times New Roman"/>
          <w:b/>
          <w:sz w:val="36"/>
          <w:szCs w:val="36"/>
        </w:rPr>
      </w:pPr>
      <w:r>
        <w:rPr>
          <w:rFonts w:hint="eastAsia" w:ascii="仿宋_GB2312" w:hAnsi="Calibri" w:eastAsia="仿宋_GB2312" w:cs="Times New Roman"/>
          <w:b/>
          <w:sz w:val="36"/>
          <w:szCs w:val="36"/>
        </w:rPr>
        <w:t>第七条</w:t>
      </w:r>
      <w:r>
        <w:rPr>
          <w:rFonts w:hint="eastAsia" w:ascii="仿宋_GB2312" w:hAnsi="Calibri" w:cs="Times New Roman"/>
          <w:b/>
          <w:sz w:val="36"/>
          <w:szCs w:val="36"/>
          <w:lang w:eastAsia="zh-CN"/>
        </w:rPr>
        <w:t xml:space="preserve"> </w:t>
      </w:r>
      <w:r>
        <w:rPr>
          <w:rFonts w:hint="eastAsia" w:ascii="仿宋_GB2312" w:hAnsi="Calibri" w:eastAsia="仿宋_GB2312" w:cs="Times New Roman"/>
          <w:sz w:val="36"/>
          <w:szCs w:val="36"/>
        </w:rPr>
        <w:t>属于房屋建设工程已投资额未达到总投资额25%的，交易双方可先行签订建设用地使用权转让合同，办理预告登记，待达到转让条件后，再依法办理不动产转移登记。“已投资额”可依据有资质的机构出具的投资情况报告认定。</w:t>
      </w:r>
    </w:p>
    <w:p w14:paraId="33F8E2EB">
      <w:pPr>
        <w:keepNext w:val="0"/>
        <w:keepLines w:val="0"/>
        <w:pageBreakBefore w:val="0"/>
        <w:widowControl w:val="0"/>
        <w:kinsoku/>
        <w:wordWrap/>
        <w:overflowPunct/>
        <w:topLinePunct w:val="0"/>
        <w:autoSpaceDE/>
        <w:autoSpaceDN/>
        <w:bidi w:val="0"/>
        <w:adjustRightInd/>
        <w:snapToGrid/>
        <w:spacing w:line="576" w:lineRule="exact"/>
        <w:ind w:firstLine="723" w:firstLineChars="200"/>
        <w:jc w:val="both"/>
        <w:textAlignment w:val="auto"/>
        <w:rPr>
          <w:rFonts w:ascii="仿宋_GB2312" w:hAnsi="Calibri" w:eastAsia="仿宋_GB2312" w:cs="Times New Roman"/>
          <w:sz w:val="36"/>
          <w:szCs w:val="36"/>
        </w:rPr>
      </w:pPr>
      <w:r>
        <w:rPr>
          <w:rFonts w:hint="eastAsia" w:ascii="仿宋_GB2312" w:hAnsi="Calibri" w:eastAsia="仿宋_GB2312" w:cs="Times New Roman"/>
          <w:b/>
          <w:sz w:val="36"/>
          <w:szCs w:val="36"/>
        </w:rPr>
        <w:t>第八条</w:t>
      </w:r>
      <w:r>
        <w:rPr>
          <w:rFonts w:hint="eastAsia" w:ascii="仿宋_GB2312" w:hAnsi="Calibri" w:cs="Times New Roman"/>
          <w:sz w:val="36"/>
          <w:szCs w:val="36"/>
          <w:lang w:eastAsia="zh-CN"/>
        </w:rPr>
        <w:t xml:space="preserve"> </w:t>
      </w:r>
      <w:r>
        <w:rPr>
          <w:rFonts w:hint="eastAsia" w:ascii="仿宋_GB2312" w:hAnsi="Calibri" w:eastAsia="仿宋_GB2312" w:cs="Times New Roman"/>
          <w:sz w:val="36"/>
          <w:szCs w:val="36"/>
        </w:rPr>
        <w:t>以划拨方式取得的整宗国有建设用地使用权转让，应当经有权批准的政府依法批准，按以下方式办理：</w:t>
      </w:r>
    </w:p>
    <w:p w14:paraId="354581EB">
      <w:pPr>
        <w:keepNext w:val="0"/>
        <w:keepLines w:val="0"/>
        <w:pageBreakBefore w:val="0"/>
        <w:widowControl w:val="0"/>
        <w:kinsoku/>
        <w:wordWrap/>
        <w:overflowPunct/>
        <w:topLinePunct w:val="0"/>
        <w:autoSpaceDE/>
        <w:autoSpaceDN/>
        <w:bidi w:val="0"/>
        <w:adjustRightInd/>
        <w:snapToGrid/>
        <w:spacing w:line="576" w:lineRule="exact"/>
        <w:ind w:firstLine="720" w:firstLineChars="200"/>
        <w:jc w:val="both"/>
        <w:textAlignment w:val="auto"/>
        <w:rPr>
          <w:rFonts w:ascii="仿宋_GB2312" w:hAnsi="Calibri" w:eastAsia="仿宋_GB2312" w:cs="Times New Roman"/>
          <w:sz w:val="36"/>
          <w:szCs w:val="36"/>
        </w:rPr>
      </w:pPr>
      <w:r>
        <w:rPr>
          <w:rFonts w:hint="eastAsia" w:ascii="仿宋_GB2312" w:hAnsi="Calibri" w:eastAsia="仿宋_GB2312" w:cs="Times New Roman"/>
          <w:sz w:val="36"/>
          <w:szCs w:val="36"/>
        </w:rPr>
        <w:t>（一）土地用途符合《划拨用地目录》以及有关规划要求的，可以保留划拨方式，办理转移登记；</w:t>
      </w:r>
    </w:p>
    <w:p w14:paraId="076B67C1">
      <w:pPr>
        <w:keepNext w:val="0"/>
        <w:keepLines w:val="0"/>
        <w:pageBreakBefore w:val="0"/>
        <w:widowControl w:val="0"/>
        <w:kinsoku/>
        <w:wordWrap/>
        <w:overflowPunct/>
        <w:topLinePunct w:val="0"/>
        <w:autoSpaceDE/>
        <w:autoSpaceDN/>
        <w:bidi w:val="0"/>
        <w:adjustRightInd/>
        <w:snapToGrid/>
        <w:spacing w:line="576" w:lineRule="exact"/>
        <w:ind w:firstLine="720" w:firstLineChars="200"/>
        <w:jc w:val="both"/>
        <w:textAlignment w:val="auto"/>
        <w:rPr>
          <w:rFonts w:ascii="仿宋_GB2312" w:hAnsi="Calibri" w:eastAsia="仿宋_GB2312" w:cs="Times New Roman"/>
          <w:sz w:val="36"/>
          <w:szCs w:val="36"/>
        </w:rPr>
      </w:pPr>
      <w:r>
        <w:rPr>
          <w:rFonts w:hint="eastAsia" w:ascii="仿宋_GB2312" w:hAnsi="Calibri" w:eastAsia="仿宋_GB2312" w:cs="Times New Roman"/>
          <w:sz w:val="36"/>
          <w:szCs w:val="36"/>
        </w:rPr>
        <w:t>（二）土地用途不符合《划拨用地目录》但符合有关规划要求的，由受让方补缴土地出让价款，自然资源部门为其办理土地出让手续和不动产登记。</w:t>
      </w:r>
    </w:p>
    <w:p w14:paraId="5E8D3608">
      <w:pPr>
        <w:keepNext w:val="0"/>
        <w:keepLines w:val="0"/>
        <w:pageBreakBefore w:val="0"/>
        <w:widowControl w:val="0"/>
        <w:kinsoku/>
        <w:wordWrap/>
        <w:overflowPunct/>
        <w:topLinePunct w:val="0"/>
        <w:autoSpaceDE/>
        <w:autoSpaceDN/>
        <w:bidi w:val="0"/>
        <w:adjustRightInd/>
        <w:snapToGrid/>
        <w:spacing w:line="576" w:lineRule="exact"/>
        <w:ind w:firstLine="723" w:firstLineChars="200"/>
        <w:jc w:val="both"/>
        <w:textAlignment w:val="auto"/>
        <w:rPr>
          <w:rFonts w:ascii="仿宋_GB2312" w:hAnsi="Calibri" w:eastAsia="仿宋_GB2312" w:cs="Times New Roman"/>
          <w:sz w:val="36"/>
          <w:szCs w:val="36"/>
        </w:rPr>
      </w:pPr>
      <w:r>
        <w:rPr>
          <w:rFonts w:hint="eastAsia" w:ascii="仿宋_GB2312" w:hAnsi="Calibri" w:eastAsia="仿宋_GB2312" w:cs="Times New Roman"/>
          <w:b/>
          <w:sz w:val="36"/>
          <w:szCs w:val="36"/>
        </w:rPr>
        <w:t>第九条</w:t>
      </w:r>
      <w:r>
        <w:rPr>
          <w:rFonts w:hint="eastAsia" w:ascii="仿宋_GB2312" w:hAnsi="Calibri" w:eastAsia="仿宋_GB2312" w:cs="Times New Roman"/>
          <w:sz w:val="36"/>
          <w:szCs w:val="36"/>
        </w:rPr>
        <w:t xml:space="preserve"> 国有建设用地使用权人提出申请，经自然资源部门依法批准，可将一宗地分割为多宗地、多宗地合并为一宗地。分割、合并后地块应具备独立成宗条件。涉及公共配套设施建设和使用的，转让双方应在合同中明确有关权利和义务。</w:t>
      </w:r>
    </w:p>
    <w:p w14:paraId="2D50D520">
      <w:pPr>
        <w:keepNext w:val="0"/>
        <w:keepLines w:val="0"/>
        <w:pageBreakBefore w:val="0"/>
        <w:widowControl w:val="0"/>
        <w:kinsoku/>
        <w:wordWrap/>
        <w:overflowPunct/>
        <w:topLinePunct w:val="0"/>
        <w:autoSpaceDE/>
        <w:autoSpaceDN/>
        <w:bidi w:val="0"/>
        <w:adjustRightInd/>
        <w:snapToGrid/>
        <w:spacing w:line="576" w:lineRule="exact"/>
        <w:ind w:firstLine="720" w:firstLineChars="200"/>
        <w:jc w:val="both"/>
        <w:textAlignment w:val="auto"/>
        <w:rPr>
          <w:rFonts w:ascii="仿宋_GB2312" w:hAnsi="Calibri" w:eastAsia="仿宋_GB2312" w:cs="Times New Roman"/>
          <w:sz w:val="36"/>
          <w:szCs w:val="36"/>
        </w:rPr>
      </w:pPr>
      <w:r>
        <w:rPr>
          <w:rFonts w:hint="eastAsia" w:ascii="仿宋_GB2312" w:hAnsi="Calibri" w:eastAsia="仿宋_GB2312" w:cs="Times New Roman"/>
          <w:sz w:val="36"/>
          <w:szCs w:val="36"/>
        </w:rPr>
        <w:t>土地分割转让应符合土地出让合同约定，整宗地投资额达到转让条件方可分割转让。拟分割转让土地已预售或存在多个权利主体的，转让方应就宗地拟分割情况取得相关权利人同意，不得损害权利人合法权利。</w:t>
      </w:r>
    </w:p>
    <w:p w14:paraId="02BA5CCB">
      <w:pPr>
        <w:keepNext w:val="0"/>
        <w:keepLines w:val="0"/>
        <w:pageBreakBefore w:val="0"/>
        <w:widowControl w:val="0"/>
        <w:kinsoku/>
        <w:wordWrap/>
        <w:overflowPunct/>
        <w:topLinePunct w:val="0"/>
        <w:autoSpaceDE/>
        <w:autoSpaceDN/>
        <w:bidi w:val="0"/>
        <w:adjustRightInd/>
        <w:snapToGrid/>
        <w:spacing w:line="576" w:lineRule="exact"/>
        <w:ind w:firstLine="720" w:firstLineChars="200"/>
        <w:jc w:val="both"/>
        <w:textAlignment w:val="auto"/>
        <w:rPr>
          <w:rFonts w:ascii="仿宋_GB2312" w:hAnsi="Calibri" w:eastAsia="仿宋_GB2312" w:cs="Times New Roman"/>
          <w:sz w:val="36"/>
          <w:szCs w:val="36"/>
        </w:rPr>
      </w:pPr>
      <w:r>
        <w:rPr>
          <w:rFonts w:hint="eastAsia" w:ascii="仿宋_GB2312" w:hAnsi="Calibri" w:eastAsia="仿宋_GB2312" w:cs="Times New Roman"/>
          <w:sz w:val="36"/>
          <w:szCs w:val="36"/>
        </w:rPr>
        <w:t>多宗地合并，涉及划拨、出让、作价出资或入股等多种土地使用权类型的，原则上统一办理为出让，其中的划拨土地需按土地市场价格补缴土地出让价款；合并宗地用途符合《划拨用地目录》的，土地使用权人可选择保留划拨方式；涉及剩余出让年限不一致的，可按照等价值有利于使用的原则重新确定剩余土地出让年限，也可补缴相应年限土地出让金后按较长年限登记。</w:t>
      </w:r>
    </w:p>
    <w:p w14:paraId="62587E05">
      <w:pPr>
        <w:keepNext w:val="0"/>
        <w:keepLines w:val="0"/>
        <w:pageBreakBefore w:val="0"/>
        <w:widowControl w:val="0"/>
        <w:kinsoku/>
        <w:wordWrap/>
        <w:overflowPunct/>
        <w:topLinePunct w:val="0"/>
        <w:autoSpaceDE/>
        <w:autoSpaceDN/>
        <w:bidi w:val="0"/>
        <w:adjustRightInd/>
        <w:snapToGrid/>
        <w:spacing w:line="576" w:lineRule="exact"/>
        <w:ind w:firstLine="723" w:firstLineChars="200"/>
        <w:jc w:val="both"/>
        <w:textAlignment w:val="auto"/>
        <w:rPr>
          <w:rFonts w:ascii="仿宋_GB2312" w:hAnsi="Calibri" w:eastAsia="仿宋_GB2312" w:cs="Times New Roman"/>
          <w:sz w:val="36"/>
          <w:szCs w:val="36"/>
        </w:rPr>
      </w:pPr>
      <w:r>
        <w:rPr>
          <w:rFonts w:hint="eastAsia" w:ascii="仿宋_GB2312" w:hAnsi="Calibri" w:eastAsia="仿宋_GB2312" w:cs="Times New Roman"/>
          <w:b/>
          <w:sz w:val="36"/>
          <w:szCs w:val="36"/>
        </w:rPr>
        <w:t xml:space="preserve">第十条 </w:t>
      </w:r>
      <w:r>
        <w:rPr>
          <w:rFonts w:hint="eastAsia" w:ascii="仿宋_GB2312" w:hAnsi="Calibri" w:eastAsia="仿宋_GB2312" w:cs="Times New Roman"/>
          <w:sz w:val="36"/>
          <w:szCs w:val="36"/>
        </w:rPr>
        <w:t>以作价出资或入股方式取得的建设用地使用权转让，参照以出让方式取得的建设用地使用权转让有关规定办理，不再报经原批准建设用地使用权作价出资或入股的机关批准。</w:t>
      </w:r>
    </w:p>
    <w:p w14:paraId="17A986FD">
      <w:pPr>
        <w:keepNext w:val="0"/>
        <w:keepLines w:val="0"/>
        <w:pageBreakBefore w:val="0"/>
        <w:widowControl w:val="0"/>
        <w:kinsoku/>
        <w:wordWrap/>
        <w:overflowPunct/>
        <w:topLinePunct w:val="0"/>
        <w:autoSpaceDE/>
        <w:autoSpaceDN/>
        <w:bidi w:val="0"/>
        <w:adjustRightInd/>
        <w:snapToGrid/>
        <w:spacing w:line="576" w:lineRule="exact"/>
        <w:ind w:firstLine="723" w:firstLineChars="200"/>
        <w:jc w:val="both"/>
        <w:textAlignment w:val="auto"/>
        <w:rPr>
          <w:rFonts w:ascii="仿宋_GB2312" w:hAnsi="Calibri" w:eastAsia="仿宋_GB2312" w:cs="Times New Roman"/>
          <w:sz w:val="36"/>
          <w:szCs w:val="36"/>
        </w:rPr>
      </w:pPr>
      <w:r>
        <w:rPr>
          <w:rFonts w:hint="eastAsia" w:ascii="仿宋_GB2312" w:hAnsi="Calibri" w:eastAsia="仿宋_GB2312" w:cs="Times New Roman"/>
          <w:b/>
          <w:sz w:val="36"/>
          <w:szCs w:val="36"/>
        </w:rPr>
        <w:t>第十一条</w:t>
      </w:r>
      <w:r>
        <w:rPr>
          <w:rFonts w:hint="eastAsia" w:ascii="仿宋_GB2312" w:hAnsi="Calibri" w:eastAsia="仿宋_GB2312" w:cs="Times New Roman"/>
          <w:sz w:val="36"/>
          <w:szCs w:val="36"/>
        </w:rPr>
        <w:t xml:space="preserve"> 实行价格申报机制，转让双方应当如实申报交易价格。申报价格比基准地价低20％以上的，市或者县人民政府可优先收购纳入政府储备。</w:t>
      </w:r>
    </w:p>
    <w:p w14:paraId="5F527D80">
      <w:pPr>
        <w:keepNext w:val="0"/>
        <w:keepLines w:val="0"/>
        <w:pageBreakBefore w:val="0"/>
        <w:widowControl w:val="0"/>
        <w:kinsoku/>
        <w:wordWrap/>
        <w:overflowPunct/>
        <w:topLinePunct w:val="0"/>
        <w:autoSpaceDE/>
        <w:autoSpaceDN/>
        <w:bidi w:val="0"/>
        <w:adjustRightInd/>
        <w:snapToGrid/>
        <w:spacing w:before="316" w:beforeLines="100" w:after="316" w:afterLines="100" w:line="576" w:lineRule="exact"/>
        <w:jc w:val="center"/>
        <w:textAlignment w:val="auto"/>
        <w:rPr>
          <w:rFonts w:hint="eastAsia" w:ascii="黑体" w:hAnsi="黑体" w:eastAsia="黑体" w:cs="Times New Roman"/>
          <w:sz w:val="36"/>
          <w:szCs w:val="36"/>
        </w:rPr>
      </w:pPr>
      <w:r>
        <w:rPr>
          <w:rFonts w:hint="eastAsia" w:ascii="黑体" w:hAnsi="黑体" w:eastAsia="黑体" w:cs="Times New Roman"/>
          <w:sz w:val="36"/>
          <w:szCs w:val="36"/>
        </w:rPr>
        <w:t>第三章 国有建设用地使用权出租</w:t>
      </w:r>
    </w:p>
    <w:p w14:paraId="5F6A09A0">
      <w:pPr>
        <w:keepNext w:val="0"/>
        <w:keepLines w:val="0"/>
        <w:pageBreakBefore w:val="0"/>
        <w:widowControl w:val="0"/>
        <w:kinsoku/>
        <w:wordWrap/>
        <w:overflowPunct/>
        <w:topLinePunct w:val="0"/>
        <w:autoSpaceDE/>
        <w:autoSpaceDN/>
        <w:bidi w:val="0"/>
        <w:adjustRightInd/>
        <w:snapToGrid/>
        <w:spacing w:line="576" w:lineRule="exact"/>
        <w:ind w:firstLine="723" w:firstLineChars="200"/>
        <w:jc w:val="both"/>
        <w:textAlignment w:val="auto"/>
        <w:rPr>
          <w:rFonts w:ascii="仿宋_GB2312" w:hAnsi="Calibri" w:eastAsia="仿宋_GB2312" w:cs="Times New Roman"/>
          <w:sz w:val="36"/>
          <w:szCs w:val="36"/>
        </w:rPr>
      </w:pPr>
      <w:r>
        <w:rPr>
          <w:rFonts w:hint="eastAsia" w:ascii="仿宋_GB2312" w:hAnsi="Calibri" w:eastAsia="仿宋_GB2312" w:cs="Times New Roman"/>
          <w:b/>
          <w:sz w:val="36"/>
          <w:szCs w:val="36"/>
        </w:rPr>
        <w:t>第十二条</w:t>
      </w:r>
      <w:r>
        <w:rPr>
          <w:rFonts w:hint="eastAsia" w:ascii="仿宋_GB2312" w:hAnsi="Calibri" w:eastAsia="仿宋_GB2312" w:cs="Times New Roman"/>
          <w:sz w:val="36"/>
          <w:szCs w:val="36"/>
        </w:rPr>
        <w:t xml:space="preserve"> 本办法所称国有建设用地使用权出租，是指土地使用权人作为出租人将建设用地使用权随同地上建筑物、其他附着物租赁给承租人使用，由承租人向出租人支付租金的行为。</w:t>
      </w:r>
    </w:p>
    <w:p w14:paraId="02F49664">
      <w:pPr>
        <w:keepNext w:val="0"/>
        <w:keepLines w:val="0"/>
        <w:pageBreakBefore w:val="0"/>
        <w:widowControl w:val="0"/>
        <w:kinsoku/>
        <w:wordWrap/>
        <w:overflowPunct/>
        <w:topLinePunct w:val="0"/>
        <w:autoSpaceDE/>
        <w:autoSpaceDN/>
        <w:bidi w:val="0"/>
        <w:adjustRightInd/>
        <w:snapToGrid/>
        <w:spacing w:line="576" w:lineRule="exact"/>
        <w:ind w:firstLine="720" w:firstLineChars="200"/>
        <w:jc w:val="both"/>
        <w:textAlignment w:val="auto"/>
        <w:rPr>
          <w:rFonts w:ascii="仿宋_GB2312" w:hAnsi="Calibri" w:eastAsia="仿宋_GB2312" w:cs="Times New Roman"/>
          <w:sz w:val="36"/>
          <w:szCs w:val="36"/>
        </w:rPr>
      </w:pPr>
      <w:r>
        <w:rPr>
          <w:rFonts w:hint="eastAsia" w:ascii="仿宋_GB2312" w:hAnsi="Calibri" w:eastAsia="仿宋_GB2312" w:cs="Times New Roman"/>
          <w:sz w:val="36"/>
          <w:szCs w:val="36"/>
        </w:rPr>
        <w:t>国有建设用地使用权出租的，出租人与承租人应签订建设用地使用权出租合同。</w:t>
      </w:r>
    </w:p>
    <w:p w14:paraId="3E653939">
      <w:pPr>
        <w:keepNext w:val="0"/>
        <w:keepLines w:val="0"/>
        <w:pageBreakBefore w:val="0"/>
        <w:widowControl w:val="0"/>
        <w:kinsoku/>
        <w:wordWrap/>
        <w:overflowPunct/>
        <w:topLinePunct w:val="0"/>
        <w:autoSpaceDE/>
        <w:autoSpaceDN/>
        <w:bidi w:val="0"/>
        <w:adjustRightInd/>
        <w:snapToGrid/>
        <w:spacing w:line="576" w:lineRule="exact"/>
        <w:ind w:firstLine="723" w:firstLineChars="200"/>
        <w:jc w:val="both"/>
        <w:textAlignment w:val="auto"/>
        <w:rPr>
          <w:rFonts w:ascii="仿宋_GB2312" w:hAnsi="Calibri" w:eastAsia="仿宋_GB2312" w:cs="Times New Roman"/>
          <w:sz w:val="36"/>
          <w:szCs w:val="36"/>
        </w:rPr>
      </w:pPr>
      <w:r>
        <w:rPr>
          <w:rFonts w:hint="eastAsia" w:ascii="仿宋_GB2312" w:hAnsi="Calibri" w:eastAsia="仿宋_GB2312" w:cs="Times New Roman"/>
          <w:b/>
          <w:sz w:val="36"/>
          <w:szCs w:val="36"/>
        </w:rPr>
        <w:t>第十三条</w:t>
      </w:r>
      <w:r>
        <w:rPr>
          <w:rFonts w:hint="eastAsia" w:ascii="仿宋_GB2312" w:hAnsi="Calibri" w:eastAsia="仿宋_GB2312" w:cs="Times New Roman"/>
          <w:sz w:val="36"/>
          <w:szCs w:val="36"/>
        </w:rPr>
        <w:t>国有建设用地使用权出租应符合以下条件：</w:t>
      </w:r>
    </w:p>
    <w:p w14:paraId="7F49E1D4">
      <w:pPr>
        <w:keepNext w:val="0"/>
        <w:keepLines w:val="0"/>
        <w:pageBreakBefore w:val="0"/>
        <w:widowControl w:val="0"/>
        <w:kinsoku/>
        <w:wordWrap/>
        <w:overflowPunct/>
        <w:topLinePunct w:val="0"/>
        <w:autoSpaceDE/>
        <w:autoSpaceDN/>
        <w:bidi w:val="0"/>
        <w:adjustRightInd/>
        <w:snapToGrid/>
        <w:spacing w:line="576" w:lineRule="exact"/>
        <w:ind w:firstLine="720" w:firstLineChars="200"/>
        <w:jc w:val="both"/>
        <w:textAlignment w:val="auto"/>
        <w:rPr>
          <w:rFonts w:ascii="仿宋_GB2312" w:hAnsi="Calibri" w:eastAsia="仿宋_GB2312" w:cs="Times New Roman"/>
          <w:sz w:val="36"/>
          <w:szCs w:val="36"/>
        </w:rPr>
      </w:pPr>
      <w:r>
        <w:rPr>
          <w:rFonts w:hint="eastAsia" w:ascii="仿宋_GB2312" w:hAnsi="Calibri" w:eastAsia="仿宋_GB2312" w:cs="Times New Roman"/>
          <w:sz w:val="36"/>
          <w:szCs w:val="36"/>
        </w:rPr>
        <w:t>（一）土地使用权人已取得土地使用权及地上建筑物、其他附着物所有权合法权属证书；</w:t>
      </w:r>
    </w:p>
    <w:p w14:paraId="3054CEEB">
      <w:pPr>
        <w:keepNext w:val="0"/>
        <w:keepLines w:val="0"/>
        <w:pageBreakBefore w:val="0"/>
        <w:widowControl w:val="0"/>
        <w:kinsoku/>
        <w:wordWrap/>
        <w:overflowPunct/>
        <w:topLinePunct w:val="0"/>
        <w:autoSpaceDE/>
        <w:autoSpaceDN/>
        <w:bidi w:val="0"/>
        <w:adjustRightInd/>
        <w:snapToGrid/>
        <w:spacing w:line="576" w:lineRule="exact"/>
        <w:ind w:firstLine="720" w:firstLineChars="200"/>
        <w:jc w:val="both"/>
        <w:textAlignment w:val="auto"/>
        <w:rPr>
          <w:rFonts w:ascii="仿宋_GB2312" w:hAnsi="Calibri" w:eastAsia="仿宋_GB2312" w:cs="Times New Roman"/>
          <w:sz w:val="36"/>
          <w:szCs w:val="36"/>
        </w:rPr>
      </w:pPr>
      <w:r>
        <w:rPr>
          <w:rFonts w:hint="eastAsia" w:ascii="仿宋_GB2312" w:hAnsi="Calibri" w:eastAsia="仿宋_GB2312" w:cs="Times New Roman"/>
          <w:sz w:val="36"/>
          <w:szCs w:val="36"/>
        </w:rPr>
        <w:t>（二）按划拨决定书或有偿使用合同规定或约定条件利用土地；</w:t>
      </w:r>
    </w:p>
    <w:p w14:paraId="5004A115">
      <w:pPr>
        <w:keepNext w:val="0"/>
        <w:keepLines w:val="0"/>
        <w:pageBreakBefore w:val="0"/>
        <w:widowControl w:val="0"/>
        <w:kinsoku/>
        <w:wordWrap/>
        <w:overflowPunct/>
        <w:topLinePunct w:val="0"/>
        <w:autoSpaceDE/>
        <w:autoSpaceDN/>
        <w:bidi w:val="0"/>
        <w:adjustRightInd/>
        <w:snapToGrid/>
        <w:spacing w:line="576" w:lineRule="exact"/>
        <w:ind w:firstLine="720" w:firstLineChars="200"/>
        <w:jc w:val="both"/>
        <w:textAlignment w:val="auto"/>
        <w:rPr>
          <w:rFonts w:ascii="仿宋_GB2312" w:hAnsi="Calibri" w:eastAsia="仿宋_GB2312" w:cs="Times New Roman"/>
          <w:sz w:val="36"/>
          <w:szCs w:val="36"/>
        </w:rPr>
      </w:pPr>
      <w:r>
        <w:rPr>
          <w:rFonts w:hint="eastAsia" w:ascii="仿宋_GB2312" w:hAnsi="Calibri" w:eastAsia="仿宋_GB2312" w:cs="Times New Roman"/>
          <w:sz w:val="36"/>
          <w:szCs w:val="36"/>
        </w:rPr>
        <w:t>（三）无法律、法规规定禁止交易的其他情形。</w:t>
      </w:r>
    </w:p>
    <w:p w14:paraId="5255CFA9">
      <w:pPr>
        <w:keepNext w:val="0"/>
        <w:keepLines w:val="0"/>
        <w:pageBreakBefore w:val="0"/>
        <w:widowControl w:val="0"/>
        <w:kinsoku/>
        <w:wordWrap/>
        <w:overflowPunct/>
        <w:topLinePunct w:val="0"/>
        <w:autoSpaceDE/>
        <w:autoSpaceDN/>
        <w:bidi w:val="0"/>
        <w:adjustRightInd/>
        <w:snapToGrid/>
        <w:spacing w:line="576" w:lineRule="exact"/>
        <w:ind w:firstLine="723" w:firstLineChars="200"/>
        <w:jc w:val="both"/>
        <w:textAlignment w:val="auto"/>
        <w:rPr>
          <w:rFonts w:ascii="仿宋_GB2312" w:hAnsi="Calibri" w:eastAsia="仿宋_GB2312" w:cs="Times New Roman"/>
          <w:sz w:val="36"/>
          <w:szCs w:val="36"/>
        </w:rPr>
      </w:pPr>
      <w:r>
        <w:rPr>
          <w:rFonts w:hint="eastAsia" w:ascii="仿宋_GB2312" w:hAnsi="Calibri" w:eastAsia="仿宋_GB2312" w:cs="Times New Roman"/>
          <w:b/>
          <w:sz w:val="36"/>
          <w:szCs w:val="36"/>
        </w:rPr>
        <w:t>第十四条</w:t>
      </w:r>
      <w:r>
        <w:rPr>
          <w:rFonts w:hint="eastAsia" w:ascii="仿宋_GB2312" w:hAnsi="Calibri" w:cs="Times New Roman"/>
          <w:b/>
          <w:sz w:val="36"/>
          <w:szCs w:val="36"/>
          <w:lang w:eastAsia="zh-CN"/>
        </w:rPr>
        <w:t xml:space="preserve"> </w:t>
      </w:r>
      <w:r>
        <w:rPr>
          <w:rFonts w:hint="eastAsia" w:ascii="仿宋_GB2312" w:hAnsi="Calibri" w:eastAsia="仿宋_GB2312" w:cs="Times New Roman"/>
          <w:sz w:val="36"/>
          <w:szCs w:val="36"/>
        </w:rPr>
        <w:t>土地收益纳入土地出让收入管理，建立划拨建设用地使用权出租收益年度申报制度，由出租人依法向税务部门申报并缴纳土地收益，不再另行单独办理建设用地使用权出租的批准手续。</w:t>
      </w:r>
    </w:p>
    <w:p w14:paraId="26F6DE85">
      <w:pPr>
        <w:keepNext w:val="0"/>
        <w:keepLines w:val="0"/>
        <w:pageBreakBefore w:val="0"/>
        <w:widowControl w:val="0"/>
        <w:kinsoku/>
        <w:wordWrap/>
        <w:overflowPunct/>
        <w:topLinePunct w:val="0"/>
        <w:autoSpaceDE/>
        <w:autoSpaceDN/>
        <w:bidi w:val="0"/>
        <w:adjustRightInd/>
        <w:snapToGrid/>
        <w:spacing w:before="316" w:beforeLines="100" w:after="316" w:afterLines="100" w:line="576" w:lineRule="exact"/>
        <w:jc w:val="center"/>
        <w:textAlignment w:val="auto"/>
        <w:rPr>
          <w:rFonts w:hint="eastAsia" w:ascii="黑体" w:hAnsi="黑体" w:eastAsia="黑体" w:cs="Times New Roman"/>
          <w:sz w:val="36"/>
          <w:szCs w:val="36"/>
        </w:rPr>
      </w:pPr>
      <w:r>
        <w:rPr>
          <w:rFonts w:hint="eastAsia" w:ascii="黑体" w:hAnsi="黑体" w:eastAsia="黑体" w:cs="Times New Roman"/>
          <w:sz w:val="36"/>
          <w:szCs w:val="36"/>
        </w:rPr>
        <w:t>第四章 国有建设用地使用权抵押</w:t>
      </w:r>
    </w:p>
    <w:p w14:paraId="3F8992ED">
      <w:pPr>
        <w:keepNext w:val="0"/>
        <w:keepLines w:val="0"/>
        <w:pageBreakBefore w:val="0"/>
        <w:widowControl w:val="0"/>
        <w:kinsoku/>
        <w:wordWrap/>
        <w:overflowPunct/>
        <w:topLinePunct w:val="0"/>
        <w:autoSpaceDE/>
        <w:autoSpaceDN/>
        <w:bidi w:val="0"/>
        <w:adjustRightInd/>
        <w:snapToGrid/>
        <w:spacing w:line="576" w:lineRule="exact"/>
        <w:ind w:firstLine="723" w:firstLineChars="200"/>
        <w:jc w:val="both"/>
        <w:textAlignment w:val="auto"/>
        <w:rPr>
          <w:rFonts w:ascii="仿宋_GB2312" w:hAnsi="Calibri" w:eastAsia="仿宋_GB2312" w:cs="Times New Roman"/>
          <w:sz w:val="36"/>
          <w:szCs w:val="36"/>
        </w:rPr>
      </w:pPr>
      <w:r>
        <w:rPr>
          <w:rFonts w:hint="eastAsia" w:ascii="仿宋_GB2312" w:hAnsi="Calibri" w:eastAsia="仿宋_GB2312" w:cs="Times New Roman"/>
          <w:b/>
          <w:sz w:val="36"/>
          <w:szCs w:val="36"/>
        </w:rPr>
        <w:t>第十五条</w:t>
      </w:r>
      <w:r>
        <w:rPr>
          <w:rFonts w:hint="eastAsia" w:ascii="仿宋_GB2312" w:hAnsi="Calibri" w:cs="Times New Roman"/>
          <w:b/>
          <w:sz w:val="36"/>
          <w:szCs w:val="36"/>
          <w:lang w:eastAsia="zh-CN"/>
        </w:rPr>
        <w:t xml:space="preserve"> </w:t>
      </w:r>
      <w:r>
        <w:rPr>
          <w:rFonts w:hint="eastAsia" w:ascii="仿宋_GB2312" w:hAnsi="Calibri" w:eastAsia="仿宋_GB2312" w:cs="Times New Roman"/>
          <w:sz w:val="36"/>
          <w:szCs w:val="36"/>
        </w:rPr>
        <w:t>以出让、作价出资或入股等方式取得的建设用地使用权可以设定抵押权。</w:t>
      </w:r>
    </w:p>
    <w:p w14:paraId="69A20F97">
      <w:pPr>
        <w:keepNext w:val="0"/>
        <w:keepLines w:val="0"/>
        <w:pageBreakBefore w:val="0"/>
        <w:widowControl w:val="0"/>
        <w:kinsoku/>
        <w:wordWrap/>
        <w:overflowPunct/>
        <w:topLinePunct w:val="0"/>
        <w:autoSpaceDE/>
        <w:autoSpaceDN/>
        <w:bidi w:val="0"/>
        <w:adjustRightInd/>
        <w:snapToGrid/>
        <w:spacing w:line="576" w:lineRule="exact"/>
        <w:ind w:firstLine="723" w:firstLineChars="200"/>
        <w:jc w:val="both"/>
        <w:textAlignment w:val="auto"/>
        <w:rPr>
          <w:rFonts w:ascii="仿宋_GB2312" w:hAnsi="Calibri" w:eastAsia="仿宋_GB2312" w:cs="Times New Roman"/>
          <w:sz w:val="36"/>
          <w:szCs w:val="36"/>
        </w:rPr>
      </w:pPr>
      <w:r>
        <w:rPr>
          <w:rFonts w:hint="eastAsia" w:ascii="仿宋_GB2312" w:hAnsi="Calibri" w:eastAsia="仿宋_GB2312" w:cs="Times New Roman"/>
          <w:b/>
          <w:sz w:val="36"/>
          <w:szCs w:val="36"/>
        </w:rPr>
        <w:t xml:space="preserve">第十六条 </w:t>
      </w:r>
      <w:r>
        <w:rPr>
          <w:rFonts w:hint="eastAsia" w:ascii="仿宋_GB2312" w:hAnsi="Calibri" w:eastAsia="仿宋_GB2312" w:cs="Times New Roman"/>
          <w:sz w:val="36"/>
          <w:szCs w:val="36"/>
        </w:rPr>
        <w:t>以划拨方式取得的国有建设用地使用权“连房带地”可依法依规设定抵押权。</w:t>
      </w:r>
    </w:p>
    <w:p w14:paraId="74EABF8D">
      <w:pPr>
        <w:keepNext w:val="0"/>
        <w:keepLines w:val="0"/>
        <w:pageBreakBefore w:val="0"/>
        <w:widowControl w:val="0"/>
        <w:kinsoku/>
        <w:wordWrap/>
        <w:overflowPunct/>
        <w:topLinePunct w:val="0"/>
        <w:autoSpaceDE/>
        <w:autoSpaceDN/>
        <w:bidi w:val="0"/>
        <w:adjustRightInd/>
        <w:snapToGrid/>
        <w:spacing w:line="576" w:lineRule="exact"/>
        <w:ind w:firstLine="723" w:firstLineChars="200"/>
        <w:jc w:val="both"/>
        <w:textAlignment w:val="auto"/>
        <w:rPr>
          <w:rFonts w:ascii="仿宋_GB2312" w:hAnsi="Calibri" w:eastAsia="仿宋_GB2312" w:cs="Times New Roman"/>
          <w:sz w:val="36"/>
          <w:szCs w:val="36"/>
        </w:rPr>
      </w:pPr>
      <w:r>
        <w:rPr>
          <w:rFonts w:hint="eastAsia" w:ascii="仿宋_GB2312" w:hAnsi="Calibri" w:eastAsia="仿宋_GB2312" w:cs="Times New Roman"/>
          <w:b/>
          <w:sz w:val="36"/>
          <w:szCs w:val="36"/>
        </w:rPr>
        <w:t>第十七条</w:t>
      </w:r>
      <w:r>
        <w:rPr>
          <w:rFonts w:hint="eastAsia" w:ascii="仿宋_GB2312" w:hAnsi="Calibri" w:eastAsia="仿宋_GB2312" w:cs="Times New Roman"/>
          <w:sz w:val="36"/>
          <w:szCs w:val="36"/>
        </w:rPr>
        <w:t xml:space="preserve"> 不以公益为目的的教育、医疗卫生、养老等社会领域企业以有偿方式取得的国有建设用地使用权可依法抵押。</w:t>
      </w:r>
    </w:p>
    <w:p w14:paraId="05E892B5">
      <w:pPr>
        <w:keepNext w:val="0"/>
        <w:keepLines w:val="0"/>
        <w:pageBreakBefore w:val="0"/>
        <w:widowControl w:val="0"/>
        <w:kinsoku/>
        <w:wordWrap/>
        <w:overflowPunct/>
        <w:topLinePunct w:val="0"/>
        <w:autoSpaceDE/>
        <w:autoSpaceDN/>
        <w:bidi w:val="0"/>
        <w:adjustRightInd/>
        <w:snapToGrid/>
        <w:spacing w:line="576" w:lineRule="exact"/>
        <w:ind w:firstLine="723" w:firstLineChars="200"/>
        <w:jc w:val="both"/>
        <w:textAlignment w:val="auto"/>
        <w:rPr>
          <w:rFonts w:ascii="仿宋_GB2312" w:hAnsi="Calibri" w:eastAsia="仿宋_GB2312" w:cs="Times New Roman"/>
          <w:sz w:val="36"/>
          <w:szCs w:val="36"/>
        </w:rPr>
      </w:pPr>
      <w:r>
        <w:rPr>
          <w:rFonts w:hint="eastAsia" w:ascii="仿宋_GB2312" w:hAnsi="Calibri" w:eastAsia="仿宋_GB2312" w:cs="Times New Roman"/>
          <w:b/>
          <w:sz w:val="36"/>
          <w:szCs w:val="36"/>
        </w:rPr>
        <w:t xml:space="preserve">第十八条 </w:t>
      </w:r>
      <w:r>
        <w:rPr>
          <w:rFonts w:hint="eastAsia" w:ascii="仿宋_GB2312" w:hAnsi="Calibri" w:eastAsia="仿宋_GB2312" w:cs="Times New Roman"/>
          <w:sz w:val="36"/>
          <w:szCs w:val="36"/>
        </w:rPr>
        <w:t>学校、幼儿园、医疗机构等为公益目的成立的非营利法人的教育设施、医疗卫生设施和其他公益设施不得抵押。</w:t>
      </w:r>
    </w:p>
    <w:p w14:paraId="28C02339">
      <w:pPr>
        <w:keepNext w:val="0"/>
        <w:keepLines w:val="0"/>
        <w:pageBreakBefore w:val="0"/>
        <w:widowControl w:val="0"/>
        <w:kinsoku/>
        <w:wordWrap/>
        <w:overflowPunct/>
        <w:topLinePunct w:val="0"/>
        <w:autoSpaceDE/>
        <w:autoSpaceDN/>
        <w:bidi w:val="0"/>
        <w:adjustRightInd/>
        <w:snapToGrid/>
        <w:spacing w:before="316" w:beforeLines="100" w:after="316" w:afterLines="100" w:line="576" w:lineRule="exact"/>
        <w:jc w:val="center"/>
        <w:textAlignment w:val="auto"/>
        <w:rPr>
          <w:rFonts w:hint="eastAsia" w:ascii="黑体" w:hAnsi="黑体" w:eastAsia="黑体" w:cs="Times New Roman"/>
          <w:sz w:val="36"/>
          <w:szCs w:val="36"/>
        </w:rPr>
      </w:pPr>
      <w:r>
        <w:rPr>
          <w:rFonts w:hint="eastAsia" w:ascii="黑体" w:hAnsi="黑体" w:eastAsia="黑体" w:cs="Times New Roman"/>
          <w:sz w:val="36"/>
          <w:szCs w:val="36"/>
        </w:rPr>
        <w:t>第五章 土地二级市场建设</w:t>
      </w:r>
    </w:p>
    <w:p w14:paraId="4B6F3982">
      <w:pPr>
        <w:keepNext w:val="0"/>
        <w:keepLines w:val="0"/>
        <w:pageBreakBefore w:val="0"/>
        <w:widowControl w:val="0"/>
        <w:kinsoku/>
        <w:wordWrap/>
        <w:overflowPunct/>
        <w:topLinePunct w:val="0"/>
        <w:autoSpaceDE/>
        <w:autoSpaceDN/>
        <w:bidi w:val="0"/>
        <w:adjustRightInd/>
        <w:snapToGrid/>
        <w:spacing w:line="576" w:lineRule="exact"/>
        <w:ind w:firstLine="723" w:firstLineChars="200"/>
        <w:jc w:val="both"/>
        <w:textAlignment w:val="auto"/>
        <w:rPr>
          <w:rFonts w:ascii="仿宋_GB2312" w:hAnsi="Calibri" w:eastAsia="仿宋_GB2312" w:cs="Times New Roman"/>
          <w:sz w:val="36"/>
          <w:szCs w:val="36"/>
        </w:rPr>
      </w:pPr>
      <w:r>
        <w:rPr>
          <w:rFonts w:hint="eastAsia" w:ascii="仿宋_GB2312" w:hAnsi="Calibri" w:eastAsia="仿宋_GB2312" w:cs="Times New Roman"/>
          <w:b/>
          <w:sz w:val="36"/>
          <w:szCs w:val="36"/>
        </w:rPr>
        <w:t>第十九条</w:t>
      </w:r>
      <w:r>
        <w:rPr>
          <w:rFonts w:hint="eastAsia" w:ascii="仿宋_GB2312" w:hAnsi="Calibri" w:eastAsia="仿宋_GB2312" w:cs="Times New Roman"/>
          <w:sz w:val="36"/>
          <w:szCs w:val="36"/>
        </w:rPr>
        <w:t xml:space="preserve"> 建立盘锦市土地二级市场“线上”交易平台，通过开通端口供县、区和经开区自然资源部门使用。市、县自然资源部门在政务服务大厅建立市、县土地二级市场“线下”交易平台，与不动产登记各级分中心合署办公，实现税务、交易、登记、金融等相关业务联办。市土地二级市场有形交易市场和网上交易信息系统由盘锦市土地储备中心负责日常管理、运营和维护。</w:t>
      </w:r>
    </w:p>
    <w:p w14:paraId="4FC92281">
      <w:pPr>
        <w:keepNext w:val="0"/>
        <w:keepLines w:val="0"/>
        <w:pageBreakBefore w:val="0"/>
        <w:widowControl w:val="0"/>
        <w:kinsoku/>
        <w:wordWrap/>
        <w:overflowPunct/>
        <w:topLinePunct w:val="0"/>
        <w:autoSpaceDE/>
        <w:autoSpaceDN/>
        <w:bidi w:val="0"/>
        <w:adjustRightInd/>
        <w:snapToGrid/>
        <w:spacing w:line="576" w:lineRule="exact"/>
        <w:ind w:firstLine="723" w:firstLineChars="200"/>
        <w:jc w:val="both"/>
        <w:textAlignment w:val="auto"/>
        <w:rPr>
          <w:rFonts w:ascii="仿宋_GB2312" w:hAnsi="Calibri" w:eastAsia="仿宋_GB2312" w:cs="Times New Roman"/>
          <w:sz w:val="36"/>
          <w:szCs w:val="36"/>
        </w:rPr>
      </w:pPr>
      <w:r>
        <w:rPr>
          <w:rFonts w:hint="eastAsia" w:ascii="仿宋_GB2312" w:hAnsi="Calibri" w:eastAsia="仿宋_GB2312" w:cs="Times New Roman"/>
          <w:b/>
          <w:sz w:val="36"/>
          <w:szCs w:val="36"/>
        </w:rPr>
        <w:t>第二十条</w:t>
      </w:r>
      <w:r>
        <w:rPr>
          <w:rFonts w:hint="eastAsia" w:ascii="仿宋_GB2312" w:hAnsi="Calibri" w:eastAsia="仿宋_GB2312" w:cs="Times New Roman"/>
          <w:sz w:val="36"/>
          <w:szCs w:val="36"/>
        </w:rPr>
        <w:t xml:space="preserve"> 实行土地二级市场交易平台与盘锦市政务服务网数据统一交换平台有序衔接，实现不动产交易、登记、税务、金融、市场监管、涉地司法处置、涉地国有资产处置等数据共享。土地二级市场交易相关的材料或信息能够直接通过共享获得的，自然资源部门不得要求当事人重复提交。</w:t>
      </w:r>
    </w:p>
    <w:p w14:paraId="1D731724">
      <w:pPr>
        <w:keepNext w:val="0"/>
        <w:keepLines w:val="0"/>
        <w:pageBreakBefore w:val="0"/>
        <w:widowControl w:val="0"/>
        <w:kinsoku/>
        <w:wordWrap/>
        <w:overflowPunct/>
        <w:topLinePunct w:val="0"/>
        <w:autoSpaceDE/>
        <w:autoSpaceDN/>
        <w:bidi w:val="0"/>
        <w:adjustRightInd/>
        <w:snapToGrid/>
        <w:spacing w:line="576" w:lineRule="exact"/>
        <w:ind w:firstLine="723" w:firstLineChars="200"/>
        <w:jc w:val="both"/>
        <w:textAlignment w:val="auto"/>
        <w:rPr>
          <w:rFonts w:ascii="仿宋_GB2312" w:hAnsi="Calibri" w:eastAsia="仿宋_GB2312" w:cs="Times New Roman"/>
          <w:sz w:val="36"/>
          <w:szCs w:val="36"/>
        </w:rPr>
      </w:pPr>
      <w:r>
        <w:rPr>
          <w:rFonts w:hint="eastAsia" w:ascii="仿宋_GB2312" w:hAnsi="Calibri" w:eastAsia="仿宋_GB2312" w:cs="Times New Roman"/>
          <w:b/>
          <w:sz w:val="36"/>
          <w:szCs w:val="36"/>
        </w:rPr>
        <w:t>第二十一条</w:t>
      </w:r>
      <w:r>
        <w:rPr>
          <w:rFonts w:hint="eastAsia" w:ascii="仿宋_GB2312" w:hAnsi="Calibri" w:eastAsia="仿宋_GB2312" w:cs="Times New Roman"/>
          <w:sz w:val="36"/>
          <w:szCs w:val="36"/>
        </w:rPr>
        <w:t xml:space="preserve"> 提供线上交易资金第三方账户托管服务，由委托交易方自行选择，降低交易风险。</w:t>
      </w:r>
    </w:p>
    <w:p w14:paraId="7CB7CE4E">
      <w:pPr>
        <w:keepNext w:val="0"/>
        <w:keepLines w:val="0"/>
        <w:pageBreakBefore w:val="0"/>
        <w:widowControl w:val="0"/>
        <w:kinsoku/>
        <w:wordWrap/>
        <w:overflowPunct/>
        <w:topLinePunct w:val="0"/>
        <w:autoSpaceDE/>
        <w:autoSpaceDN/>
        <w:bidi w:val="0"/>
        <w:adjustRightInd/>
        <w:snapToGrid/>
        <w:spacing w:line="576" w:lineRule="exact"/>
        <w:ind w:firstLine="723" w:firstLineChars="200"/>
        <w:jc w:val="both"/>
        <w:textAlignment w:val="auto"/>
        <w:rPr>
          <w:rFonts w:ascii="仿宋_GB2312" w:hAnsi="Calibri" w:eastAsia="仿宋_GB2312" w:cs="Times New Roman"/>
          <w:sz w:val="36"/>
          <w:szCs w:val="36"/>
        </w:rPr>
      </w:pPr>
      <w:r>
        <w:rPr>
          <w:rFonts w:hint="eastAsia" w:ascii="仿宋_GB2312" w:hAnsi="Calibri" w:eastAsia="仿宋_GB2312" w:cs="Times New Roman"/>
          <w:b/>
          <w:sz w:val="36"/>
          <w:szCs w:val="36"/>
        </w:rPr>
        <w:t xml:space="preserve">第二十二条 </w:t>
      </w:r>
      <w:r>
        <w:rPr>
          <w:rFonts w:hint="eastAsia" w:ascii="仿宋_GB2312" w:hAnsi="Calibri" w:eastAsia="仿宋_GB2312" w:cs="Times New Roman"/>
          <w:sz w:val="36"/>
          <w:szCs w:val="36"/>
          <w:lang w:val="en-US" w:eastAsia="zh-CN"/>
        </w:rPr>
        <w:t>根据</w:t>
      </w:r>
      <w:r>
        <w:rPr>
          <w:rFonts w:hint="eastAsia" w:ascii="仿宋_GB2312" w:hAnsi="Calibri" w:eastAsia="仿宋_GB2312" w:cs="Times New Roman"/>
          <w:sz w:val="36"/>
          <w:szCs w:val="36"/>
        </w:rPr>
        <w:t>税法</w:t>
      </w:r>
      <w:r>
        <w:rPr>
          <w:rFonts w:hint="eastAsia" w:ascii="仿宋_GB2312" w:hAnsi="Calibri" w:eastAsia="仿宋_GB2312" w:cs="Times New Roman"/>
          <w:sz w:val="36"/>
          <w:szCs w:val="36"/>
          <w:lang w:val="en-US" w:eastAsia="zh-CN"/>
        </w:rPr>
        <w:t>有关规定</w:t>
      </w:r>
      <w:r>
        <w:rPr>
          <w:rFonts w:hint="eastAsia" w:ascii="仿宋_GB2312" w:hAnsi="Calibri" w:eastAsia="仿宋_GB2312" w:cs="Times New Roman"/>
          <w:sz w:val="36"/>
          <w:szCs w:val="36"/>
        </w:rPr>
        <w:t>，在地方权限内落实城镇土地使用税差别化政策，促进土地节约集约利用。具体税收差别化政策由市税务部门另行制定。</w:t>
      </w:r>
    </w:p>
    <w:p w14:paraId="00B2E787">
      <w:pPr>
        <w:keepNext w:val="0"/>
        <w:keepLines w:val="0"/>
        <w:pageBreakBefore w:val="0"/>
        <w:widowControl w:val="0"/>
        <w:kinsoku/>
        <w:wordWrap/>
        <w:overflowPunct/>
        <w:topLinePunct w:val="0"/>
        <w:autoSpaceDE/>
        <w:autoSpaceDN/>
        <w:bidi w:val="0"/>
        <w:adjustRightInd/>
        <w:snapToGrid/>
        <w:spacing w:line="576" w:lineRule="exact"/>
        <w:ind w:firstLine="723" w:firstLineChars="200"/>
        <w:jc w:val="both"/>
        <w:textAlignment w:val="auto"/>
        <w:rPr>
          <w:rFonts w:ascii="仿宋_GB2312" w:hAnsi="Calibri" w:eastAsia="仿宋_GB2312" w:cs="Times New Roman"/>
          <w:sz w:val="36"/>
          <w:szCs w:val="36"/>
        </w:rPr>
      </w:pPr>
      <w:r>
        <w:rPr>
          <w:rFonts w:hint="eastAsia" w:ascii="仿宋_GB2312" w:hAnsi="Calibri" w:eastAsia="仿宋_GB2312" w:cs="Times New Roman"/>
          <w:b/>
          <w:sz w:val="36"/>
          <w:szCs w:val="36"/>
        </w:rPr>
        <w:t>第二十三条</w:t>
      </w:r>
      <w:r>
        <w:rPr>
          <w:rFonts w:hint="eastAsia" w:ascii="仿宋_GB2312" w:hAnsi="Calibri" w:eastAsia="仿宋_GB2312" w:cs="Times New Roman"/>
          <w:sz w:val="36"/>
          <w:szCs w:val="36"/>
        </w:rPr>
        <w:t xml:space="preserve"> 建立“信息发布—达成意向—签订合同—交易监管”的线上交易流程和“交易申请—交易审核—签订合同—申报价格—交易监管”的线下交易流程。交易双方可通过土地二级市场交易平台等渠道发布和获取市场信息，可自行协商交易，也可委托土地二级市场交易平台公开交易；达成一致后签订合同，依法申报交易价格。实行《盘锦市建设用地使用权二级市场转让合同（委托交易范本）》（试行），统一范本和配号。</w:t>
      </w:r>
    </w:p>
    <w:p w14:paraId="1D95795E">
      <w:pPr>
        <w:keepNext w:val="0"/>
        <w:keepLines w:val="0"/>
        <w:pageBreakBefore w:val="0"/>
        <w:widowControl w:val="0"/>
        <w:kinsoku/>
        <w:wordWrap/>
        <w:overflowPunct/>
        <w:topLinePunct w:val="0"/>
        <w:autoSpaceDE/>
        <w:autoSpaceDN/>
        <w:bidi w:val="0"/>
        <w:adjustRightInd/>
        <w:snapToGrid/>
        <w:spacing w:line="576" w:lineRule="exact"/>
        <w:ind w:firstLine="723" w:firstLineChars="200"/>
        <w:jc w:val="both"/>
        <w:textAlignment w:val="auto"/>
        <w:rPr>
          <w:rFonts w:ascii="仿宋_GB2312" w:hAnsi="Calibri" w:eastAsia="仿宋_GB2312" w:cs="Times New Roman"/>
          <w:sz w:val="36"/>
          <w:szCs w:val="36"/>
        </w:rPr>
      </w:pPr>
      <w:r>
        <w:rPr>
          <w:rFonts w:hint="eastAsia" w:ascii="仿宋_GB2312" w:hAnsi="Calibri" w:eastAsia="仿宋_GB2312" w:cs="Times New Roman"/>
          <w:b/>
          <w:sz w:val="36"/>
          <w:szCs w:val="36"/>
        </w:rPr>
        <w:t>第二十四条</w:t>
      </w:r>
      <w:r>
        <w:rPr>
          <w:rFonts w:hint="eastAsia" w:ascii="仿宋_GB2312" w:hAnsi="Calibri" w:eastAsia="仿宋_GB2312" w:cs="Times New Roman"/>
          <w:sz w:val="36"/>
          <w:szCs w:val="36"/>
        </w:rPr>
        <w:t xml:space="preserve"> 人民法院和仲裁机构在涉地处置决定作出前向当地自然资源部门了解所涉不动产的权利状况、原出让合同约定的权利义务情况等，自然资源部门应当及时提供。对已经人民法院判决生效和仲裁机构裁决生效涉及土地使用权转让的案件，自然资源部门应当配合执行。司法处置土地可通过土地二级市场交易平台交易。</w:t>
      </w:r>
    </w:p>
    <w:p w14:paraId="11B72060">
      <w:pPr>
        <w:keepNext w:val="0"/>
        <w:keepLines w:val="0"/>
        <w:pageBreakBefore w:val="0"/>
        <w:widowControl w:val="0"/>
        <w:kinsoku/>
        <w:wordWrap/>
        <w:overflowPunct/>
        <w:topLinePunct w:val="0"/>
        <w:autoSpaceDE/>
        <w:autoSpaceDN/>
        <w:bidi w:val="0"/>
        <w:adjustRightInd/>
        <w:snapToGrid/>
        <w:spacing w:line="576" w:lineRule="exact"/>
        <w:ind w:firstLine="720" w:firstLineChars="200"/>
        <w:jc w:val="both"/>
        <w:textAlignment w:val="auto"/>
        <w:rPr>
          <w:rFonts w:ascii="仿宋_GB2312" w:hAnsi="Calibri" w:eastAsia="仿宋_GB2312" w:cs="Times New Roman"/>
          <w:sz w:val="36"/>
          <w:szCs w:val="36"/>
        </w:rPr>
      </w:pPr>
      <w:r>
        <w:rPr>
          <w:rFonts w:hint="eastAsia" w:ascii="仿宋_GB2312" w:hAnsi="Calibri" w:eastAsia="仿宋_GB2312" w:cs="Times New Roman"/>
          <w:sz w:val="36"/>
          <w:szCs w:val="36"/>
        </w:rPr>
        <w:t>政府有关部门和事业单位进行国有资产处置时，涉及划拨建设用地使用权转让的，应征求自然资源部门意见，并将宗地有关情况如实告知当事人。</w:t>
      </w:r>
    </w:p>
    <w:p w14:paraId="69567962">
      <w:pPr>
        <w:keepNext w:val="0"/>
        <w:keepLines w:val="0"/>
        <w:pageBreakBefore w:val="0"/>
        <w:widowControl w:val="0"/>
        <w:kinsoku/>
        <w:wordWrap/>
        <w:overflowPunct/>
        <w:topLinePunct w:val="0"/>
        <w:autoSpaceDE/>
        <w:autoSpaceDN/>
        <w:bidi w:val="0"/>
        <w:adjustRightInd/>
        <w:snapToGrid/>
        <w:spacing w:before="316" w:beforeLines="100" w:after="316" w:afterLines="100" w:line="576" w:lineRule="exact"/>
        <w:jc w:val="center"/>
        <w:textAlignment w:val="auto"/>
        <w:rPr>
          <w:rFonts w:hint="eastAsia" w:ascii="黑体" w:hAnsi="黑体" w:eastAsia="黑体" w:cs="Times New Roman"/>
          <w:sz w:val="36"/>
          <w:szCs w:val="36"/>
        </w:rPr>
      </w:pPr>
      <w:r>
        <w:rPr>
          <w:rFonts w:hint="eastAsia" w:ascii="黑体" w:hAnsi="黑体" w:eastAsia="黑体" w:cs="Times New Roman"/>
          <w:sz w:val="36"/>
          <w:szCs w:val="36"/>
        </w:rPr>
        <w:t>第六章 服务和监管</w:t>
      </w:r>
    </w:p>
    <w:p w14:paraId="06C69A10">
      <w:pPr>
        <w:keepNext w:val="0"/>
        <w:keepLines w:val="0"/>
        <w:pageBreakBefore w:val="0"/>
        <w:widowControl w:val="0"/>
        <w:kinsoku/>
        <w:wordWrap/>
        <w:overflowPunct/>
        <w:topLinePunct w:val="0"/>
        <w:autoSpaceDE/>
        <w:autoSpaceDN/>
        <w:bidi w:val="0"/>
        <w:adjustRightInd/>
        <w:snapToGrid/>
        <w:spacing w:line="576" w:lineRule="exact"/>
        <w:ind w:firstLine="723" w:firstLineChars="200"/>
        <w:jc w:val="both"/>
        <w:textAlignment w:val="auto"/>
        <w:rPr>
          <w:rFonts w:ascii="仿宋_GB2312" w:hAnsi="Calibri" w:eastAsia="仿宋_GB2312" w:cs="Times New Roman"/>
          <w:sz w:val="36"/>
          <w:szCs w:val="36"/>
        </w:rPr>
      </w:pPr>
      <w:r>
        <w:rPr>
          <w:rFonts w:hint="eastAsia" w:ascii="仿宋_GB2312" w:hAnsi="Calibri" w:eastAsia="仿宋_GB2312" w:cs="Times New Roman"/>
          <w:b/>
          <w:sz w:val="36"/>
          <w:szCs w:val="36"/>
        </w:rPr>
        <w:t>第二十五条</w:t>
      </w:r>
      <w:r>
        <w:rPr>
          <w:rFonts w:hint="eastAsia" w:ascii="仿宋_GB2312" w:hAnsi="Calibri" w:eastAsia="仿宋_GB2312" w:cs="Times New Roman"/>
          <w:sz w:val="36"/>
          <w:szCs w:val="36"/>
        </w:rPr>
        <w:t xml:space="preserve"> 培育推介、展示、咨询、估价、经纪等中介组织，建立公开、公正、透明的中介服务机构确定机制，引导中介组织诚信经营。</w:t>
      </w:r>
    </w:p>
    <w:p w14:paraId="5BA28F7F">
      <w:pPr>
        <w:keepNext w:val="0"/>
        <w:keepLines w:val="0"/>
        <w:pageBreakBefore w:val="0"/>
        <w:widowControl w:val="0"/>
        <w:kinsoku/>
        <w:wordWrap/>
        <w:overflowPunct/>
        <w:topLinePunct w:val="0"/>
        <w:autoSpaceDE/>
        <w:autoSpaceDN/>
        <w:bidi w:val="0"/>
        <w:adjustRightInd/>
        <w:snapToGrid/>
        <w:spacing w:line="576" w:lineRule="exact"/>
        <w:ind w:firstLine="723" w:firstLineChars="200"/>
        <w:jc w:val="both"/>
        <w:textAlignment w:val="auto"/>
        <w:rPr>
          <w:rFonts w:ascii="仿宋_GB2312" w:hAnsi="Calibri" w:eastAsia="仿宋_GB2312" w:cs="Times New Roman"/>
          <w:sz w:val="36"/>
          <w:szCs w:val="36"/>
        </w:rPr>
      </w:pPr>
      <w:r>
        <w:rPr>
          <w:rFonts w:hint="eastAsia" w:ascii="仿宋_GB2312" w:hAnsi="Calibri" w:eastAsia="仿宋_GB2312" w:cs="Times New Roman"/>
          <w:b/>
          <w:sz w:val="36"/>
          <w:szCs w:val="36"/>
        </w:rPr>
        <w:t>第二十六条</w:t>
      </w:r>
      <w:r>
        <w:rPr>
          <w:rFonts w:hint="eastAsia" w:ascii="仿宋_GB2312" w:hAnsi="Calibri" w:eastAsia="仿宋_GB2312" w:cs="Times New Roman"/>
          <w:sz w:val="36"/>
          <w:szCs w:val="36"/>
        </w:rPr>
        <w:t xml:space="preserve"> 健全土地二级市场的动态监测监管制度，完善监测监管信息系统，强化一、二级市场联动，落实公示地价体系，定期更新和发布基准地价、标定地价，防止交易价格异常波动。</w:t>
      </w:r>
    </w:p>
    <w:p w14:paraId="17006043">
      <w:pPr>
        <w:keepNext w:val="0"/>
        <w:keepLines w:val="0"/>
        <w:pageBreakBefore w:val="0"/>
        <w:widowControl w:val="0"/>
        <w:kinsoku/>
        <w:wordWrap/>
        <w:overflowPunct/>
        <w:topLinePunct w:val="0"/>
        <w:autoSpaceDE/>
        <w:autoSpaceDN/>
        <w:bidi w:val="0"/>
        <w:adjustRightInd/>
        <w:snapToGrid/>
        <w:spacing w:line="576" w:lineRule="exact"/>
        <w:ind w:firstLine="723" w:firstLineChars="200"/>
        <w:jc w:val="both"/>
        <w:textAlignment w:val="auto"/>
        <w:rPr>
          <w:rFonts w:ascii="仿宋_GB2312" w:hAnsi="Calibri" w:eastAsia="仿宋_GB2312" w:cs="Times New Roman"/>
          <w:sz w:val="36"/>
          <w:szCs w:val="36"/>
        </w:rPr>
      </w:pPr>
      <w:r>
        <w:rPr>
          <w:rFonts w:hint="eastAsia" w:ascii="仿宋_GB2312" w:hAnsi="Calibri" w:eastAsia="仿宋_GB2312" w:cs="Times New Roman"/>
          <w:b/>
          <w:sz w:val="36"/>
          <w:szCs w:val="36"/>
        </w:rPr>
        <w:t>第二十七条</w:t>
      </w:r>
      <w:r>
        <w:rPr>
          <w:rFonts w:hint="eastAsia" w:ascii="仿宋_GB2312" w:hAnsi="Calibri" w:eastAsia="仿宋_GB2312" w:cs="Times New Roman"/>
          <w:sz w:val="36"/>
          <w:szCs w:val="36"/>
        </w:rPr>
        <w:t xml:space="preserve"> 完善土地市场信用体系，土地二级市场从信息发布、合同签订、履约情况、开发利用等全流程纳入信用监管，并依法依规通过“信用中国（盘锦）”进行公开公示，对失信责任主体实施联合惩戒。</w:t>
      </w:r>
    </w:p>
    <w:p w14:paraId="1151AF40">
      <w:pPr>
        <w:keepNext w:val="0"/>
        <w:keepLines w:val="0"/>
        <w:pageBreakBefore w:val="0"/>
        <w:widowControl w:val="0"/>
        <w:kinsoku/>
        <w:wordWrap/>
        <w:overflowPunct/>
        <w:topLinePunct w:val="0"/>
        <w:autoSpaceDE/>
        <w:autoSpaceDN/>
        <w:bidi w:val="0"/>
        <w:adjustRightInd/>
        <w:snapToGrid/>
        <w:spacing w:before="316" w:beforeLines="100" w:after="316" w:afterLines="100" w:line="576" w:lineRule="exact"/>
        <w:jc w:val="center"/>
        <w:textAlignment w:val="auto"/>
        <w:rPr>
          <w:rFonts w:ascii="仿宋_GB2312" w:hAnsi="Calibri" w:eastAsia="仿宋_GB2312" w:cs="Times New Roman"/>
          <w:sz w:val="36"/>
          <w:szCs w:val="36"/>
        </w:rPr>
      </w:pPr>
      <w:r>
        <w:rPr>
          <w:rFonts w:hint="eastAsia" w:ascii="黑体" w:hAnsi="黑体" w:eastAsia="黑体" w:cs="Times New Roman"/>
          <w:sz w:val="36"/>
          <w:szCs w:val="36"/>
        </w:rPr>
        <w:t>第七章 附 则</w:t>
      </w:r>
    </w:p>
    <w:p w14:paraId="51533C0D">
      <w:pPr>
        <w:keepNext w:val="0"/>
        <w:keepLines w:val="0"/>
        <w:pageBreakBefore w:val="0"/>
        <w:widowControl w:val="0"/>
        <w:kinsoku/>
        <w:wordWrap/>
        <w:overflowPunct/>
        <w:topLinePunct w:val="0"/>
        <w:autoSpaceDE/>
        <w:autoSpaceDN/>
        <w:bidi w:val="0"/>
        <w:adjustRightInd/>
        <w:snapToGrid/>
        <w:spacing w:line="576" w:lineRule="exact"/>
        <w:ind w:firstLine="723" w:firstLineChars="200"/>
        <w:jc w:val="both"/>
        <w:textAlignment w:val="auto"/>
        <w:rPr>
          <w:rFonts w:ascii="仿宋_GB2312" w:hAnsi="Calibri" w:eastAsia="仿宋_GB2312" w:cs="Times New Roman"/>
          <w:sz w:val="36"/>
          <w:szCs w:val="36"/>
        </w:rPr>
      </w:pPr>
      <w:r>
        <w:rPr>
          <w:rFonts w:hint="eastAsia" w:ascii="仿宋_GB2312" w:hAnsi="Calibri" w:eastAsia="仿宋_GB2312" w:cs="Times New Roman"/>
          <w:b/>
          <w:sz w:val="36"/>
          <w:szCs w:val="36"/>
        </w:rPr>
        <w:t>第二十八条</w:t>
      </w:r>
      <w:r>
        <w:rPr>
          <w:rFonts w:hint="eastAsia" w:ascii="仿宋_GB2312" w:hAnsi="Calibri" w:eastAsia="仿宋_GB2312" w:cs="Times New Roman"/>
          <w:sz w:val="36"/>
          <w:szCs w:val="36"/>
        </w:rPr>
        <w:t xml:space="preserve"> 法律、法规、规章和上级规范性文件对土地二级市场交易另有规定的，从其规定。</w:t>
      </w:r>
    </w:p>
    <w:p w14:paraId="018B545A">
      <w:pPr>
        <w:keepNext w:val="0"/>
        <w:keepLines w:val="0"/>
        <w:pageBreakBefore w:val="0"/>
        <w:widowControl w:val="0"/>
        <w:kinsoku/>
        <w:wordWrap/>
        <w:overflowPunct/>
        <w:topLinePunct w:val="0"/>
        <w:autoSpaceDE/>
        <w:autoSpaceDN/>
        <w:bidi w:val="0"/>
        <w:adjustRightInd/>
        <w:snapToGrid/>
        <w:spacing w:line="576" w:lineRule="exact"/>
        <w:ind w:firstLine="723" w:firstLineChars="200"/>
        <w:textAlignment w:val="auto"/>
        <w:rPr>
          <w:rFonts w:hint="eastAsia" w:ascii="仿宋" w:hAnsi="仿宋" w:eastAsia="仿宋"/>
          <w:sz w:val="44"/>
          <w:szCs w:val="44"/>
          <w:lang w:val="en-US" w:eastAsia="zh-CN"/>
        </w:rPr>
      </w:pPr>
      <w:r>
        <w:rPr>
          <w:rFonts w:hint="eastAsia" w:ascii="仿宋_GB2312" w:hAnsi="Calibri" w:eastAsia="仿宋_GB2312" w:cs="Times New Roman"/>
          <w:b/>
          <w:sz w:val="36"/>
          <w:szCs w:val="36"/>
        </w:rPr>
        <w:t>第二十九条</w:t>
      </w:r>
      <w:r>
        <w:rPr>
          <w:rFonts w:hint="eastAsia" w:ascii="仿宋_GB2312" w:hAnsi="Calibri" w:eastAsia="仿宋_GB2312" w:cs="Times New Roman"/>
          <w:sz w:val="36"/>
          <w:szCs w:val="36"/>
        </w:rPr>
        <w:t xml:space="preserve"> 本办法自</w:t>
      </w:r>
      <w:r>
        <w:rPr>
          <w:rFonts w:hint="eastAsia" w:ascii="仿宋_GB2312" w:hAnsi="Calibri" w:eastAsia="仿宋_GB2312" w:cs="Times New Roman"/>
          <w:sz w:val="36"/>
          <w:szCs w:val="36"/>
          <w:lang w:eastAsia="zh-CN"/>
        </w:rPr>
        <w:t>发布之</w:t>
      </w:r>
      <w:r>
        <w:rPr>
          <w:rFonts w:hint="eastAsia" w:ascii="仿宋_GB2312" w:hAnsi="Calibri" w:eastAsia="仿宋_GB2312" w:cs="Times New Roman"/>
          <w:sz w:val="36"/>
          <w:szCs w:val="36"/>
        </w:rPr>
        <w:t>日起施行</w:t>
      </w:r>
      <w:r>
        <w:rPr>
          <w:rFonts w:hint="eastAsia" w:ascii="仿宋_GB2312" w:hAnsi="Calibri" w:eastAsia="仿宋_GB2312" w:cs="Times New Roman"/>
          <w:sz w:val="36"/>
          <w:szCs w:val="36"/>
          <w:lang w:eastAsia="zh-CN"/>
        </w:rPr>
        <w:t>，</w:t>
      </w:r>
      <w:r>
        <w:rPr>
          <w:rFonts w:hint="eastAsia" w:ascii="仿宋_GB2312" w:hAnsi="Calibri" w:eastAsia="仿宋_GB2312" w:cs="Times New Roman"/>
          <w:sz w:val="36"/>
          <w:szCs w:val="36"/>
          <w:lang w:val="en-US" w:eastAsia="zh-CN"/>
        </w:rPr>
        <w:t>有效期一年。</w:t>
      </w:r>
    </w:p>
    <w:p w14:paraId="25FC491C">
      <w:pPr>
        <w:pStyle w:val="2"/>
        <w:rPr>
          <w:rFonts w:hint="eastAsia" w:ascii="仿宋" w:hAnsi="仿宋" w:eastAsia="仿宋"/>
          <w:sz w:val="44"/>
          <w:szCs w:val="44"/>
          <w:lang w:val="en-US" w:eastAsia="zh-CN"/>
        </w:rPr>
      </w:pPr>
    </w:p>
    <w:p w14:paraId="5F91A370">
      <w:pPr>
        <w:pStyle w:val="2"/>
        <w:rPr>
          <w:rFonts w:hint="eastAsia" w:ascii="仿宋" w:hAnsi="仿宋" w:eastAsia="仿宋"/>
          <w:sz w:val="44"/>
          <w:szCs w:val="44"/>
          <w:lang w:val="en-US" w:eastAsia="zh-CN"/>
        </w:rPr>
      </w:pPr>
    </w:p>
    <w:p w14:paraId="7C0F6C81">
      <w:pPr>
        <w:spacing w:line="580" w:lineRule="exact"/>
        <w:ind w:firstLine="220" w:firstLineChars="50"/>
        <w:rPr>
          <w:rFonts w:hint="eastAsia" w:ascii="仿宋" w:hAnsi="仿宋" w:eastAsia="仿宋"/>
          <w:sz w:val="44"/>
          <w:szCs w:val="44"/>
          <w:lang w:val="en-US" w:eastAsia="zh-CN"/>
        </w:rPr>
      </w:pPr>
    </w:p>
    <w:sectPr>
      <w:footerReference r:id="rId3" w:type="default"/>
      <w:pgSz w:w="11906" w:h="16838"/>
      <w:pgMar w:top="2097" w:right="1417" w:bottom="1984" w:left="1587" w:header="851" w:footer="992" w:gutter="0"/>
      <w:paperSrc/>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roman"/>
    <w:pitch w:val="default"/>
    <w:sig w:usb0="800002BF" w:usb1="38CF7CFA" w:usb2="00000016" w:usb3="00000000" w:csb0="00040001" w:csb1="00000000"/>
  </w:font>
  <w:font w:name="方正小标宋简体">
    <w:altName w:val="仿宋_GB2312"/>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32B7B9">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43DD7EB">
                          <w:pPr>
                            <w:pStyle w:val="8"/>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WPkyr3gEAAL4DAAAOAAAAAAAA&#10;AAEAIAAAAB4BAABkcnMvZTJvRG9jLnhtbFBLBQYAAAAABgAGAFkBAABuBQAAAAA=&#10;">
              <v:fill on="f" focussize="0,0"/>
              <v:stroke on="f"/>
              <v:imagedata o:title=""/>
              <o:lock v:ext="edit" aspectratio="f"/>
              <v:textbox inset="0mm,0mm,0mm,0mm" style="mso-fit-shape-to-text:t;">
                <w:txbxContent>
                  <w:p w14:paraId="143DD7EB">
                    <w:pPr>
                      <w:pStyle w:val="8"/>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kM2U4MjNjYzg3MWUyNmEwMGU2ZThmZTdiMTY2NjAifQ=="/>
  </w:docVars>
  <w:rsids>
    <w:rsidRoot w:val="00172A27"/>
    <w:rsid w:val="01462ABF"/>
    <w:rsid w:val="04062E32"/>
    <w:rsid w:val="0E533271"/>
    <w:rsid w:val="11B95F0B"/>
    <w:rsid w:val="11C53413"/>
    <w:rsid w:val="21337165"/>
    <w:rsid w:val="25600FB8"/>
    <w:rsid w:val="27747CB6"/>
    <w:rsid w:val="278416DF"/>
    <w:rsid w:val="28426186"/>
    <w:rsid w:val="2868441E"/>
    <w:rsid w:val="28FE0308"/>
    <w:rsid w:val="2B5171FD"/>
    <w:rsid w:val="2BC5737C"/>
    <w:rsid w:val="2D003215"/>
    <w:rsid w:val="2DBE27DE"/>
    <w:rsid w:val="2EC6592C"/>
    <w:rsid w:val="2F5D2A22"/>
    <w:rsid w:val="32A94ED3"/>
    <w:rsid w:val="36603F29"/>
    <w:rsid w:val="3E800AE4"/>
    <w:rsid w:val="3EAE3586"/>
    <w:rsid w:val="3F746939"/>
    <w:rsid w:val="426303FB"/>
    <w:rsid w:val="472937CB"/>
    <w:rsid w:val="4BD11C90"/>
    <w:rsid w:val="4C682DC0"/>
    <w:rsid w:val="50F471DE"/>
    <w:rsid w:val="52F51590"/>
    <w:rsid w:val="57A24731"/>
    <w:rsid w:val="57DF77EA"/>
    <w:rsid w:val="57F20AEE"/>
    <w:rsid w:val="58B32187"/>
    <w:rsid w:val="58FF53CC"/>
    <w:rsid w:val="5C6E6B1E"/>
    <w:rsid w:val="624C043B"/>
    <w:rsid w:val="63617C93"/>
    <w:rsid w:val="649E0C27"/>
    <w:rsid w:val="66362938"/>
    <w:rsid w:val="67685EB7"/>
    <w:rsid w:val="684F2FF2"/>
    <w:rsid w:val="6BC93666"/>
    <w:rsid w:val="6E163BF4"/>
    <w:rsid w:val="72EF13ED"/>
    <w:rsid w:val="75875522"/>
    <w:rsid w:val="7D86035D"/>
    <w:rsid w:val="7FEB265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kern w:val="2"/>
      <w:sz w:val="21"/>
      <w:lang w:val="en-US" w:eastAsia="zh-CN" w:bidi="ar-SA"/>
    </w:rPr>
  </w:style>
  <w:style w:type="paragraph" w:styleId="5">
    <w:name w:val="heading 1"/>
    <w:basedOn w:val="1"/>
    <w:next w:val="1"/>
    <w:uiPriority w:val="0"/>
    <w:pPr>
      <w:keepNext/>
      <w:keepLines/>
      <w:spacing w:line="360" w:lineRule="auto"/>
      <w:outlineLvl w:val="0"/>
    </w:pPr>
    <w:rPr>
      <w:rFonts w:eastAsia="黑体"/>
      <w:b/>
      <w:kern w:val="44"/>
      <w:sz w:val="36"/>
      <w:szCs w:val="44"/>
    </w:rPr>
  </w:style>
  <w:style w:type="paragraph" w:styleId="6">
    <w:name w:val="heading 2"/>
    <w:basedOn w:val="1"/>
    <w:next w:val="1"/>
    <w:uiPriority w:val="0"/>
    <w:pPr>
      <w:keepNext/>
      <w:keepLines/>
      <w:spacing w:line="360" w:lineRule="auto"/>
      <w:outlineLvl w:val="1"/>
    </w:pPr>
    <w:rPr>
      <w:rFonts w:eastAsia="仿宋_GB2312" w:cs="黑体"/>
      <w:b/>
      <w:sz w:val="30"/>
      <w:szCs w:val="32"/>
    </w:rPr>
  </w:style>
  <w:style w:type="paragraph" w:styleId="7">
    <w:name w:val="heading 3"/>
    <w:basedOn w:val="1"/>
    <w:next w:val="1"/>
    <w:uiPriority w:val="0"/>
    <w:pPr>
      <w:keepNext/>
      <w:keepLines/>
      <w:spacing w:line="360" w:lineRule="auto"/>
      <w:jc w:val="center"/>
      <w:outlineLvl w:val="2"/>
    </w:pPr>
    <w:rPr>
      <w:rFonts w:eastAsia="仿宋_GB2312"/>
      <w:b/>
      <w:sz w:val="32"/>
      <w:szCs w:val="32"/>
    </w:rPr>
  </w:style>
  <w:style w:type="character" w:default="1" w:styleId="13">
    <w:name w:val="Default Paragraph Font"/>
    <w:uiPriority w:val="0"/>
  </w:style>
  <w:style w:type="table" w:default="1" w:styleId="12">
    <w:name w:val="Normal Table"/>
    <w:semiHidden/>
    <w:uiPriority w:val="0"/>
    <w:tblPr>
      <w:tblStyle w:val="12"/>
      <w:tblCellMar>
        <w:top w:w="0" w:type="dxa"/>
        <w:left w:w="108" w:type="dxa"/>
        <w:bottom w:w="0" w:type="dxa"/>
        <w:right w:w="108" w:type="dxa"/>
      </w:tblCellMar>
    </w:tblPr>
  </w:style>
  <w:style w:type="paragraph" w:styleId="2">
    <w:name w:val="Body Text First Indent 2"/>
    <w:basedOn w:val="3"/>
    <w:uiPriority w:val="0"/>
    <w:pPr>
      <w:ind w:firstLine="420" w:firstLineChars="200"/>
    </w:pPr>
    <w:rPr>
      <w:rFonts w:ascii="Calibri" w:hAnsi="Calibri" w:eastAsia="宋体" w:cs="Times New Roman"/>
    </w:rPr>
  </w:style>
  <w:style w:type="paragraph" w:styleId="3">
    <w:name w:val="Body Text Indent"/>
    <w:basedOn w:val="1"/>
    <w:next w:val="4"/>
    <w:uiPriority w:val="0"/>
    <w:pPr>
      <w:spacing w:after="120" w:afterLines="0"/>
      <w:ind w:left="420" w:leftChars="200"/>
    </w:pPr>
    <w:rPr>
      <w:rFonts w:ascii="Calibri" w:hAnsi="Calibri" w:eastAsia="宋体" w:cs="Times New Roman"/>
    </w:rPr>
  </w:style>
  <w:style w:type="paragraph" w:styleId="4">
    <w:name w:val="Normal Indent"/>
    <w:basedOn w:val="1"/>
    <w:uiPriority w:val="0"/>
    <w:pPr>
      <w:ind w:firstLine="420" w:firstLineChars="200"/>
    </w:pPr>
    <w:rPr>
      <w:rFonts w:ascii="Calibri" w:hAnsi="Calibri" w:eastAsia="仿宋" w:cs="宋体"/>
      <w:sz w:val="32"/>
    </w:rPr>
  </w:style>
  <w:style w:type="paragraph" w:styleId="8">
    <w:name w:val="footer"/>
    <w:basedOn w:val="1"/>
    <w:next w:val="1"/>
    <w:uiPriority w:val="0"/>
    <w:pPr>
      <w:tabs>
        <w:tab w:val="center" w:pos="4153"/>
        <w:tab w:val="right" w:pos="8306"/>
      </w:tabs>
      <w:snapToGrid w:val="0"/>
      <w:jc w:val="left"/>
    </w:pPr>
    <w:rPr>
      <w:sz w:val="18"/>
    </w:rPr>
  </w:style>
  <w:style w:type="paragraph" w:styleId="9">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10">
    <w:name w:val="toc 1"/>
    <w:basedOn w:val="1"/>
    <w:next w:val="1"/>
    <w:uiPriority w:val="0"/>
    <w:pPr>
      <w:tabs>
        <w:tab w:val="right" w:leader="dot" w:pos="8296"/>
      </w:tabs>
      <w:jc w:val="center"/>
    </w:pPr>
    <w:rPr>
      <w:b/>
    </w:rPr>
  </w:style>
  <w:style w:type="paragraph" w:styleId="11">
    <w:name w:val="toc 2"/>
    <w:basedOn w:val="1"/>
    <w:next w:val="1"/>
    <w:uiPriority w:val="0"/>
    <w:pPr>
      <w:tabs>
        <w:tab w:val="right" w:leader="dot" w:pos="8296"/>
      </w:tabs>
      <w:spacing w:line="360" w:lineRule="auto"/>
      <w:ind w:left="600" w:leftChars="200"/>
    </w:pPr>
  </w:style>
  <w:style w:type="character" w:styleId="14">
    <w:name w:val="page number"/>
    <w:basedOn w:val="13"/>
    <w:uiPriority w:val="0"/>
  </w:style>
  <w:style w:type="character" w:styleId="15">
    <w:name w:val="Hyperlink"/>
    <w:basedOn w:val="13"/>
    <w:uiPriority w:val="0"/>
    <w:rPr>
      <w:color w:val="0563C1"/>
      <w:u w:val="single"/>
    </w:rPr>
  </w:style>
  <w:style w:type="character" w:customStyle="1" w:styleId="16">
    <w:name w:val="page number"/>
    <w:basedOn w:val="13"/>
    <w:uiPriority w:val="0"/>
  </w:style>
  <w:style w:type="character" w:customStyle="1" w:styleId="17">
    <w:name w:val="text-tag"/>
    <w:basedOn w:val="13"/>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Kingsoft\WPS%20Office\12.1.0.17827\office6\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8</Pages>
  <Words>3280</Words>
  <Characters>3297</Characters>
  <Lines>6</Lines>
  <Paragraphs>1</Paragraphs>
  <TotalTime>6</TotalTime>
  <ScaleCrop>false</ScaleCrop>
  <LinksUpToDate>false</LinksUpToDate>
  <CharactersWithSpaces>3345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2014-11-14T02:00:00Z</dcterms:created>
  <dc:creator>star</dc:creator>
  <cp:lastModifiedBy>互联盘锦网站</cp:lastModifiedBy>
  <cp:lastPrinted>2023-12-29T01:06:11Z</cp:lastPrinted>
  <dcterms:modified xsi:type="dcterms:W3CDTF">2024-09-20T01:02:27Z</dcterms:modified>
  <dc:title>盘锦市耕地保护责任目标调研</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233EAA3956364873AA7ECD54FC205E5A_13</vt:lpwstr>
  </property>
</Properties>
</file>