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sz w:val="28"/>
          <w:szCs w:val="28"/>
        </w:rPr>
      </w:pPr>
      <w:r>
        <w:rPr>
          <w:rFonts w:hint="eastAsia" w:ascii="仿宋" w:hAnsi="仿宋" w:eastAsia="仿宋" w:cs="黑体"/>
          <w:b/>
          <w:spacing w:val="20"/>
          <w:w w:val="105"/>
          <w:sz w:val="36"/>
          <w:szCs w:val="36"/>
        </w:rPr>
        <w:t>2023年盘锦市车用乙醇汽油调合组分油产品质量监督抽查实施细则</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1 适用范围</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本细则适用于盘锦市车用乙醇汽油调合组分油产品质量监督抽查</w:t>
      </w:r>
      <w:bookmarkStart w:id="0" w:name="_GoBack"/>
      <w:bookmarkEnd w:id="0"/>
      <w:r>
        <w:rPr>
          <w:rFonts w:hint="eastAsia" w:ascii="仿宋" w:hAnsi="仿宋" w:eastAsia="仿宋"/>
          <w:sz w:val="28"/>
          <w:szCs w:val="28"/>
        </w:rPr>
        <w:t>。本实施细则内容包括产品分类、术语和定义、企业规模划分、检验依据、抽样、检验要求、判定原则、异议处理及附则。</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2 产品分类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2.1产品分类见表1。</w:t>
      </w:r>
    </w:p>
    <w:p>
      <w:pPr>
        <w:spacing w:line="360" w:lineRule="auto"/>
        <w:ind w:firstLine="480" w:firstLineChars="200"/>
        <w:jc w:val="center"/>
        <w:rPr>
          <w:rFonts w:ascii="仿宋" w:hAnsi="仿宋" w:eastAsia="仿宋"/>
          <w:sz w:val="24"/>
          <w:szCs w:val="24"/>
        </w:rPr>
      </w:pPr>
      <w:r>
        <w:rPr>
          <w:rFonts w:hint="eastAsia" w:ascii="仿宋" w:hAnsi="仿宋" w:eastAsia="仿宋"/>
          <w:color w:val="000000"/>
          <w:sz w:val="24"/>
          <w:szCs w:val="24"/>
        </w:rPr>
        <w:t>表</w:t>
      </w:r>
      <w:r>
        <w:rPr>
          <w:rFonts w:ascii="仿宋" w:hAnsi="仿宋" w:eastAsia="仿宋"/>
          <w:color w:val="000000"/>
          <w:sz w:val="24"/>
          <w:szCs w:val="24"/>
        </w:rPr>
        <w:t>1</w:t>
      </w:r>
      <w:r>
        <w:rPr>
          <w:rFonts w:hint="eastAsia" w:ascii="仿宋" w:hAnsi="仿宋" w:eastAsia="仿宋"/>
          <w:color w:val="000000"/>
          <w:sz w:val="24"/>
          <w:szCs w:val="24"/>
        </w:rPr>
        <w:t>车用乙醇汽油调合组分油产品分类及代码</w:t>
      </w:r>
    </w:p>
    <w:tbl>
      <w:tblPr>
        <w:tblStyle w:val="6"/>
        <w:tblW w:w="48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09"/>
        <w:gridCol w:w="2009"/>
        <w:gridCol w:w="2009"/>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产品分类</w:t>
            </w:r>
          </w:p>
        </w:tc>
        <w:tc>
          <w:tcPr>
            <w:tcW w:w="1250" w:type="pct"/>
            <w:vAlign w:val="center"/>
          </w:tcPr>
          <w:p>
            <w:pPr>
              <w:spacing w:line="276" w:lineRule="auto"/>
              <w:ind w:firstLine="26" w:firstLineChars="11"/>
              <w:jc w:val="center"/>
              <w:rPr>
                <w:rFonts w:ascii="仿宋" w:hAnsi="仿宋" w:eastAsia="仿宋" w:cs="宋体"/>
                <w:sz w:val="24"/>
                <w:szCs w:val="24"/>
              </w:rPr>
            </w:pPr>
            <w:r>
              <w:rPr>
                <w:rFonts w:hint="eastAsia" w:ascii="仿宋" w:hAnsi="仿宋" w:eastAsia="仿宋" w:cs="宋体"/>
                <w:sz w:val="24"/>
                <w:szCs w:val="24"/>
              </w:rPr>
              <w:t>一级分类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二级分类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分类代码</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r>
              <w:rPr>
                <w:rFonts w:ascii="仿宋" w:hAnsi="仿宋" w:eastAsia="仿宋" w:cs="宋体"/>
                <w:sz w:val="24"/>
                <w:szCs w:val="24"/>
              </w:rPr>
              <w:t>06</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分类名称</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机械及安防</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车辆相关产品</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bl>
    <w:p>
      <w:pPr>
        <w:spacing w:line="360" w:lineRule="auto"/>
        <w:ind w:firstLine="560" w:firstLineChars="200"/>
        <w:rPr>
          <w:rFonts w:ascii="仿宋" w:hAnsi="仿宋" w:eastAsia="仿宋"/>
          <w:sz w:val="28"/>
          <w:szCs w:val="28"/>
        </w:rPr>
      </w:pPr>
      <w:r>
        <w:rPr>
          <w:rFonts w:hint="eastAsia" w:ascii="仿宋" w:hAnsi="仿宋" w:eastAsia="仿宋"/>
          <w:sz w:val="28"/>
          <w:szCs w:val="28"/>
        </w:rPr>
        <w:t>2.2产品种类</w:t>
      </w:r>
    </w:p>
    <w:p>
      <w:pPr>
        <w:spacing w:line="594" w:lineRule="atLeast"/>
        <w:ind w:firstLine="560" w:firstLineChars="200"/>
        <w:rPr>
          <w:rFonts w:ascii="仿宋" w:hAnsi="仿宋" w:eastAsia="仿宋" w:cs="仿宋"/>
          <w:sz w:val="28"/>
          <w:szCs w:val="28"/>
        </w:rPr>
      </w:pPr>
      <w:r>
        <w:rPr>
          <w:rFonts w:hint="eastAsia" w:ascii="仿宋" w:hAnsi="仿宋" w:eastAsia="仿宋" w:cs="仿宋"/>
          <w:sz w:val="28"/>
          <w:szCs w:val="28"/>
        </w:rPr>
        <w:t>车用乙醇汽油调合组分油按研究法辛烷值分为89号、92号、95号、98号四个牌号；经公示现行有效的企业标准、地方标准及产品明示质量要求中规定的特殊牌号。</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3术语和定义</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本细则中未列出的术语和定义同相关引用标准。</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4 企业规模划分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根据国家统计局印发的相关管理办法，确定企业规模。</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5 检验依据</w:t>
      </w:r>
    </w:p>
    <w:p>
      <w:pPr>
        <w:spacing w:line="360" w:lineRule="auto"/>
        <w:ind w:firstLine="560" w:firstLineChars="200"/>
        <w:rPr>
          <w:rFonts w:ascii="仿宋" w:hAnsi="仿宋" w:eastAsia="仿宋"/>
        </w:rPr>
      </w:pPr>
      <w:r>
        <w:rPr>
          <w:rFonts w:hint="eastAsia" w:ascii="仿宋" w:hAnsi="仿宋" w:eastAsia="仿宋"/>
          <w:sz w:val="28"/>
          <w:szCs w:val="28"/>
        </w:rPr>
        <w:t>凡是注日期的文件，其随后所有的修改单（不包括勘误的内容）或修订版不适用于本细则。凡是不注日期的文件，其最新版本适用于本细则。</w:t>
      </w:r>
    </w:p>
    <w:p>
      <w:pPr>
        <w:spacing w:line="360" w:lineRule="auto"/>
        <w:ind w:firstLine="560" w:firstLineChars="200"/>
        <w:rPr>
          <w:rFonts w:ascii="仿宋" w:hAnsi="仿宋" w:eastAsia="仿宋"/>
          <w:sz w:val="28"/>
          <w:szCs w:val="28"/>
        </w:rPr>
      </w:pPr>
      <w:r>
        <w:rPr>
          <w:rFonts w:hint="eastAsia" w:ascii="仿宋" w:hAnsi="仿宋" w:eastAsia="仿宋"/>
          <w:sz w:val="28"/>
          <w:szCs w:val="28"/>
        </w:rPr>
        <w:t>GB 22030   车用乙醇汽油调合组分油</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相关的法律法规、部门规章和规范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经备案现行有效的企业标准、地方标准及产品明示质量要求</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6 抽样</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6.1抽样型号或规格</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抽取样品应为同一型号规格、同一批次的产品，优先抽取企业的主导产品。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6.2抽样基数及数量</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在企业的成品库内或市场待销产品中随机抽取有产品质量检验合格证明或者以其它形式表明合格（合格报告、企业相关人员确认等方式均可）的产品。所抽取产品的保质期（未注明保质期的按尚在保质期内处理）应能确保整个监督抽查（包含异议处理）工作的完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在市场待销产品的成品罐抽样时，取样方法执行GB/T 4756，取6L为样本，其中检验样品4L，备用样品2L，盛装在合适的容器中。盛装石油产品所用的容器，必须完整、清洁、不漏、经检查符合要求后，方能使用；在加油站抽样时，直接从加油机油枪口取样，抽取样品数量和容器要求与成品罐抽样时相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6.3 样品获取方式</w:t>
      </w:r>
    </w:p>
    <w:p>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按照国家市场监管总局相关管理办法执行。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6.4样品处置</w:t>
      </w:r>
    </w:p>
    <w:p>
      <w:pPr>
        <w:spacing w:line="360" w:lineRule="auto"/>
        <w:ind w:firstLine="560" w:firstLineChars="200"/>
        <w:rPr>
          <w:rFonts w:ascii="仿宋" w:hAnsi="仿宋" w:eastAsia="仿宋"/>
          <w:color w:val="FF0000"/>
          <w:sz w:val="28"/>
          <w:szCs w:val="28"/>
        </w:rPr>
      </w:pPr>
      <w:r>
        <w:rPr>
          <w:rFonts w:hint="eastAsia" w:ascii="仿宋" w:hAnsi="仿宋" w:eastAsia="仿宋"/>
          <w:sz w:val="28"/>
          <w:szCs w:val="28"/>
        </w:rPr>
        <w:t>6.4.1 对抽取的样品，在封条上分别注明“检验样品”与“备用样品”，当场对样品的瓶口或桶口密封，为保证样品的真实性，要有相应的防拆封措施，并保证封条在运输过程中不会破损。封条上至少要有产品名称和牌号、抽样日期、抽样人签字、被抽查企业代表签字及抽样单位公章等相关信息。</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6.4.2 抽取的样品应按运输条件包装好，由抽样人员通过合适的途径运送至样品检验机构。采用邮寄方式运送的样品，抽样人员应对样品做好防破损包装，交由有资质的公司运送。运输时严防雨淋、日晒、受潮。装卸时轻搬轻放，严禁掷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6.4.3 备用样品及检验结束后的样品应该贮存在阴凉、干燥、避免阳光直射的安全处。应保证备用样品在整个保存期间签封完整无损。</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6.5抽样单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应按有关规定填写抽样单，记录被抽查产品及企业相关信息，同时记录被抽查企业上一年度销售的车用乙醇汽油调合组分油产品的销售总额（以万元计）；若企业上一年度未销售，则记录本年度实际产品的销售总额，并加以注明。</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6.6其他要求</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可对抽样的关键过程留下影像资料。在进入企业、取样、双方签字确认等环节时，影像资料要能清晰记录企业名称、营业执照名称、被抽样的产品、成品罐、抽样状态、抽样人员和企业陪同人员等。</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6.7抽样时应注意的问题</w:t>
      </w:r>
    </w:p>
    <w:p>
      <w:pPr>
        <w:adjustRightInd w:val="0"/>
        <w:snapToGrid w:val="0"/>
        <w:spacing w:line="594" w:lineRule="exact"/>
        <w:rPr>
          <w:rFonts w:ascii="仿宋" w:hAnsi="仿宋" w:eastAsia="仿宋"/>
          <w:sz w:val="28"/>
          <w:szCs w:val="28"/>
        </w:rPr>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6.7.1应由抽样技术人员在现场进行抽取，不得由企业自行抽样。抽取的样品应当是有产品质量检验合格证明或者以其他形式表明合格的产品。</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6.7.2抽样时，抽样人员应当认真核实营业执照等被抽查企业的相关信息，确认企业不存在不得抽样的情形。遇有下列情况之一且能提供有效证明的，不得抽样：</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（1）被抽查企业无监督抽查通知书或者相关文件复印件所列产品的；</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（2）有充分证据证明拟抽查的产品是不用于销售的；</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（3）产品不涉及强制性标准要求，仅按双方约定的技术要求加工生产，且未执行任何标准的；</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（4）有充分证据证明拟抽查的产品为企业用于出口，并且出口合同对产品质量另有规定的；</w:t>
      </w:r>
    </w:p>
    <w:p>
      <w:pPr>
        <w:adjustRightInd w:val="0"/>
        <w:snapToGrid w:val="0"/>
        <w:spacing w:line="594" w:lineRule="exact"/>
        <w:ind w:firstLine="560" w:firstLineChars="200"/>
        <w:rPr>
          <w:rFonts w:ascii="仿宋" w:hAnsi="仿宋" w:eastAsia="仿宋"/>
          <w:sz w:val="28"/>
          <w:szCs w:val="28"/>
        </w:rPr>
      </w:pPr>
      <w:r>
        <w:rPr>
          <w:rFonts w:hint="eastAsia" w:ascii="仿宋" w:hAnsi="仿宋" w:eastAsia="仿宋"/>
          <w:sz w:val="28"/>
          <w:szCs w:val="28"/>
        </w:rPr>
        <w:t>（5）产品或者标签、包装、说明书标有“试制”、“处理”或者“样品”等字样的；</w:t>
      </w:r>
    </w:p>
    <w:p>
      <w:pPr>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6</w:t>
      </w:r>
      <w:r>
        <w:rPr>
          <w:rFonts w:hint="eastAsia" w:ascii="仿宋" w:hAnsi="仿宋" w:eastAsia="仿宋"/>
          <w:sz w:val="28"/>
          <w:szCs w:val="28"/>
        </w:rPr>
        <w:t>）企业提供上级市场监管部门6个月内同一规格型号的该种产品的监督抽查抽样单或者合格检验报告的。</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7 检验要求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7.1检验项目</w:t>
      </w:r>
    </w:p>
    <w:p>
      <w:pPr>
        <w:pStyle w:val="2"/>
        <w:spacing w:line="360" w:lineRule="auto"/>
        <w:ind w:firstLine="560"/>
        <w:rPr>
          <w:rFonts w:ascii="仿宋" w:hAnsi="仿宋" w:eastAsia="仿宋"/>
        </w:rPr>
      </w:pPr>
      <w:r>
        <w:rPr>
          <w:rFonts w:hint="eastAsia" w:ascii="仿宋" w:hAnsi="仿宋" w:eastAsia="仿宋"/>
          <w:sz w:val="28"/>
          <w:szCs w:val="28"/>
        </w:rPr>
        <w:t>车用乙醇汽油调合组分油产品检验项目表2。</w:t>
      </w:r>
    </w:p>
    <w:p>
      <w:pPr>
        <w:spacing w:line="360" w:lineRule="auto"/>
        <w:jc w:val="center"/>
        <w:rPr>
          <w:rFonts w:ascii="仿宋" w:hAnsi="仿宋" w:eastAsia="仿宋" w:cs="仿宋"/>
          <w:sz w:val="24"/>
          <w:szCs w:val="24"/>
        </w:rPr>
      </w:pPr>
      <w:r>
        <w:rPr>
          <w:rFonts w:hint="eastAsia" w:ascii="仿宋" w:hAnsi="仿宋" w:eastAsia="仿宋" w:cs="仿宋"/>
          <w:sz w:val="24"/>
          <w:szCs w:val="24"/>
        </w:rPr>
        <w:t>表2车用乙醇汽油调合组分油产品检验项目</w:t>
      </w:r>
    </w:p>
    <w:tbl>
      <w:tblPr>
        <w:tblStyle w:val="6"/>
        <w:tblW w:w="520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3"/>
        <w:gridCol w:w="2827"/>
        <w:gridCol w:w="1917"/>
        <w:gridCol w:w="3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323" w:type="pct"/>
            <w:tcBorders>
              <w:top w:val="single" w:color="auto" w:sz="4" w:space="0"/>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序号</w:t>
            </w:r>
          </w:p>
        </w:tc>
        <w:tc>
          <w:tcPr>
            <w:tcW w:w="1592"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检验项目</w:t>
            </w:r>
          </w:p>
        </w:tc>
        <w:tc>
          <w:tcPr>
            <w:tcW w:w="1079"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依据标准</w:t>
            </w:r>
          </w:p>
        </w:tc>
        <w:tc>
          <w:tcPr>
            <w:tcW w:w="200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研究法辛烷值(RON)</w:t>
            </w:r>
          </w:p>
        </w:tc>
        <w:tc>
          <w:tcPr>
            <w:tcW w:w="1079"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GB 22030-2017</w:t>
            </w:r>
          </w:p>
          <w:p>
            <w:pPr>
              <w:jc w:val="center"/>
              <w:rPr>
                <w:rFonts w:ascii="仿宋" w:hAnsi="仿宋" w:eastAsia="仿宋" w:cs="仿宋"/>
                <w:sz w:val="24"/>
                <w:szCs w:val="24"/>
              </w:rPr>
            </w:pPr>
          </w:p>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GB/T 5487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铅含量</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GB/T 8020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馏程</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GB/T 6536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胶质含量</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GB/T 8019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诱导期</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GB/T 8018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6</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硫含量</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SH/T 0689或GB/T 11140或NB/SH/T 0253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7</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硫醇(博士试验）</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NB/SH/T 0174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left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8</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铜片腐蚀(50℃,3h)</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GB/T 5096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9</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水溶性酸或碱</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GB/T 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10</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机械杂质</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snapToGrid w:val="0"/>
              <w:jc w:val="center"/>
              <w:rPr>
                <w:rFonts w:ascii="仿宋" w:hAnsi="仿宋" w:eastAsia="仿宋" w:cs="仿宋"/>
                <w:sz w:val="24"/>
                <w:szCs w:val="24"/>
              </w:rPr>
            </w:pPr>
            <w:r>
              <w:rPr>
                <w:rFonts w:hint="eastAsia" w:ascii="仿宋" w:hAnsi="仿宋" w:eastAsia="仿宋" w:cs="仿宋"/>
                <w:sz w:val="24"/>
                <w:szCs w:val="24"/>
              </w:rPr>
              <w:t>GB/T 511或目测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11</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水分</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GB/T 260或目测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top w:val="single" w:color="auto" w:sz="4" w:space="0"/>
              <w:left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12</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有机含氧化合物含量(质量分数）</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NB/SH/T 0663或SH/T 0720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top w:val="single" w:color="auto" w:sz="4" w:space="0"/>
              <w:left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13</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苯含量(体积分数)</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SH/T 0713或SH/T 0693或GB/T 28768或GB/T 30519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23" w:type="pct"/>
            <w:tcBorders>
              <w:top w:val="single" w:color="auto" w:sz="4" w:space="0"/>
              <w:left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14</w:t>
            </w:r>
          </w:p>
        </w:tc>
        <w:tc>
          <w:tcPr>
            <w:tcW w:w="1592" w:type="pct"/>
            <w:vAlign w:val="center"/>
          </w:tcPr>
          <w:p>
            <w:pPr>
              <w:jc w:val="center"/>
              <w:rPr>
                <w:rFonts w:ascii="仿宋" w:hAnsi="仿宋" w:eastAsia="仿宋" w:cs="仿宋"/>
                <w:sz w:val="24"/>
                <w:szCs w:val="24"/>
              </w:rPr>
            </w:pPr>
            <w:r>
              <w:rPr>
                <w:rFonts w:hint="eastAsia" w:ascii="仿宋" w:hAnsi="仿宋" w:eastAsia="仿宋" w:cs="仿宋"/>
                <w:sz w:val="24"/>
                <w:szCs w:val="24"/>
              </w:rPr>
              <w:t>密度(20℃)</w:t>
            </w:r>
          </w:p>
        </w:tc>
        <w:tc>
          <w:tcPr>
            <w:tcW w:w="1079" w:type="pct"/>
            <w:vMerge w:val="continue"/>
            <w:vAlign w:val="center"/>
          </w:tcPr>
          <w:p>
            <w:pPr>
              <w:jc w:val="center"/>
              <w:rPr>
                <w:rFonts w:ascii="仿宋" w:hAnsi="仿宋" w:eastAsia="仿宋" w:cs="仿宋"/>
                <w:sz w:val="24"/>
                <w:szCs w:val="24"/>
              </w:rPr>
            </w:pPr>
          </w:p>
        </w:tc>
        <w:tc>
          <w:tcPr>
            <w:tcW w:w="2004" w:type="pct"/>
            <w:vAlign w:val="center"/>
          </w:tcPr>
          <w:p>
            <w:pPr>
              <w:jc w:val="center"/>
              <w:rPr>
                <w:rFonts w:ascii="仿宋" w:hAnsi="仿宋" w:eastAsia="仿宋" w:cs="仿宋"/>
                <w:sz w:val="24"/>
                <w:szCs w:val="24"/>
              </w:rPr>
            </w:pPr>
            <w:r>
              <w:rPr>
                <w:rFonts w:hint="eastAsia" w:ascii="仿宋" w:hAnsi="仿宋" w:eastAsia="仿宋" w:cs="仿宋"/>
                <w:sz w:val="24"/>
                <w:szCs w:val="24"/>
              </w:rPr>
              <w:t>GB/T 1884、GB/T 1885或SH/T 0604</w:t>
            </w:r>
          </w:p>
        </w:tc>
      </w:tr>
    </w:tbl>
    <w:p>
      <w:pPr>
        <w:pStyle w:val="2"/>
        <w:spacing w:line="360" w:lineRule="auto"/>
        <w:ind w:firstLine="560"/>
        <w:rPr>
          <w:rFonts w:ascii="仿宋" w:hAnsi="仿宋" w:eastAsia="仿宋"/>
          <w:sz w:val="28"/>
          <w:szCs w:val="28"/>
        </w:rPr>
      </w:pPr>
      <w:r>
        <w:rPr>
          <w:rFonts w:hint="eastAsia" w:ascii="仿宋" w:hAnsi="仿宋" w:eastAsia="仿宋"/>
          <w:sz w:val="28"/>
          <w:szCs w:val="28"/>
        </w:rPr>
        <w:t>7.2 检验应注意的问题</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若被检产品明示的质量要求高于本规范中的检验项目依据的标准要求时，应按被检产品明示的质量要求判定。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若被检产品明示的质量要求低于本规范中的检验项目依据的强制性标准要求时，应按强制性标准要求判定。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若被检产品明示的质量要求低于或包含规范中检验项目依据的推荐性标准要求时，应以被检产品明示的质量要求判定。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若被检产品明示的质量要求缺少本规范中检验项目依据的强制性标准要求时，应按照强制性标准要求判定。</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若被检产品明示的质量要求缺少本规范中检验项目依据的推荐性标准要求时，该项目不参与判定，但应在检验报告备注中进行说明。</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检验过程中遇到有样品失效或者其它情况致使检验无法进行时，必须如实记录即时情况，并有充分的证实材料。</w:t>
      </w:r>
    </w:p>
    <w:p>
      <w:pPr>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当一个检验项目有多个检测方法时，出现可疑结果或不合格结果（即在有异议）时，应以产品标准中规定方法的测定结果为准。</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8 判定原则</w:t>
      </w:r>
    </w:p>
    <w:p>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lang w:val="zh-CN"/>
        </w:rPr>
        <w:t>经检验，检验项目全部合格，判定为被抽查产品所检项目未发现不合格；检验项目中任一项或一项以上不合格，判定为被抽查产品不合格。</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9 异议处理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对被判定为不合格产品进行异议处理时，按以下方式进行：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9.1 核查不合格项目相关证据，能够以记录（纸质记录或电子记录或影像记录）或与不合格项目相关联的其它质量数据等检验证据证明。</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9.2对需要复检并具备检验条件的，处理企业异议的市场监督管理部门或者指定检验机构应当按原监督抽查方案对抽取的备用样品组织复检，复检项目如有仲裁法需用仲裁法进行复检，并出具检验报告。复检结论为最终结论。</w:t>
      </w:r>
    </w:p>
    <w:p>
      <w:pPr>
        <w:snapToGrid w:val="0"/>
        <w:spacing w:line="360" w:lineRule="auto"/>
        <w:ind w:firstLine="562" w:firstLineChars="200"/>
        <w:rPr>
          <w:rFonts w:ascii="仿宋" w:hAnsi="仿宋" w:eastAsia="仿宋" w:cs="仿宋"/>
          <w:b/>
          <w:sz w:val="28"/>
          <w:szCs w:val="28"/>
        </w:rPr>
      </w:pPr>
      <w:r>
        <w:rPr>
          <w:rFonts w:hint="eastAsia" w:ascii="仿宋" w:hAnsi="仿宋" w:eastAsia="仿宋" w:cs="仿宋"/>
          <w:b/>
          <w:sz w:val="28"/>
          <w:szCs w:val="28"/>
        </w:rPr>
        <w:t>10 附则</w:t>
      </w:r>
    </w:p>
    <w:p>
      <w:pPr>
        <w:ind w:firstLine="560" w:firstLineChars="200"/>
        <w:rPr>
          <w:rFonts w:ascii="仿宋" w:hAnsi="仿宋" w:eastAsia="仿宋"/>
          <w:sz w:val="28"/>
          <w:szCs w:val="28"/>
        </w:rPr>
      </w:pPr>
      <w:r>
        <w:rPr>
          <w:rFonts w:hint="eastAsia" w:ascii="仿宋" w:hAnsi="仿宋" w:eastAsia="仿宋" w:cs="仿宋"/>
          <w:sz w:val="28"/>
          <w:szCs w:val="28"/>
        </w:rPr>
        <w:t>本实施细则编制单位：</w:t>
      </w:r>
      <w:r>
        <w:rPr>
          <w:rFonts w:hint="eastAsia" w:ascii="仿宋" w:hAnsi="仿宋" w:eastAsia="仿宋"/>
          <w:sz w:val="28"/>
          <w:szCs w:val="28"/>
        </w:rPr>
        <w:t>大连产品质量检验检测研究院有限公司</w:t>
      </w:r>
      <w:r>
        <w:rPr>
          <w:rFonts w:hint="eastAsia" w:ascii="仿宋" w:hAnsi="仿宋" w:eastAsia="仿宋" w:cs="仿宋"/>
          <w:sz w:val="28"/>
          <w:szCs w:val="28"/>
        </w:rPr>
        <w:t>。</w:t>
      </w:r>
    </w:p>
    <w:p>
      <w:pPr>
        <w:snapToGrid w:val="0"/>
        <w:spacing w:line="360" w:lineRule="auto"/>
        <w:ind w:firstLine="560" w:firstLineChars="200"/>
        <w:rPr>
          <w:rFonts w:ascii="仿宋" w:hAnsi="仿宋" w:eastAsia="仿宋"/>
        </w:rPr>
      </w:pPr>
      <w:r>
        <w:rPr>
          <w:rFonts w:hint="eastAsia" w:ascii="仿宋" w:hAnsi="仿宋" w:eastAsia="仿宋" w:cs="仿宋"/>
          <w:sz w:val="28"/>
          <w:szCs w:val="28"/>
        </w:rPr>
        <w:t>本实施细则由盘锦市市场监督管理局</w:t>
      </w:r>
      <w:r>
        <w:rPr>
          <w:rFonts w:hint="eastAsia" w:ascii="仿宋" w:hAnsi="仿宋" w:eastAsia="仿宋"/>
          <w:sz w:val="28"/>
          <w:szCs w:val="28"/>
        </w:rPr>
        <w:t>管理</w:t>
      </w:r>
      <w:r>
        <w:rPr>
          <w:rFonts w:hint="eastAsia" w:ascii="仿宋" w:hAnsi="仿宋" w:eastAsia="仿宋" w:cs="仿宋"/>
          <w:sz w:val="28"/>
          <w:szCs w:val="28"/>
        </w:rPr>
        <w:t>。</w:t>
      </w:r>
    </w:p>
    <w:p>
      <w:pPr>
        <w:pStyle w:val="2"/>
        <w:rPr>
          <w:rFonts w:ascii="仿宋" w:hAnsi="仿宋"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ZkMDgzZGIwNWQwZjU3YmZhNGExN2ZhMDhjZGY0YTYifQ=="/>
  </w:docVars>
  <w:rsids>
    <w:rsidRoot w:val="00311FB6"/>
    <w:rsid w:val="000014BB"/>
    <w:rsid w:val="000315C9"/>
    <w:rsid w:val="0003236F"/>
    <w:rsid w:val="000355C7"/>
    <w:rsid w:val="00051E59"/>
    <w:rsid w:val="00082EA3"/>
    <w:rsid w:val="000A3F79"/>
    <w:rsid w:val="000A50A9"/>
    <w:rsid w:val="000A75A2"/>
    <w:rsid w:val="000E20E2"/>
    <w:rsid w:val="000E668E"/>
    <w:rsid w:val="000F2526"/>
    <w:rsid w:val="001030FF"/>
    <w:rsid w:val="0013534D"/>
    <w:rsid w:val="00140897"/>
    <w:rsid w:val="001425B2"/>
    <w:rsid w:val="001643F0"/>
    <w:rsid w:val="001A45DB"/>
    <w:rsid w:val="001B51F7"/>
    <w:rsid w:val="001C3B9C"/>
    <w:rsid w:val="002046F9"/>
    <w:rsid w:val="00204D17"/>
    <w:rsid w:val="00205368"/>
    <w:rsid w:val="00213085"/>
    <w:rsid w:val="002206AA"/>
    <w:rsid w:val="0022318E"/>
    <w:rsid w:val="00245548"/>
    <w:rsid w:val="00250F8D"/>
    <w:rsid w:val="00257FA4"/>
    <w:rsid w:val="00267385"/>
    <w:rsid w:val="00275ABD"/>
    <w:rsid w:val="002917F1"/>
    <w:rsid w:val="00296152"/>
    <w:rsid w:val="002E762F"/>
    <w:rsid w:val="00303BBB"/>
    <w:rsid w:val="00311FB6"/>
    <w:rsid w:val="00352946"/>
    <w:rsid w:val="00376069"/>
    <w:rsid w:val="003849F7"/>
    <w:rsid w:val="0039085C"/>
    <w:rsid w:val="003B3B04"/>
    <w:rsid w:val="003F1515"/>
    <w:rsid w:val="003F280D"/>
    <w:rsid w:val="0046173A"/>
    <w:rsid w:val="004D0DBD"/>
    <w:rsid w:val="004D4198"/>
    <w:rsid w:val="004D7F61"/>
    <w:rsid w:val="00504536"/>
    <w:rsid w:val="0051624E"/>
    <w:rsid w:val="0053236C"/>
    <w:rsid w:val="00533DEA"/>
    <w:rsid w:val="005364E2"/>
    <w:rsid w:val="00560B1F"/>
    <w:rsid w:val="00573197"/>
    <w:rsid w:val="00594D2F"/>
    <w:rsid w:val="005A51E0"/>
    <w:rsid w:val="005D4F20"/>
    <w:rsid w:val="00602CEA"/>
    <w:rsid w:val="006726FF"/>
    <w:rsid w:val="006B7513"/>
    <w:rsid w:val="006C1F28"/>
    <w:rsid w:val="006E249D"/>
    <w:rsid w:val="007103AE"/>
    <w:rsid w:val="007328EC"/>
    <w:rsid w:val="00736044"/>
    <w:rsid w:val="007547B1"/>
    <w:rsid w:val="00766298"/>
    <w:rsid w:val="00790F02"/>
    <w:rsid w:val="007A1199"/>
    <w:rsid w:val="007B5465"/>
    <w:rsid w:val="00805A2E"/>
    <w:rsid w:val="008136A5"/>
    <w:rsid w:val="00825C6C"/>
    <w:rsid w:val="008273C5"/>
    <w:rsid w:val="0084028D"/>
    <w:rsid w:val="00876F46"/>
    <w:rsid w:val="008829BF"/>
    <w:rsid w:val="00887D44"/>
    <w:rsid w:val="008927E1"/>
    <w:rsid w:val="008A0FC7"/>
    <w:rsid w:val="008A2445"/>
    <w:rsid w:val="008A7044"/>
    <w:rsid w:val="008C3C98"/>
    <w:rsid w:val="008F5313"/>
    <w:rsid w:val="00903770"/>
    <w:rsid w:val="00952FD6"/>
    <w:rsid w:val="0095516C"/>
    <w:rsid w:val="0096065B"/>
    <w:rsid w:val="00962978"/>
    <w:rsid w:val="00983260"/>
    <w:rsid w:val="00992282"/>
    <w:rsid w:val="0099630D"/>
    <w:rsid w:val="009B2C74"/>
    <w:rsid w:val="009C689F"/>
    <w:rsid w:val="009C6FB6"/>
    <w:rsid w:val="009D64ED"/>
    <w:rsid w:val="009F2993"/>
    <w:rsid w:val="009F2D56"/>
    <w:rsid w:val="00A14D0A"/>
    <w:rsid w:val="00A21070"/>
    <w:rsid w:val="00A352B2"/>
    <w:rsid w:val="00A73F31"/>
    <w:rsid w:val="00A84FF1"/>
    <w:rsid w:val="00AC0B98"/>
    <w:rsid w:val="00AC4FF8"/>
    <w:rsid w:val="00B20A32"/>
    <w:rsid w:val="00B240DD"/>
    <w:rsid w:val="00B2566F"/>
    <w:rsid w:val="00B27DB3"/>
    <w:rsid w:val="00B31D44"/>
    <w:rsid w:val="00B4313C"/>
    <w:rsid w:val="00B85352"/>
    <w:rsid w:val="00B91211"/>
    <w:rsid w:val="00BE5FAB"/>
    <w:rsid w:val="00BF0AA3"/>
    <w:rsid w:val="00C0677F"/>
    <w:rsid w:val="00C14F41"/>
    <w:rsid w:val="00C36FD9"/>
    <w:rsid w:val="00C47442"/>
    <w:rsid w:val="00C60981"/>
    <w:rsid w:val="00C81684"/>
    <w:rsid w:val="00C84F7A"/>
    <w:rsid w:val="00C960B1"/>
    <w:rsid w:val="00C963DB"/>
    <w:rsid w:val="00CA5710"/>
    <w:rsid w:val="00CE18C9"/>
    <w:rsid w:val="00CF6A1F"/>
    <w:rsid w:val="00D01021"/>
    <w:rsid w:val="00D130EB"/>
    <w:rsid w:val="00D1349D"/>
    <w:rsid w:val="00D54B1D"/>
    <w:rsid w:val="00D60D00"/>
    <w:rsid w:val="00DE1DC2"/>
    <w:rsid w:val="00E40B46"/>
    <w:rsid w:val="00E67500"/>
    <w:rsid w:val="00EA531A"/>
    <w:rsid w:val="00EB29B5"/>
    <w:rsid w:val="00ED3750"/>
    <w:rsid w:val="00ED701A"/>
    <w:rsid w:val="00EE411C"/>
    <w:rsid w:val="00F04686"/>
    <w:rsid w:val="00F14747"/>
    <w:rsid w:val="00F1759B"/>
    <w:rsid w:val="00F37103"/>
    <w:rsid w:val="00F46539"/>
    <w:rsid w:val="00F52696"/>
    <w:rsid w:val="00F55632"/>
    <w:rsid w:val="00F60794"/>
    <w:rsid w:val="00F75748"/>
    <w:rsid w:val="00F76521"/>
    <w:rsid w:val="00FA08C9"/>
    <w:rsid w:val="00FC057C"/>
    <w:rsid w:val="00FC4997"/>
    <w:rsid w:val="00FD2AC2"/>
    <w:rsid w:val="00FD4EB8"/>
    <w:rsid w:val="00FE3081"/>
    <w:rsid w:val="0EFC6F43"/>
    <w:rsid w:val="137E433D"/>
    <w:rsid w:val="20EC7F06"/>
    <w:rsid w:val="2E764C99"/>
    <w:rsid w:val="38D34FF7"/>
    <w:rsid w:val="3F152FAD"/>
    <w:rsid w:val="415D153C"/>
    <w:rsid w:val="4AEE4ACF"/>
    <w:rsid w:val="4E7B24E2"/>
    <w:rsid w:val="609B1DDB"/>
    <w:rsid w:val="6B8507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alloon Text"/>
    <w:basedOn w:val="1"/>
    <w:link w:val="11"/>
    <w:semiHidden/>
    <w:unhideWhenUsed/>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character" w:customStyle="1" w:styleId="11">
    <w:name w:val="批注框文本 Char"/>
    <w:basedOn w:val="7"/>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6</Pages>
  <Words>2511</Words>
  <Characters>2750</Characters>
  <Lines>21</Lines>
  <Paragraphs>5</Paragraphs>
  <TotalTime>5</TotalTime>
  <ScaleCrop>false</ScaleCrop>
  <LinksUpToDate>false</LinksUpToDate>
  <CharactersWithSpaces>2797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2023-02-13T02:42:00Z</dcterms:created>
  <dc:creator>admin</dc:creator>
  <cp:lastModifiedBy>金</cp:lastModifiedBy>
  <dcterms:modified xsi:type="dcterms:W3CDTF">2023-02-16T09:13:43Z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FD3A114618C941ACA61E79CF2054B586</vt:lpwstr>
  </property>
</Properties>
</file>