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1C8B2">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2023年盘锦市重负荷车辆齿轮油产品质量</w:t>
      </w:r>
    </w:p>
    <w:p w14:paraId="5158981F">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监督抽查实施细则</w:t>
      </w:r>
    </w:p>
    <w:p w14:paraId="11D361A5">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14:paraId="5CA85F03">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本细则适用于盘锦市重负荷车辆齿轮油产品质量监督抽查。本实施细则内容包括产品分类、术语和定义、企业规模划分、检验依据、抽样、检验要求、判定原则、异议处理及附则。</w:t>
      </w:r>
    </w:p>
    <w:p w14:paraId="4E0EC36D">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14:paraId="6F17F5C6">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14:paraId="0F8DA512">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重负荷车辆齿轮油产品分类及代码</w:t>
      </w:r>
    </w:p>
    <w:tbl>
      <w:tblPr>
        <w:tblStyle w:val="9"/>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14:paraId="7DD9F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14:paraId="64C16A72">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14:paraId="606C3EDB">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14:paraId="06DB676B">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14:paraId="661C7364">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14:paraId="7E2BA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14:paraId="35256FBF">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14:paraId="00E5C1FB">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14:paraId="2B70557C">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14:paraId="2D37F492">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14:paraId="6BB71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14:paraId="111263D1">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14:paraId="42E88E6A">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14:paraId="7D851754">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c>
          <w:tcPr>
            <w:tcW w:w="1250" w:type="pct"/>
            <w:vAlign w:val="center"/>
          </w:tcPr>
          <w:p w14:paraId="6952B94C">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14:paraId="2E88A0A7">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14:paraId="3FF308B2">
      <w:pPr>
        <w:ind w:firstLine="560" w:firstLineChars="200"/>
        <w:rPr>
          <w:rFonts w:ascii="仿宋" w:hAnsi="仿宋" w:eastAsia="仿宋"/>
          <w:sz w:val="28"/>
          <w:szCs w:val="28"/>
        </w:rPr>
      </w:pPr>
      <w:r>
        <w:rPr>
          <w:rFonts w:hint="eastAsia" w:ascii="仿宋" w:hAnsi="仿宋" w:eastAsia="仿宋"/>
          <w:sz w:val="28"/>
          <w:szCs w:val="28"/>
        </w:rPr>
        <w:t>重负荷车辆齿轮油产品分为10个黏度等级:75W-90、80W-90、</w:t>
      </w:r>
      <w:bookmarkStart w:id="4" w:name="_GoBack"/>
      <w:bookmarkEnd w:id="4"/>
      <w:r>
        <w:rPr>
          <w:rFonts w:hint="eastAsia" w:ascii="仿宋" w:hAnsi="仿宋" w:eastAsia="仿宋"/>
          <w:sz w:val="28"/>
          <w:szCs w:val="28"/>
        </w:rPr>
        <w:t>80W-110、80W-140、85W-90、85W-110、85W-140、90、110和140。经备案现行有效的企业标准、地方标准及产品明示质量要求中规定的特殊牌号。</w:t>
      </w:r>
    </w:p>
    <w:p w14:paraId="1D47CD44">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14:paraId="0E9D159C">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14:paraId="2E8BBEE0">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14:paraId="30F64429">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14:paraId="23B6D9DD">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14:paraId="10AF2C65">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14:paraId="3DF1EC11">
      <w:pPr>
        <w:widowControl/>
        <w:shd w:val="clear" w:color="auto" w:fill="FFFFFF"/>
        <w:spacing w:line="339" w:lineRule="atLeast"/>
        <w:ind w:firstLine="562" w:firstLineChars="200"/>
        <w:jc w:val="left"/>
        <w:outlineLvl w:val="0"/>
        <w:rPr>
          <w:rFonts w:hint="eastAsia" w:ascii="仿宋" w:hAnsi="仿宋" w:eastAsia="仿宋" w:cs="仿宋"/>
          <w:sz w:val="28"/>
          <w:szCs w:val="28"/>
        </w:rPr>
      </w:pPr>
      <w:r>
        <w:rPr>
          <w:rFonts w:hint="eastAsia" w:ascii="仿宋" w:hAnsi="仿宋" w:eastAsia="仿宋" w:cs="仿宋"/>
          <w:b/>
          <w:bCs/>
          <w:color w:val="333333"/>
          <w:kern w:val="36"/>
          <w:sz w:val="28"/>
          <w:szCs w:val="28"/>
        </w:rPr>
        <w:t xml:space="preserve">GB 13895-2018 </w:t>
      </w:r>
      <w:r>
        <w:rPr>
          <w:rFonts w:hint="eastAsia" w:ascii="仿宋" w:hAnsi="仿宋" w:eastAsia="仿宋" w:cs="仿宋"/>
          <w:sz w:val="28"/>
          <w:szCs w:val="28"/>
        </w:rPr>
        <w:t>《重负荷车辆齿轮油（GL-5）》</w:t>
      </w:r>
    </w:p>
    <w:p w14:paraId="77832D3E">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14:paraId="7CED245F">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14:paraId="648BC1BA">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14:paraId="36CF6A8F">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14:paraId="2D3B19E2">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抽取样品应为同一型号规格、同一批次的产品，优先抽取企业的主流型号规格产品。</w:t>
      </w:r>
    </w:p>
    <w:p w14:paraId="23DA5BC8">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14:paraId="328278D5">
      <w:pPr>
        <w:ind w:firstLine="560" w:firstLineChars="200"/>
        <w:rPr>
          <w:rFonts w:ascii="仿宋" w:hAnsi="仿宋" w:eastAsia="仿宋" w:cs="仿宋"/>
          <w:sz w:val="28"/>
          <w:szCs w:val="28"/>
        </w:rPr>
      </w:pPr>
      <w:bookmarkStart w:id="0" w:name="_Hlk72663067"/>
      <w:r>
        <w:rPr>
          <w:rFonts w:hint="eastAsia" w:ascii="仿宋" w:hAnsi="仿宋" w:eastAsia="仿宋" w:cs="仿宋"/>
          <w:sz w:val="28"/>
          <w:szCs w:val="28"/>
        </w:rPr>
        <w:t>在企业的成品区或市场待销产品中随机抽取有产品质量检验合格证明或者以其它形式表明合格（合格证、合格报告、企业相关人员确认等方式均可）的产品。</w:t>
      </w:r>
      <w:bookmarkStart w:id="1" w:name="_Hlk104125003"/>
      <w:bookmarkStart w:id="2" w:name="_Hlk104125440"/>
      <w:r>
        <w:rPr>
          <w:rFonts w:hint="eastAsia" w:ascii="仿宋" w:hAnsi="仿宋" w:eastAsia="仿宋" w:cs="仿宋"/>
          <w:sz w:val="28"/>
          <w:szCs w:val="28"/>
        </w:rPr>
        <w:t>随机数一般可使用随机数表、骰子或扑克牌等方法产生。</w:t>
      </w:r>
      <w:bookmarkEnd w:id="1"/>
      <w:r>
        <w:rPr>
          <w:rFonts w:hint="eastAsia" w:ascii="仿宋" w:hAnsi="仿宋" w:eastAsia="仿宋" w:cs="仿宋"/>
          <w:sz w:val="28"/>
          <w:szCs w:val="28"/>
        </w:rPr>
        <w:t>所抽取产品的保质期（未注明保质期的按尚在保质期内处理）应能确保整个监督抽查（包含异议处理）工作的完成。</w:t>
      </w:r>
      <w:bookmarkEnd w:id="2"/>
    </w:p>
    <w:bookmarkEnd w:id="0"/>
    <w:p w14:paraId="4996E15C">
      <w:pPr>
        <w:ind w:firstLine="560" w:firstLineChars="200"/>
        <w:rPr>
          <w:rFonts w:ascii="仿宋" w:hAnsi="仿宋" w:eastAsia="仿宋" w:cs="仿宋"/>
          <w:sz w:val="28"/>
          <w:szCs w:val="28"/>
        </w:rPr>
      </w:pPr>
      <w:r>
        <w:rPr>
          <w:rFonts w:hint="eastAsia" w:ascii="仿宋" w:hAnsi="仿宋" w:eastAsia="仿宋" w:cs="仿宋"/>
          <w:sz w:val="28"/>
          <w:szCs w:val="28"/>
        </w:rPr>
        <w:t>在生产企业成品罐抽样时，同一批次产品抽样基数应不少于100L，取样方法执行GB/T 4756，取8L为样本，</w:t>
      </w:r>
      <w:bookmarkStart w:id="3" w:name="_Hlk72663096"/>
      <w:r>
        <w:rPr>
          <w:rFonts w:hint="eastAsia" w:ascii="仿宋" w:hAnsi="仿宋" w:eastAsia="仿宋" w:cs="仿宋"/>
          <w:sz w:val="28"/>
          <w:szCs w:val="28"/>
        </w:rPr>
        <w:t>平均分作两份盛装在合适的容器中，一份作为检验样品，一份作为备用样品。</w:t>
      </w:r>
      <w:bookmarkEnd w:id="3"/>
    </w:p>
    <w:p w14:paraId="7E00B68F">
      <w:pPr>
        <w:ind w:firstLine="560" w:firstLineChars="200"/>
        <w:rPr>
          <w:rFonts w:ascii="仿宋" w:hAnsi="仿宋" w:eastAsia="仿宋" w:cs="仿宋"/>
          <w:sz w:val="28"/>
          <w:szCs w:val="28"/>
        </w:rPr>
      </w:pPr>
      <w:r>
        <w:rPr>
          <w:rFonts w:hint="eastAsia" w:ascii="仿宋" w:hAnsi="仿宋" w:eastAsia="仿宋" w:cs="仿宋"/>
          <w:sz w:val="28"/>
          <w:szCs w:val="28"/>
        </w:rPr>
        <w:t>在生产企业成品库抽样时，同一批次产品抽样基数应不少于100L，取样方法执行GB/T 10111，取不小于2个最小独立包装，总量不少于8L的样品，1/2作为检验样品，1/2作为备用样品。</w:t>
      </w:r>
    </w:p>
    <w:p w14:paraId="587D8D96">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在流通领域抽样时，取样方法与生产领域相同，抽样基数应不少于抽取样品量。抽取不小于2个最小独立包装，总量不少于8L的样品，1/2作为检验样品，1/2作为备用样品。</w:t>
      </w:r>
    </w:p>
    <w:p w14:paraId="712288B8">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14:paraId="41494EA7">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14:paraId="68442BD7">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14:paraId="3CB3F559">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检验样品和备用样品应当分别进行签封，并具有防拆封措施，并保证封条在运输过程中不会破损。封条上至少要有产品名称和牌号、抽样日期、抽样人签字、被抽查企业代表签字及抽样单位公章等相关信息。</w:t>
      </w:r>
    </w:p>
    <w:p w14:paraId="17BF8F9B">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14:paraId="23543BEF">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14:paraId="7277D3A0">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14:paraId="0664341F">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重负荷车辆齿轮油产品的销售总额（以万元计）；若企业上一年度未销售，则记录本年度实际产品的销售总额，并加以注明。对于产品检验所需的样品技术参数等信息，需要被抽企业提供的，应在抽样现场获取。</w:t>
      </w:r>
    </w:p>
    <w:p w14:paraId="48CDDE3C">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14:paraId="434B70E2">
      <w:pPr>
        <w:spacing w:line="360" w:lineRule="auto"/>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可对抽样的关键过程留下影像资料。在进入企业、取样、双方签字确认等环节时，影像资料要能清晰记录企业名称、营业执照名称、被抽样的产品、成品区、抽样状态、抽样人员和企业陪同人员等。</w:t>
      </w:r>
    </w:p>
    <w:p w14:paraId="2529653B">
      <w:pPr>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14:paraId="4CC058F9">
      <w:pPr>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14:paraId="14FDFA3A">
      <w:pPr>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14:paraId="4A270809">
      <w:pPr>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14:paraId="53D74184">
      <w:pPr>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14:paraId="746C5B2D">
      <w:pPr>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14:paraId="331DF905">
      <w:pPr>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14:paraId="27EB1721">
      <w:pPr>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14:paraId="0E5E4318">
      <w:pPr>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14:paraId="30D41FC7">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14:paraId="380ABB96">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14:paraId="334FC3AC">
      <w:pPr>
        <w:pStyle w:val="2"/>
        <w:spacing w:line="360" w:lineRule="auto"/>
        <w:ind w:firstLine="560"/>
        <w:rPr>
          <w:rFonts w:ascii="仿宋" w:hAnsi="仿宋" w:eastAsia="仿宋"/>
        </w:rPr>
      </w:pPr>
      <w:r>
        <w:rPr>
          <w:rFonts w:hint="eastAsia" w:ascii="仿宋" w:hAnsi="仿宋" w:eastAsia="仿宋"/>
          <w:sz w:val="28"/>
          <w:szCs w:val="28"/>
        </w:rPr>
        <w:t>重负荷车辆齿轮油产品检验项目表3。</w:t>
      </w:r>
    </w:p>
    <w:p w14:paraId="061BF5DD">
      <w:pPr>
        <w:pStyle w:val="4"/>
        <w:ind w:leftChars="0" w:firstLine="0" w:firstLineChars="0"/>
        <w:jc w:val="center"/>
      </w:pPr>
      <w:r>
        <w:rPr>
          <w:rFonts w:hint="eastAsia"/>
        </w:rPr>
        <w:t>表3 重负荷车辆齿轮油检验项目</w:t>
      </w:r>
    </w:p>
    <w:tbl>
      <w:tblPr>
        <w:tblStyle w:val="9"/>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14:paraId="6DEC6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14:paraId="0272174E">
            <w:pPr>
              <w:snapToGrid w:val="0"/>
              <w:jc w:val="center"/>
              <w:rPr>
                <w:rFonts w:ascii="宋体" w:hAnsi="宋体" w:cs="宋体"/>
                <w:szCs w:val="21"/>
              </w:rPr>
            </w:pPr>
            <w:r>
              <w:rPr>
                <w:rFonts w:hint="eastAsia" w:ascii="宋体" w:hAnsi="宋体" w:cs="宋体"/>
                <w:szCs w:val="21"/>
              </w:rPr>
              <w:t>序号</w:t>
            </w:r>
          </w:p>
        </w:tc>
        <w:tc>
          <w:tcPr>
            <w:tcW w:w="2974" w:type="dxa"/>
            <w:tcBorders>
              <w:top w:val="single" w:color="auto" w:sz="4" w:space="0"/>
            </w:tcBorders>
            <w:vAlign w:val="center"/>
          </w:tcPr>
          <w:p w14:paraId="2043C102">
            <w:pPr>
              <w:snapToGrid w:val="0"/>
              <w:jc w:val="center"/>
              <w:rPr>
                <w:rFonts w:ascii="Times New Roman" w:hAnsi="Times New Roman"/>
                <w:szCs w:val="24"/>
              </w:rPr>
            </w:pPr>
            <w:r>
              <w:rPr>
                <w:rFonts w:hint="eastAsia" w:ascii="Times New Roman" w:hAnsi="Times New Roman"/>
                <w:szCs w:val="24"/>
              </w:rPr>
              <w:t>检验项目</w:t>
            </w:r>
          </w:p>
        </w:tc>
        <w:tc>
          <w:tcPr>
            <w:tcW w:w="1844" w:type="dxa"/>
            <w:tcBorders>
              <w:top w:val="single" w:color="auto" w:sz="4" w:space="0"/>
            </w:tcBorders>
            <w:vAlign w:val="center"/>
          </w:tcPr>
          <w:p w14:paraId="0960A1DE">
            <w:pPr>
              <w:snapToGrid w:val="0"/>
              <w:jc w:val="center"/>
              <w:rPr>
                <w:rFonts w:ascii="Times New Roman" w:hAnsi="Times New Roman"/>
                <w:szCs w:val="24"/>
              </w:rPr>
            </w:pPr>
            <w:r>
              <w:rPr>
                <w:rFonts w:hint="eastAsia" w:ascii="Times New Roman" w:hAnsi="Times New Roman"/>
                <w:szCs w:val="24"/>
              </w:rPr>
              <w:t>依据标准</w:t>
            </w:r>
          </w:p>
        </w:tc>
        <w:tc>
          <w:tcPr>
            <w:tcW w:w="2692" w:type="dxa"/>
            <w:tcBorders>
              <w:top w:val="single" w:color="auto" w:sz="4" w:space="0"/>
            </w:tcBorders>
            <w:vAlign w:val="center"/>
          </w:tcPr>
          <w:p w14:paraId="4782B5B0">
            <w:pPr>
              <w:snapToGrid w:val="0"/>
              <w:jc w:val="center"/>
              <w:rPr>
                <w:rFonts w:ascii="Times New Roman" w:hAnsi="Times New Roman"/>
                <w:szCs w:val="24"/>
              </w:rPr>
            </w:pPr>
            <w:r>
              <w:rPr>
                <w:rFonts w:hint="eastAsia" w:ascii="Times New Roman" w:hAnsi="Times New Roman"/>
                <w:szCs w:val="24"/>
              </w:rPr>
              <w:t>检测方法</w:t>
            </w:r>
          </w:p>
        </w:tc>
      </w:tr>
      <w:tr w14:paraId="77D9D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763826FD">
            <w:pPr>
              <w:snapToGrid w:val="0"/>
              <w:jc w:val="center"/>
              <w:rPr>
                <w:rFonts w:ascii="宋体" w:hAnsi="宋体" w:cs="宋体"/>
                <w:szCs w:val="21"/>
              </w:rPr>
            </w:pPr>
            <w:r>
              <w:rPr>
                <w:rFonts w:ascii="宋体" w:hAnsi="宋体" w:cs="宋体"/>
                <w:szCs w:val="21"/>
              </w:rPr>
              <w:t>1</w:t>
            </w:r>
          </w:p>
        </w:tc>
        <w:tc>
          <w:tcPr>
            <w:tcW w:w="2974" w:type="dxa"/>
            <w:vAlign w:val="center"/>
          </w:tcPr>
          <w:p w14:paraId="4A7D580C">
            <w:pPr>
              <w:snapToGrid w:val="0"/>
              <w:jc w:val="center"/>
              <w:rPr>
                <w:rFonts w:ascii="Times New Roman" w:hAnsi="Times New Roman"/>
                <w:szCs w:val="24"/>
              </w:rPr>
            </w:pPr>
            <w:r>
              <w:rPr>
                <w:rFonts w:hint="eastAsia" w:ascii="Times New Roman" w:hAnsi="Times New Roman"/>
                <w:szCs w:val="24"/>
              </w:rPr>
              <w:t>运动黏度（</w:t>
            </w:r>
            <w:r>
              <w:rPr>
                <w:rFonts w:ascii="Times New Roman" w:hAnsi="Times New Roman"/>
                <w:szCs w:val="24"/>
              </w:rPr>
              <w:t>100</w:t>
            </w:r>
            <w:r>
              <w:rPr>
                <w:rFonts w:hint="eastAsia" w:ascii="Times New Roman" w:hAnsi="Times New Roman"/>
                <w:szCs w:val="24"/>
              </w:rPr>
              <w:t>℃）</w:t>
            </w:r>
          </w:p>
        </w:tc>
        <w:tc>
          <w:tcPr>
            <w:tcW w:w="1844" w:type="dxa"/>
            <w:vMerge w:val="restart"/>
            <w:vAlign w:val="center"/>
          </w:tcPr>
          <w:p w14:paraId="5009F162">
            <w:pPr>
              <w:snapToGrid w:val="0"/>
              <w:jc w:val="center"/>
              <w:rPr>
                <w:rFonts w:ascii="Times New Roman" w:hAnsi="Times New Roman"/>
                <w:szCs w:val="24"/>
              </w:rPr>
            </w:pPr>
            <w:r>
              <w:rPr>
                <w:rFonts w:hint="eastAsia" w:ascii="Times New Roman" w:hAnsi="Times New Roman"/>
                <w:szCs w:val="24"/>
              </w:rPr>
              <w:t xml:space="preserve"> </w:t>
            </w:r>
            <w:r>
              <w:rPr>
                <w:rFonts w:ascii="Times New Roman" w:hAnsi="Times New Roman"/>
                <w:szCs w:val="24"/>
              </w:rPr>
              <w:t>GB 13895-2018</w:t>
            </w:r>
          </w:p>
        </w:tc>
        <w:tc>
          <w:tcPr>
            <w:tcW w:w="2692" w:type="dxa"/>
            <w:vAlign w:val="center"/>
          </w:tcPr>
          <w:p w14:paraId="51D7EF46">
            <w:pPr>
              <w:snapToGrid w:val="0"/>
              <w:jc w:val="center"/>
              <w:rPr>
                <w:rFonts w:ascii="Times New Roman" w:hAnsi="Times New Roman"/>
                <w:szCs w:val="24"/>
              </w:rPr>
            </w:pPr>
            <w:r>
              <w:rPr>
                <w:rFonts w:hint="eastAsia" w:ascii="Times New Roman" w:hAnsi="Times New Roman"/>
                <w:szCs w:val="24"/>
              </w:rPr>
              <w:t>GB/T 265</w:t>
            </w:r>
          </w:p>
        </w:tc>
      </w:tr>
      <w:tr w14:paraId="021A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30F57E55">
            <w:pPr>
              <w:snapToGrid w:val="0"/>
              <w:jc w:val="center"/>
              <w:rPr>
                <w:rFonts w:ascii="宋体" w:hAnsi="宋体" w:cs="宋体"/>
                <w:szCs w:val="21"/>
              </w:rPr>
            </w:pPr>
            <w:r>
              <w:rPr>
                <w:rFonts w:ascii="宋体" w:hAnsi="宋体" w:cs="宋体"/>
                <w:szCs w:val="21"/>
              </w:rPr>
              <w:t>2</w:t>
            </w:r>
          </w:p>
        </w:tc>
        <w:tc>
          <w:tcPr>
            <w:tcW w:w="2974" w:type="dxa"/>
            <w:vAlign w:val="center"/>
          </w:tcPr>
          <w:p w14:paraId="474A0B0C">
            <w:pPr>
              <w:snapToGrid w:val="0"/>
              <w:jc w:val="center"/>
              <w:rPr>
                <w:rFonts w:ascii="Times New Roman" w:hAnsi="Times New Roman"/>
                <w:szCs w:val="24"/>
              </w:rPr>
            </w:pPr>
            <w:r>
              <w:rPr>
                <w:rFonts w:hint="eastAsia" w:ascii="Times New Roman" w:hAnsi="Times New Roman"/>
                <w:szCs w:val="24"/>
              </w:rPr>
              <w:t>黏度指数</w:t>
            </w:r>
          </w:p>
        </w:tc>
        <w:tc>
          <w:tcPr>
            <w:tcW w:w="1844" w:type="dxa"/>
            <w:vMerge w:val="continue"/>
            <w:vAlign w:val="center"/>
          </w:tcPr>
          <w:p w14:paraId="0DC4C2C2">
            <w:pPr>
              <w:snapToGrid w:val="0"/>
              <w:jc w:val="center"/>
              <w:rPr>
                <w:rFonts w:ascii="Times New Roman" w:hAnsi="Times New Roman"/>
                <w:szCs w:val="24"/>
              </w:rPr>
            </w:pPr>
          </w:p>
        </w:tc>
        <w:tc>
          <w:tcPr>
            <w:tcW w:w="2692" w:type="dxa"/>
            <w:vAlign w:val="center"/>
          </w:tcPr>
          <w:p w14:paraId="43393223">
            <w:pPr>
              <w:snapToGrid w:val="0"/>
              <w:jc w:val="center"/>
              <w:rPr>
                <w:rFonts w:ascii="Times New Roman" w:hAnsi="Times New Roman"/>
                <w:szCs w:val="24"/>
              </w:rPr>
            </w:pPr>
            <w:r>
              <w:rPr>
                <w:rFonts w:hint="eastAsia" w:ascii="Times New Roman" w:hAnsi="Times New Roman"/>
                <w:szCs w:val="24"/>
              </w:rPr>
              <w:t>GB/T 1995或GB/T 2541</w:t>
            </w:r>
          </w:p>
        </w:tc>
      </w:tr>
      <w:tr w14:paraId="445C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2197A5AB">
            <w:pPr>
              <w:snapToGrid w:val="0"/>
              <w:jc w:val="center"/>
              <w:rPr>
                <w:rFonts w:ascii="宋体" w:hAnsi="宋体" w:cs="宋体"/>
                <w:szCs w:val="21"/>
              </w:rPr>
            </w:pPr>
            <w:r>
              <w:rPr>
                <w:rFonts w:ascii="宋体" w:hAnsi="宋体" w:cs="宋体"/>
                <w:szCs w:val="21"/>
              </w:rPr>
              <w:t>3</w:t>
            </w:r>
          </w:p>
        </w:tc>
        <w:tc>
          <w:tcPr>
            <w:tcW w:w="2974" w:type="dxa"/>
            <w:vAlign w:val="center"/>
          </w:tcPr>
          <w:p w14:paraId="5BCA8A57">
            <w:pPr>
              <w:snapToGrid w:val="0"/>
              <w:jc w:val="center"/>
              <w:rPr>
                <w:rFonts w:ascii="Times New Roman" w:hAnsi="Times New Roman"/>
                <w:szCs w:val="24"/>
              </w:rPr>
            </w:pPr>
            <w:r>
              <w:rPr>
                <w:rFonts w:hint="eastAsia" w:ascii="Times New Roman" w:hAnsi="Times New Roman"/>
                <w:szCs w:val="24"/>
              </w:rPr>
              <w:t>倾点</w:t>
            </w:r>
          </w:p>
        </w:tc>
        <w:tc>
          <w:tcPr>
            <w:tcW w:w="1844" w:type="dxa"/>
            <w:vMerge w:val="continue"/>
            <w:vAlign w:val="center"/>
          </w:tcPr>
          <w:p w14:paraId="4262A3C3">
            <w:pPr>
              <w:snapToGrid w:val="0"/>
              <w:jc w:val="center"/>
              <w:rPr>
                <w:rFonts w:ascii="Times New Roman" w:hAnsi="Times New Roman"/>
                <w:szCs w:val="24"/>
              </w:rPr>
            </w:pPr>
          </w:p>
        </w:tc>
        <w:tc>
          <w:tcPr>
            <w:tcW w:w="2692" w:type="dxa"/>
            <w:vAlign w:val="center"/>
          </w:tcPr>
          <w:p w14:paraId="68D0C122">
            <w:pPr>
              <w:snapToGrid w:val="0"/>
              <w:jc w:val="center"/>
              <w:rPr>
                <w:rFonts w:ascii="Times New Roman" w:hAnsi="Times New Roman"/>
                <w:szCs w:val="24"/>
              </w:rPr>
            </w:pPr>
            <w:r>
              <w:rPr>
                <w:rFonts w:hint="eastAsia" w:ascii="Times New Roman" w:hAnsi="Times New Roman"/>
                <w:szCs w:val="24"/>
              </w:rPr>
              <w:t>GB/T 3535</w:t>
            </w:r>
          </w:p>
        </w:tc>
      </w:tr>
      <w:tr w14:paraId="0B160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14:paraId="032CA1E8">
            <w:pPr>
              <w:snapToGrid w:val="0"/>
              <w:jc w:val="center"/>
              <w:rPr>
                <w:rFonts w:ascii="宋体" w:hAnsi="宋体" w:cs="宋体"/>
                <w:szCs w:val="21"/>
              </w:rPr>
            </w:pPr>
            <w:r>
              <w:rPr>
                <w:rFonts w:ascii="宋体" w:hAnsi="宋体" w:cs="宋体"/>
                <w:szCs w:val="21"/>
              </w:rPr>
              <w:t>4</w:t>
            </w:r>
          </w:p>
        </w:tc>
        <w:tc>
          <w:tcPr>
            <w:tcW w:w="2974" w:type="dxa"/>
            <w:vAlign w:val="center"/>
          </w:tcPr>
          <w:p w14:paraId="3BDA03A8">
            <w:pPr>
              <w:snapToGrid w:val="0"/>
              <w:jc w:val="center"/>
              <w:rPr>
                <w:rFonts w:ascii="Times New Roman" w:hAnsi="Times New Roman"/>
                <w:szCs w:val="24"/>
              </w:rPr>
            </w:pPr>
            <w:r>
              <w:rPr>
                <w:rFonts w:hint="eastAsia" w:ascii="Times New Roman" w:hAnsi="Times New Roman"/>
                <w:szCs w:val="24"/>
              </w:rPr>
              <w:t>水分（体积分数）</w:t>
            </w:r>
          </w:p>
        </w:tc>
        <w:tc>
          <w:tcPr>
            <w:tcW w:w="1844" w:type="dxa"/>
            <w:vMerge w:val="continue"/>
            <w:vAlign w:val="center"/>
          </w:tcPr>
          <w:p w14:paraId="56429B47">
            <w:pPr>
              <w:snapToGrid w:val="0"/>
              <w:jc w:val="center"/>
              <w:rPr>
                <w:rFonts w:ascii="Times New Roman" w:hAnsi="Times New Roman"/>
                <w:szCs w:val="24"/>
              </w:rPr>
            </w:pPr>
          </w:p>
        </w:tc>
        <w:tc>
          <w:tcPr>
            <w:tcW w:w="2692" w:type="dxa"/>
            <w:vAlign w:val="center"/>
          </w:tcPr>
          <w:p w14:paraId="4B3999EC">
            <w:pPr>
              <w:snapToGrid w:val="0"/>
              <w:jc w:val="center"/>
              <w:rPr>
                <w:rFonts w:ascii="Times New Roman" w:hAnsi="Times New Roman"/>
                <w:szCs w:val="24"/>
              </w:rPr>
            </w:pPr>
            <w:r>
              <w:rPr>
                <w:rFonts w:hint="eastAsia" w:ascii="Times New Roman" w:hAnsi="Times New Roman"/>
                <w:szCs w:val="24"/>
              </w:rPr>
              <w:t>GB/T 260</w:t>
            </w:r>
          </w:p>
        </w:tc>
      </w:tr>
      <w:tr w14:paraId="59AC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7B1D03AA">
            <w:pPr>
              <w:snapToGrid w:val="0"/>
              <w:jc w:val="center"/>
              <w:rPr>
                <w:rFonts w:ascii="宋体" w:hAnsi="宋体" w:cs="宋体"/>
                <w:szCs w:val="21"/>
              </w:rPr>
            </w:pPr>
            <w:r>
              <w:rPr>
                <w:rFonts w:ascii="宋体" w:hAnsi="宋体" w:cs="宋体"/>
                <w:szCs w:val="21"/>
              </w:rPr>
              <w:t>5</w:t>
            </w:r>
          </w:p>
        </w:tc>
        <w:tc>
          <w:tcPr>
            <w:tcW w:w="2974" w:type="dxa"/>
            <w:vAlign w:val="center"/>
          </w:tcPr>
          <w:p w14:paraId="4838D5F6">
            <w:pPr>
              <w:snapToGrid w:val="0"/>
              <w:jc w:val="center"/>
              <w:rPr>
                <w:rFonts w:ascii="Times New Roman" w:hAnsi="Times New Roman"/>
                <w:szCs w:val="24"/>
              </w:rPr>
            </w:pPr>
            <w:r>
              <w:rPr>
                <w:rFonts w:hint="eastAsia" w:ascii="Times New Roman" w:hAnsi="Times New Roman"/>
                <w:szCs w:val="24"/>
              </w:rPr>
              <w:t>泡沫性（泡沫倾向/泡沫稳定性）</w:t>
            </w:r>
          </w:p>
        </w:tc>
        <w:tc>
          <w:tcPr>
            <w:tcW w:w="1844" w:type="dxa"/>
            <w:vMerge w:val="continue"/>
            <w:vAlign w:val="center"/>
          </w:tcPr>
          <w:p w14:paraId="4CCEAF05">
            <w:pPr>
              <w:snapToGrid w:val="0"/>
              <w:jc w:val="center"/>
              <w:rPr>
                <w:rFonts w:ascii="Times New Roman" w:hAnsi="Times New Roman"/>
                <w:szCs w:val="24"/>
              </w:rPr>
            </w:pPr>
          </w:p>
        </w:tc>
        <w:tc>
          <w:tcPr>
            <w:tcW w:w="2692" w:type="dxa"/>
            <w:vAlign w:val="center"/>
          </w:tcPr>
          <w:p w14:paraId="28F358B7">
            <w:pPr>
              <w:snapToGrid w:val="0"/>
              <w:jc w:val="center"/>
              <w:rPr>
                <w:rFonts w:ascii="Times New Roman" w:hAnsi="Times New Roman"/>
                <w:szCs w:val="24"/>
              </w:rPr>
            </w:pPr>
            <w:r>
              <w:rPr>
                <w:rFonts w:hint="eastAsia" w:ascii="Times New Roman" w:hAnsi="Times New Roman"/>
                <w:szCs w:val="24"/>
              </w:rPr>
              <w:t>GB/T 12579</w:t>
            </w:r>
          </w:p>
        </w:tc>
      </w:tr>
      <w:tr w14:paraId="13010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364D480B">
            <w:pPr>
              <w:snapToGrid w:val="0"/>
              <w:jc w:val="center"/>
              <w:rPr>
                <w:rFonts w:ascii="宋体" w:hAnsi="宋体" w:cs="宋体"/>
                <w:szCs w:val="21"/>
              </w:rPr>
            </w:pPr>
            <w:r>
              <w:rPr>
                <w:rFonts w:ascii="宋体" w:hAnsi="宋体" w:cs="宋体"/>
                <w:szCs w:val="21"/>
              </w:rPr>
              <w:t>6</w:t>
            </w:r>
          </w:p>
        </w:tc>
        <w:tc>
          <w:tcPr>
            <w:tcW w:w="2974" w:type="dxa"/>
            <w:vAlign w:val="center"/>
          </w:tcPr>
          <w:p w14:paraId="0F52326D">
            <w:pPr>
              <w:snapToGrid w:val="0"/>
              <w:jc w:val="center"/>
              <w:rPr>
                <w:rFonts w:ascii="Times New Roman" w:hAnsi="Times New Roman"/>
                <w:szCs w:val="24"/>
              </w:rPr>
            </w:pPr>
            <w:r>
              <w:rPr>
                <w:rFonts w:hint="eastAsia" w:ascii="Times New Roman" w:hAnsi="Times New Roman"/>
                <w:szCs w:val="24"/>
              </w:rPr>
              <w:t>机械杂质（质量分数）</w:t>
            </w:r>
          </w:p>
        </w:tc>
        <w:tc>
          <w:tcPr>
            <w:tcW w:w="1844" w:type="dxa"/>
            <w:vMerge w:val="continue"/>
            <w:vAlign w:val="center"/>
          </w:tcPr>
          <w:p w14:paraId="47641211">
            <w:pPr>
              <w:snapToGrid w:val="0"/>
              <w:jc w:val="center"/>
              <w:rPr>
                <w:rFonts w:ascii="Times New Roman" w:hAnsi="Times New Roman"/>
                <w:szCs w:val="24"/>
              </w:rPr>
            </w:pPr>
          </w:p>
        </w:tc>
        <w:tc>
          <w:tcPr>
            <w:tcW w:w="2692" w:type="dxa"/>
            <w:vAlign w:val="center"/>
          </w:tcPr>
          <w:p w14:paraId="1D658666">
            <w:pPr>
              <w:snapToGrid w:val="0"/>
              <w:jc w:val="center"/>
              <w:rPr>
                <w:rFonts w:ascii="Times New Roman" w:hAnsi="Times New Roman"/>
                <w:szCs w:val="24"/>
              </w:rPr>
            </w:pPr>
            <w:r>
              <w:rPr>
                <w:rFonts w:hint="eastAsia" w:ascii="Times New Roman" w:hAnsi="Times New Roman"/>
                <w:szCs w:val="24"/>
              </w:rPr>
              <w:t>GB/T 511</w:t>
            </w:r>
          </w:p>
        </w:tc>
      </w:tr>
      <w:tr w14:paraId="0CD6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1F48E383">
            <w:pPr>
              <w:snapToGrid w:val="0"/>
              <w:jc w:val="center"/>
              <w:rPr>
                <w:rFonts w:ascii="宋体" w:hAnsi="宋体" w:cs="宋体"/>
                <w:szCs w:val="21"/>
              </w:rPr>
            </w:pPr>
            <w:r>
              <w:rPr>
                <w:rFonts w:ascii="宋体" w:hAnsi="宋体" w:cs="宋体"/>
                <w:szCs w:val="21"/>
              </w:rPr>
              <w:t>7</w:t>
            </w:r>
          </w:p>
        </w:tc>
        <w:tc>
          <w:tcPr>
            <w:tcW w:w="2974" w:type="dxa"/>
            <w:vAlign w:val="center"/>
          </w:tcPr>
          <w:p w14:paraId="38D85ABB">
            <w:pPr>
              <w:snapToGrid w:val="0"/>
              <w:jc w:val="center"/>
              <w:rPr>
                <w:rFonts w:ascii="Times New Roman" w:hAnsi="Times New Roman"/>
                <w:szCs w:val="24"/>
              </w:rPr>
            </w:pPr>
            <w:r>
              <w:rPr>
                <w:rFonts w:hint="eastAsia" w:ascii="Times New Roman" w:hAnsi="Times New Roman"/>
                <w:szCs w:val="24"/>
              </w:rPr>
              <w:t>闪点（开口）</w:t>
            </w:r>
          </w:p>
        </w:tc>
        <w:tc>
          <w:tcPr>
            <w:tcW w:w="1844" w:type="dxa"/>
            <w:vMerge w:val="continue"/>
            <w:vAlign w:val="center"/>
          </w:tcPr>
          <w:p w14:paraId="06688365">
            <w:pPr>
              <w:snapToGrid w:val="0"/>
              <w:jc w:val="center"/>
              <w:rPr>
                <w:rFonts w:ascii="Times New Roman" w:hAnsi="Times New Roman"/>
                <w:szCs w:val="24"/>
              </w:rPr>
            </w:pPr>
          </w:p>
        </w:tc>
        <w:tc>
          <w:tcPr>
            <w:tcW w:w="2692" w:type="dxa"/>
            <w:vAlign w:val="center"/>
          </w:tcPr>
          <w:p w14:paraId="24264E40">
            <w:pPr>
              <w:snapToGrid w:val="0"/>
              <w:jc w:val="center"/>
              <w:rPr>
                <w:rFonts w:ascii="Times New Roman" w:hAnsi="Times New Roman"/>
                <w:szCs w:val="24"/>
              </w:rPr>
            </w:pPr>
            <w:r>
              <w:rPr>
                <w:rFonts w:hint="eastAsia" w:ascii="Times New Roman" w:hAnsi="Times New Roman"/>
                <w:szCs w:val="24"/>
              </w:rPr>
              <w:t>GB/T 3536</w:t>
            </w:r>
          </w:p>
        </w:tc>
      </w:tr>
      <w:tr w14:paraId="2CD8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14:paraId="53FF56E7">
            <w:pPr>
              <w:snapToGrid w:val="0"/>
              <w:jc w:val="center"/>
              <w:rPr>
                <w:rFonts w:ascii="宋体" w:hAnsi="宋体" w:cs="宋体"/>
                <w:szCs w:val="21"/>
              </w:rPr>
            </w:pPr>
            <w:r>
              <w:rPr>
                <w:rFonts w:ascii="宋体" w:hAnsi="宋体" w:cs="宋体"/>
                <w:szCs w:val="21"/>
              </w:rPr>
              <w:t>8</w:t>
            </w:r>
          </w:p>
        </w:tc>
        <w:tc>
          <w:tcPr>
            <w:tcW w:w="2974" w:type="dxa"/>
            <w:vAlign w:val="center"/>
          </w:tcPr>
          <w:p w14:paraId="75E8C2C2">
            <w:pPr>
              <w:snapToGrid w:val="0"/>
              <w:jc w:val="center"/>
              <w:rPr>
                <w:rFonts w:ascii="Times New Roman" w:hAnsi="Times New Roman"/>
                <w:szCs w:val="24"/>
              </w:rPr>
            </w:pPr>
            <w:r>
              <w:rPr>
                <w:rFonts w:hint="eastAsia" w:ascii="Times New Roman" w:hAnsi="Times New Roman"/>
                <w:szCs w:val="24"/>
              </w:rPr>
              <w:t>铜片腐蚀（1</w:t>
            </w:r>
            <w:r>
              <w:rPr>
                <w:rFonts w:ascii="Times New Roman" w:hAnsi="Times New Roman"/>
                <w:szCs w:val="24"/>
              </w:rPr>
              <w:t>00</w:t>
            </w:r>
            <w:r>
              <w:rPr>
                <w:rFonts w:hint="eastAsia" w:ascii="Times New Roman" w:hAnsi="Times New Roman"/>
                <w:szCs w:val="24"/>
              </w:rPr>
              <w:t>℃，3h）</w:t>
            </w:r>
          </w:p>
        </w:tc>
        <w:tc>
          <w:tcPr>
            <w:tcW w:w="1844" w:type="dxa"/>
            <w:vMerge w:val="continue"/>
            <w:vAlign w:val="center"/>
          </w:tcPr>
          <w:p w14:paraId="6B5DB115">
            <w:pPr>
              <w:snapToGrid w:val="0"/>
              <w:jc w:val="center"/>
              <w:rPr>
                <w:rFonts w:ascii="Times New Roman" w:hAnsi="Times New Roman"/>
                <w:szCs w:val="24"/>
              </w:rPr>
            </w:pPr>
          </w:p>
        </w:tc>
        <w:tc>
          <w:tcPr>
            <w:tcW w:w="2692" w:type="dxa"/>
            <w:vAlign w:val="center"/>
          </w:tcPr>
          <w:p w14:paraId="69C8382D">
            <w:pPr>
              <w:snapToGrid w:val="0"/>
              <w:jc w:val="center"/>
              <w:rPr>
                <w:rFonts w:ascii="Times New Roman" w:hAnsi="Times New Roman"/>
                <w:szCs w:val="24"/>
              </w:rPr>
            </w:pPr>
            <w:r>
              <w:rPr>
                <w:rFonts w:hint="eastAsia" w:ascii="Times New Roman" w:hAnsi="Times New Roman"/>
                <w:szCs w:val="24"/>
              </w:rPr>
              <w:t>G</w:t>
            </w:r>
            <w:r>
              <w:rPr>
                <w:rFonts w:ascii="Times New Roman" w:hAnsi="Times New Roman"/>
                <w:szCs w:val="24"/>
              </w:rPr>
              <w:t>B/T 5096</w:t>
            </w:r>
          </w:p>
        </w:tc>
      </w:tr>
    </w:tbl>
    <w:p w14:paraId="2A1DEA6A">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14:paraId="55F559CE">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14:paraId="01AFC5CC">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14:paraId="036A19CA">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14:paraId="64963D7A">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14:paraId="14CDF051">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14:paraId="4F631857">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14:paraId="07160036">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2E7CD651">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14:paraId="09ECD5A6">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14:paraId="3B5F5419">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14:paraId="0137DDBD">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14:paraId="75B666CB">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14:paraId="06BCCB30">
      <w:pPr>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14:paraId="1C96248C">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仿宋_GB2312"/>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Nimbus Roman No9 L"/>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125FF"/>
    <w:rsid w:val="000315C9"/>
    <w:rsid w:val="0003236F"/>
    <w:rsid w:val="00051E59"/>
    <w:rsid w:val="00082EA3"/>
    <w:rsid w:val="000A3F79"/>
    <w:rsid w:val="000A75A2"/>
    <w:rsid w:val="000B32A3"/>
    <w:rsid w:val="000E20E2"/>
    <w:rsid w:val="000E668E"/>
    <w:rsid w:val="000F2526"/>
    <w:rsid w:val="001030FF"/>
    <w:rsid w:val="00140897"/>
    <w:rsid w:val="001425B2"/>
    <w:rsid w:val="001643F0"/>
    <w:rsid w:val="001A45DB"/>
    <w:rsid w:val="001B51F7"/>
    <w:rsid w:val="001F1442"/>
    <w:rsid w:val="002046F9"/>
    <w:rsid w:val="00204D17"/>
    <w:rsid w:val="00205368"/>
    <w:rsid w:val="00213085"/>
    <w:rsid w:val="002206AA"/>
    <w:rsid w:val="0022318E"/>
    <w:rsid w:val="00235CE0"/>
    <w:rsid w:val="00245548"/>
    <w:rsid w:val="00250F8D"/>
    <w:rsid w:val="00266EB8"/>
    <w:rsid w:val="00267385"/>
    <w:rsid w:val="00275ABD"/>
    <w:rsid w:val="00296152"/>
    <w:rsid w:val="002B7108"/>
    <w:rsid w:val="00311FB6"/>
    <w:rsid w:val="00352946"/>
    <w:rsid w:val="003849F7"/>
    <w:rsid w:val="0039085C"/>
    <w:rsid w:val="003B2E68"/>
    <w:rsid w:val="003F280D"/>
    <w:rsid w:val="004D0DBD"/>
    <w:rsid w:val="004D24AC"/>
    <w:rsid w:val="004D4198"/>
    <w:rsid w:val="004D4D0E"/>
    <w:rsid w:val="004D7F61"/>
    <w:rsid w:val="0050033C"/>
    <w:rsid w:val="00517531"/>
    <w:rsid w:val="0053236C"/>
    <w:rsid w:val="00533DEA"/>
    <w:rsid w:val="005364E2"/>
    <w:rsid w:val="00540786"/>
    <w:rsid w:val="00550472"/>
    <w:rsid w:val="00594D2F"/>
    <w:rsid w:val="006024C6"/>
    <w:rsid w:val="00602CEA"/>
    <w:rsid w:val="006B7513"/>
    <w:rsid w:val="006C1F28"/>
    <w:rsid w:val="006C7764"/>
    <w:rsid w:val="006E249D"/>
    <w:rsid w:val="006F5E88"/>
    <w:rsid w:val="007073FF"/>
    <w:rsid w:val="00736044"/>
    <w:rsid w:val="007547B1"/>
    <w:rsid w:val="00766298"/>
    <w:rsid w:val="00782650"/>
    <w:rsid w:val="00790F02"/>
    <w:rsid w:val="007947DB"/>
    <w:rsid w:val="007A1199"/>
    <w:rsid w:val="007B5465"/>
    <w:rsid w:val="007E385C"/>
    <w:rsid w:val="00805A2E"/>
    <w:rsid w:val="008136A5"/>
    <w:rsid w:val="00825C6C"/>
    <w:rsid w:val="0084028D"/>
    <w:rsid w:val="00876F46"/>
    <w:rsid w:val="008829BF"/>
    <w:rsid w:val="00887D44"/>
    <w:rsid w:val="008A2445"/>
    <w:rsid w:val="008A7044"/>
    <w:rsid w:val="008C3C98"/>
    <w:rsid w:val="008F5313"/>
    <w:rsid w:val="00903770"/>
    <w:rsid w:val="00952FD6"/>
    <w:rsid w:val="0095516C"/>
    <w:rsid w:val="0096065B"/>
    <w:rsid w:val="00983260"/>
    <w:rsid w:val="00992282"/>
    <w:rsid w:val="0099630D"/>
    <w:rsid w:val="009B2C74"/>
    <w:rsid w:val="009C6FB6"/>
    <w:rsid w:val="009D64ED"/>
    <w:rsid w:val="009F2993"/>
    <w:rsid w:val="009F2D56"/>
    <w:rsid w:val="00A14D0A"/>
    <w:rsid w:val="00A21070"/>
    <w:rsid w:val="00A352B2"/>
    <w:rsid w:val="00A73F31"/>
    <w:rsid w:val="00A84FF1"/>
    <w:rsid w:val="00AC0B98"/>
    <w:rsid w:val="00B20A32"/>
    <w:rsid w:val="00B240DD"/>
    <w:rsid w:val="00B27DB3"/>
    <w:rsid w:val="00B36668"/>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12C3"/>
    <w:rsid w:val="00FD2AC2"/>
    <w:rsid w:val="00FD4EB8"/>
    <w:rsid w:val="00FE180F"/>
    <w:rsid w:val="33C93C2D"/>
    <w:rsid w:val="3C416CEB"/>
    <w:rsid w:val="74F56BA3"/>
    <w:rsid w:val="FCF518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4">
    <w:name w:val="List 2"/>
    <w:basedOn w:val="1"/>
    <w:qFormat/>
    <w:uiPriority w:val="99"/>
    <w:pPr>
      <w:ind w:left="100" w:leftChars="200" w:hanging="200" w:hangingChars="200"/>
    </w:pPr>
    <w:rPr>
      <w:rFonts w:ascii="Times New Roman" w:hAnsi="Times New Roman"/>
      <w:szCs w:val="24"/>
    </w:rPr>
  </w:style>
  <w:style w:type="paragraph" w:styleId="5">
    <w:name w:val="Date"/>
    <w:basedOn w:val="1"/>
    <w:next w:val="1"/>
    <w:link w:val="16"/>
    <w:semiHidden/>
    <w:unhideWhenUsed/>
    <w:qFormat/>
    <w:uiPriority w:val="99"/>
    <w:pPr>
      <w:ind w:left="100" w:leftChars="2500"/>
    </w:pPr>
  </w:style>
  <w:style w:type="paragraph" w:styleId="6">
    <w:name w:val="Balloon Text"/>
    <w:basedOn w:val="1"/>
    <w:link w:val="15"/>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0">
    <w:name w:val="Table Grid"/>
    <w:basedOn w:val="9"/>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5">
    <w:name w:val="批注框文本 Char"/>
    <w:basedOn w:val="11"/>
    <w:link w:val="6"/>
    <w:semiHidden/>
    <w:qFormat/>
    <w:uiPriority w:val="99"/>
    <w:rPr>
      <w:rFonts w:ascii="Calibri" w:hAnsi="Calibri" w:eastAsia="宋体" w:cs="Times New Roman"/>
      <w:sz w:val="18"/>
      <w:szCs w:val="18"/>
    </w:rPr>
  </w:style>
  <w:style w:type="character" w:customStyle="1" w:styleId="16">
    <w:name w:val="日期 Char"/>
    <w:basedOn w:val="11"/>
    <w:link w:val="5"/>
    <w:semiHidden/>
    <w:qFormat/>
    <w:uiPriority w:val="99"/>
    <w:rPr>
      <w:rFonts w:ascii="Calibri" w:hAnsi="Calibri" w:eastAsia="宋体" w:cs="Times New Roman"/>
    </w:rPr>
  </w:style>
  <w:style w:type="character" w:customStyle="1" w:styleId="17">
    <w:name w:val="标题 1 Char"/>
    <w:basedOn w:val="11"/>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2501</Words>
  <Characters>2711</Characters>
  <Lines>20</Lines>
  <Paragraphs>5</Paragraphs>
  <TotalTime>1</TotalTime>
  <ScaleCrop>false</ScaleCrop>
  <LinksUpToDate>false</LinksUpToDate>
  <CharactersWithSpaces>2746</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2023-02-13T12:40:00Z</dcterms:created>
  <dc:creator>admin</dc:creator>
  <cp:lastModifiedBy>郑毅很正义ever</cp:lastModifiedBy>
  <dcterms:modified xsi:type="dcterms:W3CDTF">2025-04-09T10:35:06Z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9819950D451849B2B270E83DC41D8B34</vt:lpwstr>
  </property>
</Properties>
</file>