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0" w:firstLineChars="0"/>
        <w:jc w:val="center"/>
        <w:rPr>
          <w:rFonts w:hint="eastAsia" w:ascii="仿宋" w:hAnsi="仿宋" w:cs="仿宋"/>
          <w:b/>
          <w:bCs/>
          <w:sz w:val="36"/>
          <w:szCs w:val="36"/>
        </w:rPr>
      </w:pPr>
      <w:r>
        <w:rPr>
          <w:rFonts w:hint="eastAsia" w:ascii="仿宋" w:hAnsi="仿宋" w:cs="仿宋"/>
          <w:b/>
          <w:bCs/>
          <w:sz w:val="36"/>
          <w:szCs w:val="36"/>
        </w:rPr>
        <w:t>2023年盘锦市危险化学品化学试剂产品质量监督抽查</w:t>
      </w:r>
    </w:p>
    <w:p>
      <w:pPr>
        <w:spacing w:line="240" w:lineRule="auto"/>
        <w:ind w:firstLine="0" w:firstLineChars="0"/>
        <w:jc w:val="center"/>
        <w:rPr>
          <w:rFonts w:ascii="仿宋" w:hAnsi="仿宋" w:cs="仿宋"/>
          <w:b/>
          <w:bCs/>
          <w:sz w:val="36"/>
          <w:szCs w:val="36"/>
        </w:rPr>
      </w:pPr>
      <w:r>
        <w:rPr>
          <w:rFonts w:hint="eastAsia" w:ascii="仿宋" w:hAnsi="仿宋" w:cs="仿宋"/>
          <w:b/>
          <w:bCs/>
          <w:sz w:val="36"/>
          <w:szCs w:val="36"/>
        </w:rPr>
        <w:t>实施细则</w:t>
      </w:r>
    </w:p>
    <w:p>
      <w:pPr>
        <w:spacing w:beforeLines="50" w:line="360" w:lineRule="auto"/>
        <w:ind w:firstLine="560"/>
        <w:rPr>
          <w:rFonts w:hint="eastAsia" w:ascii="仿宋" w:hAnsi="仿宋" w:eastAsia="仿宋" w:cs="仿宋"/>
          <w:b/>
          <w:bCs w:val="0"/>
        </w:rPr>
      </w:pPr>
      <w:r>
        <w:rPr>
          <w:rFonts w:hint="eastAsia" w:ascii="仿宋" w:hAnsi="仿宋" w:eastAsia="仿宋" w:cs="仿宋"/>
          <w:b/>
          <w:bCs w:val="0"/>
        </w:rPr>
        <w:t>1 适用范围</w:t>
      </w:r>
    </w:p>
    <w:p>
      <w:pPr>
        <w:spacing w:line="360" w:lineRule="auto"/>
        <w:ind w:firstLine="560"/>
        <w:rPr>
          <w:rFonts w:hint="eastAsia" w:ascii="仿宋" w:hAnsi="仿宋" w:eastAsia="仿宋" w:cs="仿宋"/>
          <w:szCs w:val="28"/>
        </w:rPr>
      </w:pPr>
      <w:r>
        <w:rPr>
          <w:rFonts w:hint="eastAsia" w:ascii="仿宋" w:hAnsi="仿宋" w:eastAsia="仿宋" w:cs="仿宋"/>
          <w:szCs w:val="28"/>
        </w:rPr>
        <w:t>本细则适用于盘锦市危险化学品化学试剂产品质量监督抽查。本细则内容包括产品分类、术语和定义、生产企业规模划分、检验依据、抽样、检验要求、判定原则、异议处理</w:t>
      </w:r>
      <w:r>
        <w:rPr>
          <w:rFonts w:hint="eastAsia" w:ascii="仿宋" w:hAnsi="仿宋" w:eastAsia="仿宋" w:cs="仿宋"/>
          <w:szCs w:val="28"/>
          <w:lang w:val="en-US" w:eastAsia="zh-CN"/>
        </w:rPr>
        <w:t>及附则</w:t>
      </w:r>
      <w:r>
        <w:rPr>
          <w:rFonts w:hint="eastAsia" w:ascii="仿宋" w:hAnsi="仿宋" w:eastAsia="仿宋" w:cs="仿宋"/>
          <w:szCs w:val="28"/>
        </w:rPr>
        <w:t>。</w:t>
      </w:r>
    </w:p>
    <w:p>
      <w:pPr>
        <w:spacing w:beforeLines="50" w:line="360" w:lineRule="auto"/>
        <w:ind w:firstLine="560"/>
        <w:rPr>
          <w:rFonts w:hint="eastAsia" w:ascii="仿宋" w:hAnsi="仿宋" w:eastAsia="仿宋" w:cs="仿宋"/>
          <w:b/>
          <w:bCs w:val="0"/>
          <w:szCs w:val="28"/>
        </w:rPr>
      </w:pPr>
      <w:r>
        <w:rPr>
          <w:rFonts w:hint="eastAsia" w:ascii="仿宋" w:hAnsi="仿宋" w:eastAsia="仿宋" w:cs="仿宋"/>
          <w:b/>
          <w:bCs w:val="0"/>
          <w:szCs w:val="28"/>
        </w:rPr>
        <w:t>2 产品种类</w:t>
      </w:r>
    </w:p>
    <w:p>
      <w:pPr>
        <w:spacing w:beforeLines="50" w:afterLines="50" w:line="360" w:lineRule="auto"/>
        <w:ind w:firstLine="560"/>
        <w:rPr>
          <w:rFonts w:hint="eastAsia" w:ascii="仿宋" w:hAnsi="仿宋" w:eastAsia="仿宋" w:cs="仿宋"/>
          <w:bCs/>
          <w:szCs w:val="28"/>
        </w:rPr>
      </w:pPr>
      <w:r>
        <w:rPr>
          <w:rFonts w:hint="eastAsia" w:ascii="仿宋" w:hAnsi="仿宋" w:eastAsia="仿宋" w:cs="仿宋"/>
          <w:bCs/>
          <w:szCs w:val="28"/>
        </w:rPr>
        <w:t>2.1产品分类及代码见表1</w:t>
      </w:r>
    </w:p>
    <w:p>
      <w:pPr>
        <w:spacing w:line="594" w:lineRule="exact"/>
        <w:ind w:firstLine="0" w:firstLineChars="0"/>
        <w:jc w:val="center"/>
        <w:rPr>
          <w:rFonts w:hint="eastAsia" w:ascii="仿宋" w:hAnsi="仿宋" w:cs="仿宋"/>
          <w:szCs w:val="28"/>
        </w:rPr>
      </w:pPr>
      <w:r>
        <w:rPr>
          <w:rFonts w:hint="eastAsia" w:ascii="仿宋" w:hAnsi="仿宋" w:cs="仿宋"/>
          <w:szCs w:val="28"/>
        </w:rPr>
        <w:t>表1 产品分类及代码</w:t>
      </w:r>
    </w:p>
    <w:tbl>
      <w:tblPr>
        <w:tblStyle w:val="1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293"/>
        <w:gridCol w:w="2293"/>
        <w:gridCol w:w="2294"/>
        <w:gridCol w:w="23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449" w:type="dxa"/>
            <w:vAlign w:val="center"/>
          </w:tcPr>
          <w:p>
            <w:pPr>
              <w:spacing w:line="240" w:lineRule="auto"/>
              <w:ind w:firstLine="0" w:firstLineChars="0"/>
              <w:jc w:val="center"/>
              <w:rPr>
                <w:rFonts w:hint="eastAsia" w:ascii="仿宋" w:hAnsi="仿宋" w:cs="仿宋"/>
                <w:bCs/>
                <w:szCs w:val="28"/>
              </w:rPr>
            </w:pPr>
            <w:r>
              <w:rPr>
                <w:rFonts w:hint="eastAsia" w:ascii="仿宋" w:hAnsi="仿宋" w:cs="仿宋"/>
                <w:bCs/>
                <w:szCs w:val="28"/>
              </w:rPr>
              <w:t>产品分类</w:t>
            </w:r>
          </w:p>
        </w:tc>
        <w:tc>
          <w:tcPr>
            <w:tcW w:w="2449" w:type="dxa"/>
            <w:vAlign w:val="center"/>
          </w:tcPr>
          <w:p>
            <w:pPr>
              <w:spacing w:line="240" w:lineRule="auto"/>
              <w:ind w:firstLine="0" w:firstLineChars="0"/>
              <w:jc w:val="center"/>
              <w:rPr>
                <w:rFonts w:hint="eastAsia" w:ascii="仿宋" w:hAnsi="仿宋" w:cs="仿宋"/>
                <w:bCs/>
                <w:szCs w:val="28"/>
              </w:rPr>
            </w:pPr>
            <w:r>
              <w:rPr>
                <w:rFonts w:hint="eastAsia" w:ascii="仿宋" w:hAnsi="仿宋" w:cs="仿宋"/>
                <w:bCs/>
                <w:szCs w:val="28"/>
              </w:rPr>
              <w:t>一级分类</w:t>
            </w:r>
          </w:p>
        </w:tc>
        <w:tc>
          <w:tcPr>
            <w:tcW w:w="2450" w:type="dxa"/>
            <w:vAlign w:val="center"/>
          </w:tcPr>
          <w:p>
            <w:pPr>
              <w:spacing w:line="240" w:lineRule="auto"/>
              <w:ind w:firstLine="0" w:firstLineChars="0"/>
              <w:jc w:val="center"/>
              <w:rPr>
                <w:rFonts w:hint="eastAsia" w:ascii="仿宋" w:hAnsi="仿宋" w:cs="仿宋"/>
                <w:bCs/>
                <w:szCs w:val="28"/>
              </w:rPr>
            </w:pPr>
            <w:r>
              <w:rPr>
                <w:rFonts w:hint="eastAsia" w:ascii="仿宋" w:hAnsi="仿宋" w:cs="仿宋"/>
                <w:bCs/>
                <w:szCs w:val="28"/>
              </w:rPr>
              <w:t>二级分类</w:t>
            </w:r>
          </w:p>
        </w:tc>
        <w:tc>
          <w:tcPr>
            <w:tcW w:w="2450" w:type="dxa"/>
            <w:vAlign w:val="center"/>
          </w:tcPr>
          <w:p>
            <w:pPr>
              <w:spacing w:line="240" w:lineRule="auto"/>
              <w:ind w:firstLine="0" w:firstLineChars="0"/>
              <w:jc w:val="center"/>
              <w:rPr>
                <w:rFonts w:hint="eastAsia" w:ascii="仿宋" w:hAnsi="仿宋" w:cs="仿宋"/>
                <w:bCs/>
                <w:szCs w:val="28"/>
              </w:rPr>
            </w:pPr>
            <w:r>
              <w:rPr>
                <w:rFonts w:hint="eastAsia" w:ascii="仿宋" w:hAnsi="仿宋" w:cs="仿宋"/>
                <w:bCs/>
                <w:szCs w:val="28"/>
              </w:rPr>
              <w:t>三级分类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449" w:type="dxa"/>
            <w:vAlign w:val="center"/>
          </w:tcPr>
          <w:p>
            <w:pPr>
              <w:spacing w:line="240" w:lineRule="auto"/>
              <w:ind w:firstLine="0" w:firstLineChars="0"/>
              <w:jc w:val="center"/>
              <w:rPr>
                <w:rFonts w:hint="eastAsia" w:ascii="仿宋" w:hAnsi="仿宋" w:cs="仿宋"/>
                <w:bCs/>
                <w:szCs w:val="28"/>
              </w:rPr>
            </w:pPr>
            <w:r>
              <w:rPr>
                <w:rFonts w:hint="eastAsia" w:ascii="仿宋" w:hAnsi="仿宋" w:cs="仿宋"/>
                <w:bCs/>
                <w:szCs w:val="28"/>
              </w:rPr>
              <w:t>分类代码</w:t>
            </w:r>
          </w:p>
        </w:tc>
        <w:tc>
          <w:tcPr>
            <w:tcW w:w="2449" w:type="dxa"/>
            <w:vAlign w:val="center"/>
          </w:tcPr>
          <w:p>
            <w:pPr>
              <w:spacing w:line="240" w:lineRule="auto"/>
              <w:ind w:firstLine="0" w:firstLineChars="0"/>
              <w:jc w:val="center"/>
              <w:rPr>
                <w:rFonts w:hint="eastAsia" w:ascii="仿宋" w:hAnsi="仿宋" w:cs="仿宋"/>
                <w:bCs/>
                <w:szCs w:val="28"/>
              </w:rPr>
            </w:pPr>
            <w:r>
              <w:rPr>
                <w:rFonts w:hint="eastAsia" w:ascii="仿宋" w:hAnsi="仿宋" w:cs="仿宋"/>
                <w:bCs/>
                <w:szCs w:val="28"/>
              </w:rPr>
              <w:t>2</w:t>
            </w:r>
          </w:p>
        </w:tc>
        <w:tc>
          <w:tcPr>
            <w:tcW w:w="2450" w:type="dxa"/>
            <w:vAlign w:val="center"/>
          </w:tcPr>
          <w:p>
            <w:pPr>
              <w:spacing w:line="240" w:lineRule="auto"/>
              <w:ind w:firstLine="0" w:firstLineChars="0"/>
              <w:jc w:val="center"/>
              <w:rPr>
                <w:rFonts w:hint="eastAsia" w:ascii="仿宋" w:hAnsi="仿宋" w:cs="仿宋"/>
                <w:bCs/>
                <w:szCs w:val="28"/>
              </w:rPr>
            </w:pPr>
            <w:r>
              <w:rPr>
                <w:rFonts w:hint="eastAsia" w:ascii="仿宋" w:hAnsi="仿宋" w:cs="仿宋"/>
                <w:bCs/>
                <w:szCs w:val="28"/>
              </w:rPr>
              <w:t>26</w:t>
            </w:r>
          </w:p>
        </w:tc>
        <w:tc>
          <w:tcPr>
            <w:tcW w:w="2450" w:type="dxa"/>
            <w:vAlign w:val="center"/>
          </w:tcPr>
          <w:p>
            <w:pPr>
              <w:spacing w:line="240" w:lineRule="auto"/>
              <w:ind w:firstLine="0" w:firstLineChars="0"/>
              <w:jc w:val="center"/>
              <w:rPr>
                <w:rFonts w:hint="eastAsia" w:ascii="仿宋" w:hAnsi="仿宋" w:cs="仿宋"/>
                <w:bCs/>
                <w:szCs w:val="28"/>
              </w:rPr>
            </w:pPr>
            <w:r>
              <w:rPr>
                <w:rFonts w:hint="eastAsia" w:ascii="仿宋" w:hAnsi="仿宋" w:cs="仿宋"/>
                <w:bCs/>
                <w:szCs w:val="28"/>
              </w:rPr>
              <w:t>266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2449" w:type="dxa"/>
            <w:vAlign w:val="center"/>
          </w:tcPr>
          <w:p>
            <w:pPr>
              <w:spacing w:line="240" w:lineRule="auto"/>
              <w:ind w:firstLine="0" w:firstLineChars="0"/>
              <w:jc w:val="center"/>
              <w:rPr>
                <w:rFonts w:hint="eastAsia" w:ascii="仿宋" w:hAnsi="仿宋" w:cs="仿宋"/>
                <w:bCs/>
                <w:szCs w:val="28"/>
              </w:rPr>
            </w:pPr>
            <w:r>
              <w:rPr>
                <w:rFonts w:hint="eastAsia" w:ascii="仿宋" w:hAnsi="仿宋" w:cs="仿宋"/>
                <w:bCs/>
                <w:szCs w:val="28"/>
              </w:rPr>
              <w:t>分类名称</w:t>
            </w:r>
          </w:p>
        </w:tc>
        <w:tc>
          <w:tcPr>
            <w:tcW w:w="2449" w:type="dxa"/>
            <w:vAlign w:val="center"/>
          </w:tcPr>
          <w:p>
            <w:pPr>
              <w:spacing w:line="240" w:lineRule="auto"/>
              <w:ind w:firstLine="0" w:firstLineChars="0"/>
              <w:jc w:val="center"/>
              <w:rPr>
                <w:rFonts w:hint="eastAsia" w:ascii="仿宋" w:hAnsi="仿宋" w:cs="仿宋"/>
                <w:bCs/>
                <w:szCs w:val="28"/>
              </w:rPr>
            </w:pPr>
            <w:r>
              <w:rPr>
                <w:rFonts w:hint="eastAsia" w:ascii="仿宋" w:hAnsi="仿宋" w:cs="仿宋"/>
                <w:bCs/>
                <w:szCs w:val="28"/>
              </w:rPr>
              <w:t>化工</w:t>
            </w:r>
          </w:p>
        </w:tc>
        <w:tc>
          <w:tcPr>
            <w:tcW w:w="2450" w:type="dxa"/>
            <w:vAlign w:val="center"/>
          </w:tcPr>
          <w:p>
            <w:pPr>
              <w:spacing w:line="240" w:lineRule="auto"/>
              <w:ind w:firstLine="0" w:firstLineChars="0"/>
              <w:jc w:val="center"/>
              <w:rPr>
                <w:rFonts w:hint="eastAsia" w:ascii="仿宋" w:hAnsi="仿宋" w:cs="仿宋"/>
                <w:bCs/>
                <w:szCs w:val="28"/>
              </w:rPr>
            </w:pPr>
            <w:r>
              <w:rPr>
                <w:rFonts w:hint="eastAsia" w:ascii="仿宋" w:hAnsi="仿宋" w:cs="仿宋"/>
                <w:bCs/>
                <w:szCs w:val="28"/>
              </w:rPr>
              <w:t>专用化学品制造</w:t>
            </w:r>
          </w:p>
        </w:tc>
        <w:tc>
          <w:tcPr>
            <w:tcW w:w="2450" w:type="dxa"/>
            <w:vAlign w:val="center"/>
          </w:tcPr>
          <w:p>
            <w:pPr>
              <w:spacing w:line="240" w:lineRule="auto"/>
              <w:ind w:firstLine="0" w:firstLineChars="0"/>
              <w:jc w:val="center"/>
              <w:rPr>
                <w:rFonts w:hint="eastAsia" w:ascii="仿宋" w:hAnsi="仿宋" w:cs="仿宋"/>
                <w:bCs/>
                <w:szCs w:val="28"/>
              </w:rPr>
            </w:pPr>
            <w:r>
              <w:rPr>
                <w:rFonts w:hint="eastAsia" w:ascii="仿宋" w:hAnsi="仿宋" w:cs="仿宋"/>
                <w:bCs/>
                <w:szCs w:val="28"/>
              </w:rPr>
              <w:t>化学试剂和助剂制造</w:t>
            </w:r>
          </w:p>
        </w:tc>
      </w:tr>
    </w:tbl>
    <w:p>
      <w:pPr>
        <w:spacing w:beforeLines="100" w:line="360" w:lineRule="auto"/>
        <w:ind w:firstLine="560"/>
        <w:rPr>
          <w:rFonts w:hint="eastAsia" w:ascii="仿宋" w:hAnsi="仿宋" w:eastAsia="仿宋" w:cs="仿宋"/>
          <w:bCs/>
        </w:rPr>
      </w:pPr>
      <w:r>
        <w:rPr>
          <w:rFonts w:hint="eastAsia" w:ascii="仿宋" w:hAnsi="仿宋" w:eastAsia="仿宋" w:cs="仿宋"/>
          <w:bCs/>
        </w:rPr>
        <w:t>2.2产品种类</w:t>
      </w:r>
    </w:p>
    <w:p>
      <w:pPr>
        <w:spacing w:line="360" w:lineRule="auto"/>
        <w:ind w:firstLine="560"/>
        <w:rPr>
          <w:rFonts w:hint="eastAsia" w:ascii="仿宋" w:hAnsi="仿宋" w:eastAsia="仿宋" w:cs="仿宋"/>
        </w:rPr>
      </w:pPr>
      <w:r>
        <w:rPr>
          <w:rFonts w:hint="eastAsia" w:ascii="仿宋" w:hAnsi="仿宋" w:eastAsia="仿宋" w:cs="仿宋"/>
        </w:rPr>
        <w:t>化学试剂产品种类包括无机液体试剂、无机固体试剂、有机液体试剂。</w:t>
      </w:r>
    </w:p>
    <w:p>
      <w:pPr>
        <w:spacing w:line="360" w:lineRule="auto"/>
        <w:ind w:firstLine="560"/>
        <w:rPr>
          <w:rFonts w:hint="eastAsia" w:ascii="仿宋" w:hAnsi="仿宋" w:eastAsia="仿宋" w:cs="仿宋"/>
        </w:rPr>
      </w:pPr>
      <w:r>
        <w:rPr>
          <w:rFonts w:hint="eastAsia" w:ascii="仿宋" w:hAnsi="仿宋" w:eastAsia="仿宋" w:cs="仿宋"/>
        </w:rPr>
        <w:t>产品形态包括固体、液体。</w:t>
      </w:r>
    </w:p>
    <w:p>
      <w:pPr>
        <w:spacing w:line="360" w:lineRule="auto"/>
        <w:ind w:firstLine="560"/>
        <w:rPr>
          <w:rFonts w:hint="eastAsia" w:ascii="仿宋" w:hAnsi="仿宋" w:eastAsia="仿宋" w:cs="仿宋"/>
        </w:rPr>
      </w:pPr>
      <w:r>
        <w:rPr>
          <w:rFonts w:hint="eastAsia" w:ascii="仿宋" w:hAnsi="仿宋" w:eastAsia="仿宋" w:cs="仿宋"/>
        </w:rPr>
        <w:t>产品规格Ⅰ、Ⅱ、Ⅲ分别代表优级纯、分析纯、化学纯，危险化学品化学试剂产品单元、产品品种及规格详见表2。</w:t>
      </w:r>
    </w:p>
    <w:p>
      <w:pPr>
        <w:spacing w:line="594" w:lineRule="exact"/>
        <w:ind w:firstLine="0" w:firstLineChars="0"/>
        <w:jc w:val="center"/>
        <w:rPr>
          <w:rFonts w:ascii="宋体" w:hAnsi="宋体" w:eastAsia="宋体" w:cs="仿宋"/>
          <w:sz w:val="21"/>
        </w:rPr>
      </w:pPr>
      <w:r>
        <w:rPr>
          <w:rFonts w:hint="eastAsia" w:ascii="宋体" w:hAnsi="宋体" w:eastAsia="宋体" w:cs="仿宋"/>
          <w:sz w:val="21"/>
        </w:rPr>
        <w:t>表2 化学试剂产品单元、品种及规格</w:t>
      </w:r>
    </w:p>
    <w:tbl>
      <w:tblPr>
        <w:tblStyle w:val="15"/>
        <w:tblW w:w="8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9"/>
        <w:gridCol w:w="1559"/>
        <w:gridCol w:w="1418"/>
        <w:gridCol w:w="2269"/>
        <w:gridCol w:w="2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189" w:type="dxa"/>
            <w:vAlign w:val="center"/>
          </w:tcPr>
          <w:p>
            <w:pPr>
              <w:adjustRightInd w:val="0"/>
              <w:snapToGrid w:val="0"/>
              <w:spacing w:line="240" w:lineRule="auto"/>
              <w:ind w:firstLine="0" w:firstLineChars="0"/>
              <w:jc w:val="center"/>
              <w:rPr>
                <w:rFonts w:ascii="宋体" w:hAnsi="宋体" w:eastAsia="宋体" w:cs="仿宋"/>
                <w:sz w:val="21"/>
              </w:rPr>
            </w:pPr>
            <w:r>
              <w:rPr>
                <w:rFonts w:hint="eastAsia" w:ascii="宋体" w:hAnsi="宋体" w:eastAsia="宋体" w:cs="仿宋"/>
                <w:sz w:val="21"/>
              </w:rPr>
              <w:t>单元序号</w:t>
            </w:r>
          </w:p>
        </w:tc>
        <w:tc>
          <w:tcPr>
            <w:tcW w:w="1559" w:type="dxa"/>
            <w:vAlign w:val="center"/>
          </w:tcPr>
          <w:p>
            <w:pPr>
              <w:adjustRightInd w:val="0"/>
              <w:snapToGrid w:val="0"/>
              <w:spacing w:line="240" w:lineRule="auto"/>
              <w:ind w:firstLine="0" w:firstLineChars="0"/>
              <w:jc w:val="center"/>
              <w:rPr>
                <w:rFonts w:ascii="宋体" w:hAnsi="宋体" w:eastAsia="宋体" w:cs="仿宋"/>
                <w:sz w:val="21"/>
              </w:rPr>
            </w:pPr>
            <w:r>
              <w:rPr>
                <w:rFonts w:hint="eastAsia" w:ascii="宋体" w:hAnsi="宋体" w:eastAsia="宋体" w:cs="仿宋"/>
                <w:sz w:val="21"/>
              </w:rPr>
              <w:t>产品单元</w:t>
            </w:r>
          </w:p>
        </w:tc>
        <w:tc>
          <w:tcPr>
            <w:tcW w:w="1418" w:type="dxa"/>
            <w:vAlign w:val="center"/>
          </w:tcPr>
          <w:p>
            <w:pPr>
              <w:adjustRightInd w:val="0"/>
              <w:snapToGrid w:val="0"/>
              <w:spacing w:line="240" w:lineRule="auto"/>
              <w:ind w:firstLine="0" w:firstLineChars="0"/>
              <w:jc w:val="center"/>
              <w:rPr>
                <w:rFonts w:ascii="宋体" w:hAnsi="宋体" w:eastAsia="宋体" w:cs="仿宋"/>
                <w:sz w:val="21"/>
              </w:rPr>
            </w:pPr>
            <w:r>
              <w:rPr>
                <w:rFonts w:hint="eastAsia" w:ascii="宋体" w:hAnsi="宋体" w:eastAsia="宋体" w:cs="仿宋"/>
                <w:sz w:val="21"/>
              </w:rPr>
              <w:t>产品序号</w:t>
            </w:r>
          </w:p>
        </w:tc>
        <w:tc>
          <w:tcPr>
            <w:tcW w:w="2269" w:type="dxa"/>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产品品种</w:t>
            </w:r>
          </w:p>
        </w:tc>
        <w:tc>
          <w:tcPr>
            <w:tcW w:w="2360" w:type="dxa"/>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kern w:val="0"/>
                <w:sz w:val="21"/>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9" w:type="dxa"/>
            <w:vMerge w:val="restart"/>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1</w:t>
            </w:r>
          </w:p>
        </w:tc>
        <w:tc>
          <w:tcPr>
            <w:tcW w:w="1559" w:type="dxa"/>
            <w:vMerge w:val="restart"/>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无机液体试剂</w:t>
            </w:r>
          </w:p>
        </w:tc>
        <w:tc>
          <w:tcPr>
            <w:tcW w:w="1418" w:type="dxa"/>
            <w:vAlign w:val="center"/>
          </w:tcPr>
          <w:p>
            <w:pPr>
              <w:adjustRightInd w:val="0"/>
              <w:snapToGrid w:val="0"/>
              <w:spacing w:line="240" w:lineRule="auto"/>
              <w:ind w:firstLine="0" w:firstLineChars="0"/>
              <w:jc w:val="center"/>
              <w:rPr>
                <w:rFonts w:ascii="宋体" w:hAnsi="宋体" w:eastAsia="宋体" w:cs="仿宋"/>
                <w:sz w:val="21"/>
              </w:rPr>
            </w:pPr>
            <w:r>
              <w:rPr>
                <w:rFonts w:hint="eastAsia" w:ascii="宋体" w:hAnsi="宋体" w:eastAsia="宋体" w:cs="仿宋"/>
                <w:sz w:val="21"/>
              </w:rPr>
              <w:t>1</w:t>
            </w:r>
          </w:p>
        </w:tc>
        <w:tc>
          <w:tcPr>
            <w:tcW w:w="2269" w:type="dxa"/>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氨水</w:t>
            </w:r>
          </w:p>
        </w:tc>
        <w:tc>
          <w:tcPr>
            <w:tcW w:w="2360" w:type="dxa"/>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Ⅱ、Ⅲ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9" w:type="dxa"/>
            <w:vMerge w:val="continue"/>
            <w:vAlign w:val="center"/>
          </w:tcPr>
          <w:p>
            <w:pPr>
              <w:spacing w:line="240" w:lineRule="auto"/>
              <w:ind w:firstLine="0" w:firstLineChars="0"/>
              <w:jc w:val="center"/>
              <w:rPr>
                <w:rFonts w:ascii="宋体" w:hAnsi="宋体" w:eastAsia="宋体" w:cs="仿宋"/>
                <w:sz w:val="21"/>
              </w:rPr>
            </w:pPr>
          </w:p>
        </w:tc>
        <w:tc>
          <w:tcPr>
            <w:tcW w:w="1559" w:type="dxa"/>
            <w:vMerge w:val="continue"/>
            <w:vAlign w:val="center"/>
          </w:tcPr>
          <w:p>
            <w:pPr>
              <w:spacing w:line="240" w:lineRule="auto"/>
              <w:ind w:firstLine="0" w:firstLineChars="0"/>
              <w:jc w:val="center"/>
              <w:rPr>
                <w:rFonts w:ascii="宋体" w:hAnsi="宋体" w:eastAsia="宋体" w:cs="仿宋"/>
                <w:sz w:val="21"/>
              </w:rPr>
            </w:pPr>
          </w:p>
        </w:tc>
        <w:tc>
          <w:tcPr>
            <w:tcW w:w="1418" w:type="dxa"/>
            <w:vAlign w:val="center"/>
          </w:tcPr>
          <w:p>
            <w:pPr>
              <w:adjustRightInd w:val="0"/>
              <w:snapToGrid w:val="0"/>
              <w:spacing w:line="240" w:lineRule="auto"/>
              <w:ind w:firstLine="0" w:firstLineChars="0"/>
              <w:jc w:val="center"/>
              <w:rPr>
                <w:rFonts w:ascii="宋体" w:hAnsi="宋体" w:eastAsia="宋体" w:cs="仿宋"/>
                <w:sz w:val="21"/>
              </w:rPr>
            </w:pPr>
            <w:r>
              <w:rPr>
                <w:rFonts w:hint="eastAsia" w:ascii="宋体" w:hAnsi="宋体" w:eastAsia="宋体" w:cs="仿宋"/>
                <w:sz w:val="21"/>
              </w:rPr>
              <w:t>2</w:t>
            </w:r>
          </w:p>
        </w:tc>
        <w:tc>
          <w:tcPr>
            <w:tcW w:w="2269" w:type="dxa"/>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硫酸</w:t>
            </w:r>
          </w:p>
        </w:tc>
        <w:tc>
          <w:tcPr>
            <w:tcW w:w="2360" w:type="dxa"/>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Ⅰ、Ⅱ、Ⅲ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9" w:type="dxa"/>
            <w:vMerge w:val="continue"/>
            <w:vAlign w:val="center"/>
          </w:tcPr>
          <w:p>
            <w:pPr>
              <w:spacing w:line="240" w:lineRule="auto"/>
              <w:ind w:firstLine="0" w:firstLineChars="0"/>
              <w:jc w:val="center"/>
              <w:rPr>
                <w:rFonts w:ascii="宋体" w:hAnsi="宋体" w:eastAsia="宋体" w:cs="仿宋"/>
                <w:sz w:val="21"/>
              </w:rPr>
            </w:pPr>
          </w:p>
        </w:tc>
        <w:tc>
          <w:tcPr>
            <w:tcW w:w="1559" w:type="dxa"/>
            <w:vMerge w:val="continue"/>
            <w:vAlign w:val="center"/>
          </w:tcPr>
          <w:p>
            <w:pPr>
              <w:spacing w:line="240" w:lineRule="auto"/>
              <w:ind w:firstLine="0" w:firstLineChars="0"/>
              <w:jc w:val="center"/>
              <w:rPr>
                <w:rFonts w:ascii="宋体" w:hAnsi="宋体" w:eastAsia="宋体" w:cs="仿宋"/>
                <w:sz w:val="21"/>
              </w:rPr>
            </w:pPr>
          </w:p>
        </w:tc>
        <w:tc>
          <w:tcPr>
            <w:tcW w:w="1418" w:type="dxa"/>
            <w:vAlign w:val="center"/>
          </w:tcPr>
          <w:p>
            <w:pPr>
              <w:adjustRightInd w:val="0"/>
              <w:snapToGrid w:val="0"/>
              <w:spacing w:line="240" w:lineRule="auto"/>
              <w:ind w:firstLine="0" w:firstLineChars="0"/>
              <w:jc w:val="center"/>
              <w:rPr>
                <w:rFonts w:ascii="宋体" w:hAnsi="宋体" w:eastAsia="宋体" w:cs="仿宋"/>
                <w:sz w:val="21"/>
              </w:rPr>
            </w:pPr>
            <w:r>
              <w:rPr>
                <w:rFonts w:hint="eastAsia" w:ascii="宋体" w:hAnsi="宋体" w:eastAsia="宋体" w:cs="仿宋"/>
                <w:sz w:val="21"/>
              </w:rPr>
              <w:t>3</w:t>
            </w:r>
          </w:p>
        </w:tc>
        <w:tc>
          <w:tcPr>
            <w:tcW w:w="2269" w:type="dxa"/>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硝酸</w:t>
            </w:r>
          </w:p>
        </w:tc>
        <w:tc>
          <w:tcPr>
            <w:tcW w:w="2360" w:type="dxa"/>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Ⅰ、Ⅱ、Ⅲ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9" w:type="dxa"/>
            <w:vMerge w:val="continue"/>
            <w:vAlign w:val="center"/>
          </w:tcPr>
          <w:p>
            <w:pPr>
              <w:spacing w:line="240" w:lineRule="auto"/>
              <w:ind w:firstLine="0" w:firstLineChars="0"/>
              <w:jc w:val="center"/>
              <w:rPr>
                <w:rFonts w:ascii="宋体" w:hAnsi="宋体" w:eastAsia="宋体" w:cs="仿宋"/>
                <w:sz w:val="21"/>
              </w:rPr>
            </w:pPr>
          </w:p>
        </w:tc>
        <w:tc>
          <w:tcPr>
            <w:tcW w:w="1559" w:type="dxa"/>
            <w:vMerge w:val="continue"/>
            <w:vAlign w:val="center"/>
          </w:tcPr>
          <w:p>
            <w:pPr>
              <w:spacing w:line="240" w:lineRule="auto"/>
              <w:ind w:firstLine="0" w:firstLineChars="0"/>
              <w:jc w:val="center"/>
              <w:rPr>
                <w:rFonts w:ascii="宋体" w:hAnsi="宋体" w:eastAsia="宋体" w:cs="仿宋"/>
                <w:sz w:val="21"/>
              </w:rPr>
            </w:pPr>
          </w:p>
        </w:tc>
        <w:tc>
          <w:tcPr>
            <w:tcW w:w="1418" w:type="dxa"/>
            <w:vAlign w:val="center"/>
          </w:tcPr>
          <w:p>
            <w:pPr>
              <w:adjustRightInd w:val="0"/>
              <w:snapToGrid w:val="0"/>
              <w:spacing w:line="240" w:lineRule="auto"/>
              <w:ind w:firstLine="0" w:firstLineChars="0"/>
              <w:jc w:val="center"/>
              <w:rPr>
                <w:rFonts w:ascii="宋体" w:hAnsi="宋体" w:eastAsia="宋体" w:cs="仿宋"/>
                <w:sz w:val="21"/>
              </w:rPr>
            </w:pPr>
            <w:r>
              <w:rPr>
                <w:rFonts w:hint="eastAsia" w:ascii="宋体" w:hAnsi="宋体" w:eastAsia="宋体" w:cs="仿宋"/>
                <w:sz w:val="21"/>
              </w:rPr>
              <w:t>4</w:t>
            </w:r>
          </w:p>
        </w:tc>
        <w:tc>
          <w:tcPr>
            <w:tcW w:w="2269" w:type="dxa"/>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盐酸</w:t>
            </w:r>
          </w:p>
        </w:tc>
        <w:tc>
          <w:tcPr>
            <w:tcW w:w="2360" w:type="dxa"/>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Ⅰ、Ⅱ、Ⅲ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9" w:type="dxa"/>
            <w:vMerge w:val="restart"/>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2</w:t>
            </w:r>
          </w:p>
        </w:tc>
        <w:tc>
          <w:tcPr>
            <w:tcW w:w="1559" w:type="dxa"/>
            <w:vMerge w:val="restart"/>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有机液体试剂</w:t>
            </w:r>
          </w:p>
        </w:tc>
        <w:tc>
          <w:tcPr>
            <w:tcW w:w="1418" w:type="dxa"/>
            <w:vAlign w:val="center"/>
          </w:tcPr>
          <w:p>
            <w:pPr>
              <w:adjustRightInd w:val="0"/>
              <w:snapToGrid w:val="0"/>
              <w:spacing w:line="240" w:lineRule="auto"/>
              <w:ind w:firstLine="0" w:firstLineChars="0"/>
              <w:jc w:val="center"/>
              <w:rPr>
                <w:rFonts w:ascii="宋体" w:hAnsi="宋体" w:eastAsia="宋体" w:cs="仿宋"/>
                <w:sz w:val="21"/>
              </w:rPr>
            </w:pPr>
            <w:r>
              <w:rPr>
                <w:rFonts w:hint="eastAsia" w:ascii="宋体" w:hAnsi="宋体" w:eastAsia="宋体" w:cs="仿宋"/>
                <w:sz w:val="21"/>
              </w:rPr>
              <w:t>5</w:t>
            </w:r>
          </w:p>
        </w:tc>
        <w:tc>
          <w:tcPr>
            <w:tcW w:w="2269" w:type="dxa"/>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甲醛溶液</w:t>
            </w:r>
          </w:p>
        </w:tc>
        <w:tc>
          <w:tcPr>
            <w:tcW w:w="2360" w:type="dxa"/>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Ⅱ、Ⅲ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9" w:type="dxa"/>
            <w:vMerge w:val="continue"/>
            <w:vAlign w:val="center"/>
          </w:tcPr>
          <w:p>
            <w:pPr>
              <w:spacing w:line="240" w:lineRule="auto"/>
              <w:ind w:firstLine="0" w:firstLineChars="0"/>
              <w:jc w:val="center"/>
              <w:rPr>
                <w:rFonts w:ascii="宋体" w:hAnsi="宋体" w:eastAsia="宋体" w:cs="仿宋"/>
                <w:sz w:val="21"/>
              </w:rPr>
            </w:pPr>
          </w:p>
        </w:tc>
        <w:tc>
          <w:tcPr>
            <w:tcW w:w="1559" w:type="dxa"/>
            <w:vMerge w:val="continue"/>
            <w:vAlign w:val="center"/>
          </w:tcPr>
          <w:p>
            <w:pPr>
              <w:spacing w:line="240" w:lineRule="auto"/>
              <w:ind w:firstLine="0" w:firstLineChars="0"/>
              <w:jc w:val="center"/>
              <w:rPr>
                <w:rFonts w:ascii="宋体" w:hAnsi="宋体" w:eastAsia="宋体" w:cs="仿宋"/>
                <w:sz w:val="21"/>
              </w:rPr>
            </w:pPr>
          </w:p>
        </w:tc>
        <w:tc>
          <w:tcPr>
            <w:tcW w:w="1418" w:type="dxa"/>
            <w:vAlign w:val="center"/>
          </w:tcPr>
          <w:p>
            <w:pPr>
              <w:adjustRightInd w:val="0"/>
              <w:snapToGrid w:val="0"/>
              <w:spacing w:line="240" w:lineRule="auto"/>
              <w:ind w:firstLine="0" w:firstLineChars="0"/>
              <w:jc w:val="center"/>
              <w:rPr>
                <w:rFonts w:ascii="宋体" w:hAnsi="宋体" w:eastAsia="宋体" w:cs="仿宋"/>
                <w:sz w:val="21"/>
              </w:rPr>
            </w:pPr>
            <w:r>
              <w:rPr>
                <w:rFonts w:hint="eastAsia" w:ascii="宋体" w:hAnsi="宋体" w:eastAsia="宋体" w:cs="仿宋"/>
                <w:sz w:val="21"/>
              </w:rPr>
              <w:t>6</w:t>
            </w:r>
          </w:p>
        </w:tc>
        <w:tc>
          <w:tcPr>
            <w:tcW w:w="2269" w:type="dxa"/>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乙醇(无水乙醇)</w:t>
            </w:r>
          </w:p>
        </w:tc>
        <w:tc>
          <w:tcPr>
            <w:tcW w:w="2360" w:type="dxa"/>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Ⅰ、Ⅱ、Ⅲ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9" w:type="dxa"/>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3</w:t>
            </w:r>
          </w:p>
        </w:tc>
        <w:tc>
          <w:tcPr>
            <w:tcW w:w="1559" w:type="dxa"/>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无机固体试剂</w:t>
            </w:r>
          </w:p>
        </w:tc>
        <w:tc>
          <w:tcPr>
            <w:tcW w:w="1418" w:type="dxa"/>
            <w:vAlign w:val="center"/>
          </w:tcPr>
          <w:p>
            <w:pPr>
              <w:adjustRightInd w:val="0"/>
              <w:snapToGrid w:val="0"/>
              <w:spacing w:line="240" w:lineRule="auto"/>
              <w:ind w:firstLine="0" w:firstLineChars="0"/>
              <w:jc w:val="center"/>
              <w:rPr>
                <w:rFonts w:ascii="宋体" w:hAnsi="宋体" w:eastAsia="宋体" w:cs="仿宋"/>
                <w:sz w:val="21"/>
              </w:rPr>
            </w:pPr>
            <w:r>
              <w:rPr>
                <w:rFonts w:hint="eastAsia" w:ascii="宋体" w:hAnsi="宋体" w:eastAsia="宋体" w:cs="仿宋"/>
                <w:sz w:val="21"/>
              </w:rPr>
              <w:t>7</w:t>
            </w:r>
          </w:p>
        </w:tc>
        <w:tc>
          <w:tcPr>
            <w:tcW w:w="2269" w:type="dxa"/>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氢氧化钠</w:t>
            </w:r>
          </w:p>
        </w:tc>
        <w:tc>
          <w:tcPr>
            <w:tcW w:w="2360" w:type="dxa"/>
            <w:vAlign w:val="center"/>
          </w:tcPr>
          <w:p>
            <w:pPr>
              <w:spacing w:line="240" w:lineRule="auto"/>
              <w:ind w:firstLine="0" w:firstLineChars="0"/>
              <w:jc w:val="center"/>
              <w:rPr>
                <w:rFonts w:ascii="宋体" w:hAnsi="宋体" w:eastAsia="宋体" w:cs="仿宋"/>
                <w:sz w:val="21"/>
              </w:rPr>
            </w:pPr>
            <w:r>
              <w:rPr>
                <w:rFonts w:hint="eastAsia" w:ascii="宋体" w:hAnsi="宋体" w:eastAsia="宋体" w:cs="仿宋"/>
                <w:sz w:val="21"/>
              </w:rPr>
              <w:t>Ⅰ、Ⅱ、Ⅲ</w:t>
            </w:r>
          </w:p>
        </w:tc>
      </w:tr>
    </w:tbl>
    <w:p>
      <w:pPr>
        <w:spacing w:beforeLines="100" w:afterLines="50" w:line="360" w:lineRule="auto"/>
        <w:ind w:firstLine="560"/>
        <w:rPr>
          <w:rFonts w:hint="eastAsia" w:ascii="仿宋" w:hAnsi="仿宋" w:eastAsia="仿宋" w:cs="仿宋"/>
          <w:bCs/>
          <w:szCs w:val="28"/>
        </w:rPr>
      </w:pPr>
      <w:r>
        <w:rPr>
          <w:rFonts w:hint="eastAsia" w:ascii="仿宋" w:hAnsi="仿宋" w:eastAsia="仿宋" w:cs="仿宋"/>
          <w:bCs/>
          <w:szCs w:val="28"/>
        </w:rPr>
        <w:t>2.3 术语和定义</w:t>
      </w:r>
    </w:p>
    <w:p>
      <w:pPr>
        <w:spacing w:line="360" w:lineRule="auto"/>
        <w:ind w:firstLine="560"/>
        <w:rPr>
          <w:rFonts w:hint="eastAsia" w:ascii="仿宋" w:hAnsi="仿宋" w:eastAsia="仿宋" w:cs="仿宋"/>
          <w:szCs w:val="28"/>
        </w:rPr>
      </w:pPr>
      <w:r>
        <w:rPr>
          <w:rFonts w:hint="eastAsia" w:ascii="仿宋" w:hAnsi="仿宋" w:eastAsia="仿宋" w:cs="仿宋"/>
          <w:szCs w:val="28"/>
        </w:rPr>
        <w:t>下列术语和定义适用于本细则。</w:t>
      </w:r>
    </w:p>
    <w:p>
      <w:pPr>
        <w:spacing w:line="360" w:lineRule="auto"/>
        <w:ind w:firstLine="560"/>
        <w:rPr>
          <w:rFonts w:hint="eastAsia" w:ascii="仿宋" w:hAnsi="仿宋" w:eastAsia="仿宋" w:cs="仿宋"/>
          <w:szCs w:val="28"/>
        </w:rPr>
      </w:pPr>
      <w:r>
        <w:rPr>
          <w:rFonts w:hint="eastAsia" w:ascii="仿宋" w:hAnsi="仿宋" w:eastAsia="仿宋" w:cs="仿宋"/>
          <w:szCs w:val="28"/>
        </w:rPr>
        <w:t>2.3.1化学试剂</w:t>
      </w:r>
    </w:p>
    <w:p>
      <w:pPr>
        <w:autoSpaceDE w:val="0"/>
        <w:autoSpaceDN w:val="0"/>
        <w:adjustRightInd w:val="0"/>
        <w:spacing w:line="360" w:lineRule="auto"/>
        <w:ind w:firstLine="560"/>
        <w:rPr>
          <w:rFonts w:hint="eastAsia" w:ascii="仿宋" w:hAnsi="仿宋" w:eastAsia="仿宋" w:cs="仿宋"/>
          <w:szCs w:val="28"/>
        </w:rPr>
      </w:pPr>
      <w:r>
        <w:rPr>
          <w:rFonts w:hint="eastAsia" w:ascii="仿宋" w:hAnsi="仿宋" w:eastAsia="仿宋" w:cs="仿宋"/>
          <w:szCs w:val="28"/>
        </w:rPr>
        <w:t>化学试剂是一种特殊化学产品，品种多、质量规格高、应用范围广。化学试剂是进行化学研究、成分分析的相对标准物质，广泛用于物质的合成、分离、定性和定量分析，在工厂、学校、医院和研究所等机构的日常工作中必不可少。</w:t>
      </w:r>
    </w:p>
    <w:p>
      <w:pPr>
        <w:spacing w:line="360" w:lineRule="auto"/>
        <w:ind w:firstLine="560"/>
        <w:rPr>
          <w:rFonts w:hint="eastAsia" w:ascii="仿宋" w:hAnsi="仿宋" w:eastAsia="仿宋" w:cs="仿宋"/>
          <w:szCs w:val="28"/>
        </w:rPr>
      </w:pPr>
      <w:r>
        <w:rPr>
          <w:rFonts w:hint="eastAsia" w:ascii="仿宋" w:hAnsi="仿宋" w:eastAsia="仿宋" w:cs="仿宋"/>
          <w:szCs w:val="28"/>
        </w:rPr>
        <w:t>2.3.2 无机固体试剂</w:t>
      </w:r>
    </w:p>
    <w:p>
      <w:pPr>
        <w:spacing w:line="360" w:lineRule="auto"/>
        <w:ind w:firstLine="560"/>
        <w:rPr>
          <w:rFonts w:hint="eastAsia" w:ascii="仿宋" w:hAnsi="仿宋" w:eastAsia="仿宋" w:cs="仿宋"/>
          <w:szCs w:val="28"/>
        </w:rPr>
      </w:pPr>
      <w:r>
        <w:rPr>
          <w:rFonts w:hint="eastAsia" w:ascii="仿宋" w:hAnsi="仿宋" w:eastAsia="仿宋" w:cs="仿宋"/>
          <w:szCs w:val="28"/>
        </w:rPr>
        <w:t>成分为无机类化学物质、状态为固体的化学试剂产品，主要包括氢氧化钠</w:t>
      </w:r>
    </w:p>
    <w:p>
      <w:pPr>
        <w:spacing w:line="360" w:lineRule="auto"/>
        <w:ind w:firstLine="200" w:firstLineChars="0"/>
        <w:rPr>
          <w:rFonts w:hint="eastAsia" w:ascii="仿宋" w:hAnsi="仿宋" w:eastAsia="仿宋" w:cs="仿宋"/>
          <w:szCs w:val="28"/>
        </w:rPr>
      </w:pPr>
      <w:r>
        <w:rPr>
          <w:rFonts w:hint="eastAsia" w:ascii="仿宋" w:hAnsi="仿宋" w:eastAsia="仿宋" w:cs="仿宋"/>
          <w:szCs w:val="28"/>
        </w:rPr>
        <w:t>氢氧化钾、高锰酸钾等。</w:t>
      </w:r>
    </w:p>
    <w:p>
      <w:pPr>
        <w:spacing w:line="360" w:lineRule="auto"/>
        <w:ind w:firstLine="560"/>
        <w:rPr>
          <w:rFonts w:hint="eastAsia" w:ascii="仿宋" w:hAnsi="仿宋" w:eastAsia="仿宋" w:cs="仿宋"/>
          <w:szCs w:val="28"/>
        </w:rPr>
      </w:pPr>
      <w:r>
        <w:rPr>
          <w:rFonts w:hint="eastAsia" w:ascii="仿宋" w:hAnsi="仿宋" w:eastAsia="仿宋" w:cs="仿宋"/>
          <w:szCs w:val="28"/>
        </w:rPr>
        <w:t>2.3.3 无机液体试剂</w:t>
      </w:r>
    </w:p>
    <w:p>
      <w:pPr>
        <w:spacing w:line="360" w:lineRule="auto"/>
        <w:ind w:firstLine="560"/>
        <w:rPr>
          <w:rFonts w:hint="eastAsia" w:ascii="仿宋" w:hAnsi="仿宋" w:eastAsia="仿宋" w:cs="仿宋"/>
          <w:szCs w:val="28"/>
        </w:rPr>
      </w:pPr>
      <w:r>
        <w:rPr>
          <w:rFonts w:hint="eastAsia" w:ascii="仿宋" w:hAnsi="仿宋" w:eastAsia="仿宋" w:cs="仿宋"/>
          <w:szCs w:val="28"/>
        </w:rPr>
        <w:t>成分为无机类化学物质、状态为液体的化学试剂产品，主要包括盐酸、硫酸、硝酸等。</w:t>
      </w:r>
    </w:p>
    <w:p>
      <w:pPr>
        <w:spacing w:line="360" w:lineRule="auto"/>
        <w:ind w:firstLine="560"/>
        <w:rPr>
          <w:rFonts w:hint="eastAsia" w:ascii="仿宋" w:hAnsi="仿宋" w:eastAsia="仿宋" w:cs="仿宋"/>
          <w:szCs w:val="28"/>
        </w:rPr>
      </w:pPr>
      <w:r>
        <w:rPr>
          <w:rFonts w:hint="eastAsia" w:ascii="仿宋" w:hAnsi="仿宋" w:eastAsia="仿宋" w:cs="仿宋"/>
          <w:szCs w:val="28"/>
        </w:rPr>
        <w:t>2.3.4 有机液体试剂</w:t>
      </w:r>
    </w:p>
    <w:p>
      <w:pPr>
        <w:spacing w:line="360" w:lineRule="auto"/>
        <w:ind w:firstLine="560"/>
        <w:rPr>
          <w:rFonts w:hint="eastAsia" w:ascii="仿宋" w:hAnsi="仿宋" w:eastAsia="仿宋" w:cs="仿宋"/>
          <w:szCs w:val="28"/>
        </w:rPr>
      </w:pPr>
      <w:r>
        <w:rPr>
          <w:rFonts w:hint="eastAsia" w:ascii="仿宋" w:hAnsi="仿宋" w:eastAsia="仿宋" w:cs="仿宋"/>
          <w:szCs w:val="28"/>
        </w:rPr>
        <w:t>成分为有机类化学物质、状态为液体的化学试剂产品，主要包括苯、甲苯、甲醛溶液等。</w:t>
      </w:r>
    </w:p>
    <w:p>
      <w:pPr>
        <w:spacing w:line="360" w:lineRule="auto"/>
        <w:ind w:firstLine="560"/>
        <w:rPr>
          <w:rFonts w:hint="eastAsia" w:ascii="仿宋" w:hAnsi="仿宋" w:eastAsia="仿宋" w:cs="仿宋"/>
          <w:szCs w:val="28"/>
        </w:rPr>
      </w:pPr>
      <w:r>
        <w:rPr>
          <w:rFonts w:hint="eastAsia" w:ascii="仿宋" w:hAnsi="仿宋" w:eastAsia="仿宋" w:cs="仿宋"/>
          <w:szCs w:val="28"/>
        </w:rPr>
        <w:t>2.3.5生产领域和流通领域</w:t>
      </w:r>
    </w:p>
    <w:p>
      <w:pPr>
        <w:spacing w:line="360" w:lineRule="auto"/>
        <w:ind w:firstLine="560"/>
        <w:rPr>
          <w:rFonts w:hint="eastAsia" w:ascii="仿宋" w:hAnsi="仿宋" w:eastAsia="仿宋" w:cs="仿宋"/>
          <w:szCs w:val="28"/>
        </w:rPr>
      </w:pPr>
      <w:r>
        <w:rPr>
          <w:rFonts w:hint="eastAsia" w:ascii="仿宋" w:hAnsi="仿宋" w:eastAsia="仿宋" w:cs="仿宋"/>
          <w:szCs w:val="28"/>
        </w:rPr>
        <w:t>本细则所称生产领域或流通领域是指监督抽查</w:t>
      </w:r>
      <w:r>
        <w:rPr>
          <w:rFonts w:hint="eastAsia" w:ascii="仿宋" w:hAnsi="仿宋" w:eastAsia="仿宋" w:cs="仿宋"/>
          <w:color w:val="333333"/>
          <w:szCs w:val="28"/>
          <w:shd w:val="clear" w:color="auto" w:fill="FFFFFF"/>
        </w:rPr>
        <w:t>抽样范围为企业成品仓库内或者市场上待销产品</w:t>
      </w:r>
    </w:p>
    <w:p>
      <w:pPr>
        <w:spacing w:line="360" w:lineRule="auto"/>
        <w:ind w:firstLine="560"/>
        <w:rPr>
          <w:rFonts w:hint="eastAsia" w:ascii="仿宋" w:hAnsi="仿宋" w:eastAsia="仿宋" w:cs="仿宋"/>
          <w:szCs w:val="28"/>
        </w:rPr>
      </w:pPr>
      <w:r>
        <w:rPr>
          <w:rFonts w:hint="eastAsia" w:ascii="仿宋" w:hAnsi="仿宋" w:eastAsia="仿宋" w:cs="仿宋"/>
          <w:szCs w:val="28"/>
        </w:rPr>
        <w:t>2.3.6 其他</w:t>
      </w:r>
    </w:p>
    <w:p>
      <w:pPr>
        <w:spacing w:line="360" w:lineRule="auto"/>
        <w:ind w:firstLine="200" w:firstLineChars="0"/>
        <w:rPr>
          <w:rFonts w:hint="eastAsia" w:ascii="仿宋" w:hAnsi="仿宋" w:eastAsia="仿宋" w:cs="仿宋"/>
          <w:szCs w:val="28"/>
        </w:rPr>
      </w:pPr>
      <w:r>
        <w:rPr>
          <w:rFonts w:hint="eastAsia" w:ascii="仿宋" w:hAnsi="仿宋" w:eastAsia="仿宋" w:cs="仿宋"/>
          <w:szCs w:val="28"/>
        </w:rPr>
        <w:t>其他术语和定义见相应产品标准规定。</w:t>
      </w:r>
    </w:p>
    <w:p>
      <w:pPr>
        <w:spacing w:beforeLines="50" w:afterLines="50" w:line="360" w:lineRule="auto"/>
        <w:ind w:firstLine="560"/>
        <w:rPr>
          <w:rFonts w:hint="eastAsia" w:ascii="仿宋" w:hAnsi="仿宋" w:eastAsia="仿宋" w:cs="仿宋"/>
          <w:b/>
          <w:bCs w:val="0"/>
          <w:szCs w:val="28"/>
        </w:rPr>
      </w:pPr>
      <w:r>
        <w:rPr>
          <w:rFonts w:hint="eastAsia" w:ascii="仿宋" w:hAnsi="仿宋" w:eastAsia="仿宋" w:cs="仿宋"/>
          <w:b/>
          <w:bCs w:val="0"/>
          <w:szCs w:val="28"/>
        </w:rPr>
        <w:t>3生产企业规模划分</w:t>
      </w:r>
    </w:p>
    <w:p>
      <w:pPr>
        <w:spacing w:beforeLines="50" w:afterLines="50" w:line="360" w:lineRule="auto"/>
        <w:ind w:firstLine="560"/>
        <w:rPr>
          <w:rFonts w:hint="eastAsia" w:ascii="仿宋" w:hAnsi="仿宋" w:eastAsia="仿宋" w:cs="仿宋"/>
          <w:bCs/>
          <w:szCs w:val="28"/>
        </w:rPr>
      </w:pPr>
      <w:r>
        <w:rPr>
          <w:rFonts w:hint="eastAsia" w:ascii="仿宋" w:hAnsi="仿宋" w:eastAsia="仿宋" w:cs="仿宋"/>
          <w:szCs w:val="28"/>
        </w:rPr>
        <w:t>根据国家统计局印发的相关管理办法，确定企业规模。</w:t>
      </w:r>
    </w:p>
    <w:p>
      <w:pPr>
        <w:spacing w:beforeLines="100" w:afterLines="50" w:line="360" w:lineRule="auto"/>
        <w:ind w:firstLine="560"/>
        <w:rPr>
          <w:rFonts w:hint="eastAsia" w:ascii="仿宋" w:hAnsi="仿宋" w:eastAsia="仿宋" w:cs="仿宋"/>
          <w:b/>
          <w:bCs w:val="0"/>
          <w:szCs w:val="28"/>
        </w:rPr>
      </w:pPr>
      <w:r>
        <w:rPr>
          <w:rFonts w:hint="eastAsia" w:ascii="仿宋" w:hAnsi="仿宋" w:eastAsia="仿宋" w:cs="仿宋"/>
          <w:b/>
          <w:bCs w:val="0"/>
          <w:szCs w:val="28"/>
        </w:rPr>
        <w:t>4 检验依据</w:t>
      </w:r>
    </w:p>
    <w:p>
      <w:pPr>
        <w:spacing w:line="360" w:lineRule="auto"/>
        <w:ind w:firstLine="560"/>
        <w:rPr>
          <w:rFonts w:hint="eastAsia" w:ascii="仿宋" w:hAnsi="仿宋" w:eastAsia="仿宋" w:cs="仿宋"/>
          <w:szCs w:val="28"/>
        </w:rPr>
      </w:pPr>
      <w:r>
        <w:rPr>
          <w:rFonts w:hint="eastAsia" w:ascii="仿宋" w:hAnsi="仿宋" w:eastAsia="仿宋" w:cs="仿宋"/>
          <w:szCs w:val="28"/>
        </w:rPr>
        <w:t>下列文件凡是注明日期的，其随后所有的修改单或修订版均不适用于本细则。凡是不注明日期的，其最新版本适用于本细则。化学试剂产品执行标准和相关标准详见表3。</w:t>
      </w:r>
    </w:p>
    <w:p>
      <w:pPr>
        <w:spacing w:line="594" w:lineRule="exact"/>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表3 化学试剂产品执行标准和相关标准</w:t>
      </w:r>
    </w:p>
    <w:tbl>
      <w:tblPr>
        <w:tblStyle w:val="15"/>
        <w:tblW w:w="87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1730"/>
        <w:gridCol w:w="1513"/>
        <w:gridCol w:w="4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854" w:type="dxa"/>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序号</w:t>
            </w:r>
          </w:p>
        </w:tc>
        <w:tc>
          <w:tcPr>
            <w:tcW w:w="1730" w:type="dxa"/>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产品标准名称</w:t>
            </w:r>
          </w:p>
        </w:tc>
        <w:tc>
          <w:tcPr>
            <w:tcW w:w="1513" w:type="dxa"/>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产品标准号</w:t>
            </w:r>
          </w:p>
        </w:tc>
        <w:tc>
          <w:tcPr>
            <w:tcW w:w="4690" w:type="dxa"/>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相关标准名称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4" w:type="dxa"/>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1</w:t>
            </w:r>
          </w:p>
        </w:tc>
        <w:tc>
          <w:tcPr>
            <w:tcW w:w="1730" w:type="dxa"/>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氨水</w:t>
            </w:r>
          </w:p>
        </w:tc>
        <w:tc>
          <w:tcPr>
            <w:tcW w:w="1513" w:type="dxa"/>
            <w:tcBorders>
              <w:tl2br w:val="nil"/>
              <w:tr2bl w:val="nil"/>
            </w:tcBorders>
            <w:vAlign w:val="center"/>
          </w:tcPr>
          <w:p>
            <w:pPr>
              <w:widowControl/>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631-2007</w:t>
            </w:r>
          </w:p>
        </w:tc>
        <w:tc>
          <w:tcPr>
            <w:tcW w:w="4690" w:type="dxa"/>
            <w:vMerge w:val="restart"/>
            <w:tcBorders>
              <w:tl2br w:val="nil"/>
              <w:tr2bl w:val="nil"/>
            </w:tcBorders>
            <w:vAlign w:val="center"/>
          </w:tcPr>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601-2016化学试剂 标准滴定溶液的制备</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602-2002化学试剂 杂质测定用标准溶液的制备</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603-2002化学试剂 试验方法中所用制剂及制品的制备</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605-2006化学试剂 色度测定通用方法</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606-2003化学试剂 水分测定通用方法 卡尔·费休法</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609-2018化学试剂 总氮量测定通用方法</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610-2008化学试剂 砷测定通用方法</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611-2021化学试剂 密度测定通用方法</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616-2006化学试剂 沸点测定通用方法</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618-2006化学试剂 结晶点测定通用方法</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3914-2008化学试剂 阳极溶出伏安法通则</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9721-2006化学试剂 分子吸收分光光度法通则(紫外和可见光部分)</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9722-2006化学试剂 气相色谱法通则</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9723-2007化学试剂 火焰原子吸收光谱法通则</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9724-2007化学试剂 pH值测定通则</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9727-2007化学试剂 磷酸盐测定通用方法</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9728-2007化学试剂 硫酸盐测定通用方法</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9726-2007化学试剂 还原高锰酸钾物质测定通则</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9729-2007化学试剂 氯化物测定通用方法</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9732-2007 化学试剂 氨测定通用方法</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 15346-2012化学试剂 包装及标志</w:t>
            </w:r>
          </w:p>
          <w:p>
            <w:pPr>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6682-2008分析实验室用水规格和试验方法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4" w:type="dxa"/>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2</w:t>
            </w:r>
          </w:p>
        </w:tc>
        <w:tc>
          <w:tcPr>
            <w:tcW w:w="1730" w:type="dxa"/>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硫酸</w:t>
            </w:r>
          </w:p>
        </w:tc>
        <w:tc>
          <w:tcPr>
            <w:tcW w:w="1513" w:type="dxa"/>
            <w:tcBorders>
              <w:tl2br w:val="nil"/>
              <w:tr2bl w:val="nil"/>
            </w:tcBorders>
            <w:vAlign w:val="center"/>
          </w:tcPr>
          <w:p>
            <w:pPr>
              <w:widowControl/>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625-2007</w:t>
            </w:r>
          </w:p>
        </w:tc>
        <w:tc>
          <w:tcPr>
            <w:tcW w:w="4690" w:type="dxa"/>
            <w:vMerge w:val="continue"/>
            <w:tcBorders>
              <w:tl2br w:val="nil"/>
              <w:tr2bl w:val="nil"/>
            </w:tcBorders>
            <w:vAlign w:val="center"/>
          </w:tcPr>
          <w:p>
            <w:pPr>
              <w:widowControl/>
              <w:spacing w:line="240" w:lineRule="auto"/>
              <w:ind w:firstLine="0" w:firstLineChars="0"/>
              <w:jc w:val="center"/>
              <w:rPr>
                <w:rFonts w:hint="eastAsia" w:ascii="仿宋_GB2312" w:hAnsi="宋体" w:eastAsia="仿宋_GB2312"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4" w:type="dxa"/>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3</w:t>
            </w:r>
          </w:p>
        </w:tc>
        <w:tc>
          <w:tcPr>
            <w:tcW w:w="1730" w:type="dxa"/>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硝酸</w:t>
            </w:r>
          </w:p>
        </w:tc>
        <w:tc>
          <w:tcPr>
            <w:tcW w:w="1513" w:type="dxa"/>
            <w:tcBorders>
              <w:tl2br w:val="nil"/>
              <w:tr2bl w:val="nil"/>
            </w:tcBorders>
            <w:vAlign w:val="center"/>
          </w:tcPr>
          <w:p>
            <w:pPr>
              <w:widowControl/>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626-2006</w:t>
            </w:r>
          </w:p>
        </w:tc>
        <w:tc>
          <w:tcPr>
            <w:tcW w:w="4690" w:type="dxa"/>
            <w:vMerge w:val="continue"/>
            <w:tcBorders>
              <w:tl2br w:val="nil"/>
              <w:tr2bl w:val="nil"/>
            </w:tcBorders>
            <w:vAlign w:val="center"/>
          </w:tcPr>
          <w:p>
            <w:pPr>
              <w:widowControl/>
              <w:spacing w:line="240" w:lineRule="auto"/>
              <w:ind w:firstLine="0" w:firstLineChars="0"/>
              <w:jc w:val="center"/>
              <w:rPr>
                <w:rFonts w:hint="eastAsia" w:ascii="仿宋_GB2312" w:hAnsi="宋体" w:eastAsia="仿宋_GB2312"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4" w:type="dxa"/>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4</w:t>
            </w:r>
          </w:p>
        </w:tc>
        <w:tc>
          <w:tcPr>
            <w:tcW w:w="1730" w:type="dxa"/>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盐酸</w:t>
            </w:r>
          </w:p>
        </w:tc>
        <w:tc>
          <w:tcPr>
            <w:tcW w:w="1513" w:type="dxa"/>
            <w:tcBorders>
              <w:tl2br w:val="nil"/>
              <w:tr2bl w:val="nil"/>
            </w:tcBorders>
            <w:vAlign w:val="center"/>
          </w:tcPr>
          <w:p>
            <w:pPr>
              <w:widowControl/>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622-2006</w:t>
            </w:r>
          </w:p>
        </w:tc>
        <w:tc>
          <w:tcPr>
            <w:tcW w:w="4690" w:type="dxa"/>
            <w:vMerge w:val="continue"/>
            <w:tcBorders>
              <w:tl2br w:val="nil"/>
              <w:tr2bl w:val="nil"/>
            </w:tcBorders>
            <w:vAlign w:val="center"/>
          </w:tcPr>
          <w:p>
            <w:pPr>
              <w:widowControl/>
              <w:spacing w:line="240" w:lineRule="auto"/>
              <w:ind w:firstLine="0" w:firstLineChars="0"/>
              <w:jc w:val="center"/>
              <w:rPr>
                <w:rFonts w:hint="eastAsia" w:ascii="仿宋_GB2312" w:hAnsi="宋体" w:eastAsia="仿宋_GB2312"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4" w:type="dxa"/>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5</w:t>
            </w:r>
          </w:p>
        </w:tc>
        <w:tc>
          <w:tcPr>
            <w:tcW w:w="1730" w:type="dxa"/>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甲醛溶液</w:t>
            </w:r>
          </w:p>
        </w:tc>
        <w:tc>
          <w:tcPr>
            <w:tcW w:w="1513" w:type="dxa"/>
            <w:tcBorders>
              <w:tl2br w:val="nil"/>
              <w:tr2bl w:val="nil"/>
            </w:tcBorders>
            <w:vAlign w:val="center"/>
          </w:tcPr>
          <w:p>
            <w:pPr>
              <w:widowControl/>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685-2013</w:t>
            </w:r>
          </w:p>
        </w:tc>
        <w:tc>
          <w:tcPr>
            <w:tcW w:w="4690" w:type="dxa"/>
            <w:vMerge w:val="continue"/>
            <w:tcBorders>
              <w:tl2br w:val="nil"/>
              <w:tr2bl w:val="nil"/>
            </w:tcBorders>
            <w:vAlign w:val="center"/>
          </w:tcPr>
          <w:p>
            <w:pPr>
              <w:widowControl/>
              <w:spacing w:line="240" w:lineRule="auto"/>
              <w:ind w:firstLine="0" w:firstLineChars="0"/>
              <w:jc w:val="center"/>
              <w:rPr>
                <w:rFonts w:hint="eastAsia" w:ascii="仿宋_GB2312" w:hAnsi="宋体" w:eastAsia="仿宋_GB2312"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4" w:type="dxa"/>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6</w:t>
            </w:r>
          </w:p>
        </w:tc>
        <w:tc>
          <w:tcPr>
            <w:tcW w:w="1730" w:type="dxa"/>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乙醇(无水乙醇)</w:t>
            </w:r>
          </w:p>
        </w:tc>
        <w:tc>
          <w:tcPr>
            <w:tcW w:w="1513" w:type="dxa"/>
            <w:tcBorders>
              <w:tl2br w:val="nil"/>
              <w:tr2bl w:val="nil"/>
            </w:tcBorders>
            <w:vAlign w:val="center"/>
          </w:tcPr>
          <w:p>
            <w:pPr>
              <w:widowControl/>
              <w:spacing w:line="240" w:lineRule="auto"/>
              <w:ind w:firstLine="0" w:firstLineChars="0"/>
              <w:jc w:val="center"/>
              <w:rPr>
                <w:rFonts w:hint="eastAsia" w:ascii="仿宋_GB2312" w:hAnsi="宋体" w:eastAsia="仿宋_GB2312" w:cs="仿宋"/>
                <w:kern w:val="0"/>
                <w:sz w:val="24"/>
                <w:szCs w:val="24"/>
              </w:rPr>
            </w:pPr>
            <w:r>
              <w:rPr>
                <w:rFonts w:hint="eastAsia" w:ascii="仿宋_GB2312" w:hAnsi="宋体" w:eastAsia="仿宋_GB2312" w:cs="仿宋"/>
                <w:kern w:val="0"/>
                <w:sz w:val="24"/>
                <w:szCs w:val="24"/>
              </w:rPr>
              <w:t>GB/T 678-2002</w:t>
            </w:r>
          </w:p>
        </w:tc>
        <w:tc>
          <w:tcPr>
            <w:tcW w:w="4690" w:type="dxa"/>
            <w:vMerge w:val="continue"/>
            <w:tcBorders>
              <w:tl2br w:val="nil"/>
              <w:tr2bl w:val="nil"/>
            </w:tcBorders>
            <w:vAlign w:val="center"/>
          </w:tcPr>
          <w:p>
            <w:pPr>
              <w:widowControl/>
              <w:spacing w:line="240" w:lineRule="auto"/>
              <w:ind w:firstLine="0" w:firstLineChars="0"/>
              <w:jc w:val="center"/>
              <w:rPr>
                <w:rFonts w:hint="eastAsia" w:ascii="仿宋_GB2312" w:hAnsi="宋体" w:eastAsia="仿宋_GB2312"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4" w:type="dxa"/>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7</w:t>
            </w:r>
          </w:p>
        </w:tc>
        <w:tc>
          <w:tcPr>
            <w:tcW w:w="1730" w:type="dxa"/>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氢氧化钠</w:t>
            </w:r>
          </w:p>
        </w:tc>
        <w:tc>
          <w:tcPr>
            <w:tcW w:w="1513" w:type="dxa"/>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GB/T 629-1997</w:t>
            </w:r>
          </w:p>
        </w:tc>
        <w:tc>
          <w:tcPr>
            <w:tcW w:w="4690" w:type="dxa"/>
            <w:vMerge w:val="continue"/>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87" w:type="dxa"/>
            <w:gridSpan w:val="4"/>
            <w:tcBorders>
              <w:tl2br w:val="nil"/>
              <w:tr2bl w:val="nil"/>
            </w:tcBorders>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危险化学品（化学试剂）产品生产许可证实施细则；</w:t>
            </w:r>
          </w:p>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相关的法律法规、部门规章和规范；</w:t>
            </w:r>
          </w:p>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现行有效的企业标准及产品明示质量要求。</w:t>
            </w:r>
          </w:p>
        </w:tc>
      </w:tr>
    </w:tbl>
    <w:p>
      <w:pPr>
        <w:spacing w:beforeLines="100" w:line="360" w:lineRule="auto"/>
        <w:ind w:firstLine="560"/>
        <w:rPr>
          <w:rFonts w:hint="eastAsia" w:ascii="仿宋" w:hAnsi="仿宋" w:eastAsia="仿宋" w:cs="仿宋"/>
          <w:b/>
          <w:bCs w:val="0"/>
        </w:rPr>
      </w:pPr>
      <w:r>
        <w:rPr>
          <w:rFonts w:hint="eastAsia" w:ascii="仿宋" w:hAnsi="仿宋" w:eastAsia="仿宋" w:cs="仿宋"/>
          <w:b/>
          <w:bCs w:val="0"/>
        </w:rPr>
        <w:t>5 抽样</w:t>
      </w:r>
    </w:p>
    <w:p>
      <w:pPr>
        <w:spacing w:line="360" w:lineRule="auto"/>
        <w:ind w:firstLine="560"/>
        <w:rPr>
          <w:rFonts w:hint="eastAsia" w:ascii="仿宋" w:hAnsi="仿宋" w:eastAsia="仿宋" w:cs="仿宋"/>
          <w:bCs/>
        </w:rPr>
      </w:pPr>
      <w:r>
        <w:rPr>
          <w:rFonts w:hint="eastAsia" w:ascii="仿宋" w:hAnsi="仿宋" w:eastAsia="仿宋" w:cs="仿宋"/>
          <w:bCs/>
        </w:rPr>
        <w:t>5.1 抽样型号或规格、品种</w:t>
      </w:r>
    </w:p>
    <w:p>
      <w:pPr>
        <w:spacing w:line="360" w:lineRule="auto"/>
        <w:ind w:firstLine="560"/>
        <w:rPr>
          <w:rFonts w:hint="eastAsia" w:ascii="仿宋" w:hAnsi="仿宋" w:eastAsia="仿宋" w:cs="仿宋"/>
        </w:rPr>
      </w:pPr>
      <w:r>
        <w:rPr>
          <w:rFonts w:hint="eastAsia" w:ascii="仿宋" w:hAnsi="仿宋" w:eastAsia="仿宋" w:cs="仿宋"/>
        </w:rPr>
        <w:t>按照获证企业生产产品类型，每个类型分别抽取样品，包装规格以企业自有规格为准。</w:t>
      </w:r>
    </w:p>
    <w:p>
      <w:pPr>
        <w:spacing w:line="360" w:lineRule="auto"/>
        <w:ind w:firstLine="560"/>
        <w:rPr>
          <w:rFonts w:hint="eastAsia" w:ascii="仿宋" w:hAnsi="仿宋" w:eastAsia="仿宋" w:cs="仿宋"/>
        </w:rPr>
      </w:pPr>
      <w:r>
        <w:rPr>
          <w:rFonts w:hint="eastAsia" w:ascii="仿宋" w:hAnsi="仿宋" w:eastAsia="仿宋" w:cs="仿宋"/>
        </w:rPr>
        <w:t>企业如生产或销售同一产品品种的不同规格产品时，同一品种抽取生产或销售的最高规格的样品。</w:t>
      </w:r>
    </w:p>
    <w:p>
      <w:pPr>
        <w:spacing w:line="360" w:lineRule="auto"/>
        <w:ind w:firstLine="560"/>
        <w:rPr>
          <w:rFonts w:hint="eastAsia" w:ascii="仿宋" w:hAnsi="仿宋" w:eastAsia="仿宋" w:cs="仿宋"/>
          <w:bCs/>
        </w:rPr>
      </w:pPr>
      <w:r>
        <w:rPr>
          <w:rFonts w:hint="eastAsia" w:ascii="仿宋" w:hAnsi="仿宋" w:eastAsia="仿宋" w:cs="仿宋"/>
          <w:bCs/>
        </w:rPr>
        <w:t>5.2抽样方法、抽样基数及抽样数量</w:t>
      </w:r>
    </w:p>
    <w:p>
      <w:pPr>
        <w:spacing w:line="360" w:lineRule="auto"/>
        <w:ind w:firstLine="560"/>
        <w:rPr>
          <w:rFonts w:hint="eastAsia" w:ascii="仿宋" w:hAnsi="仿宋" w:eastAsia="仿宋" w:cs="仿宋"/>
        </w:rPr>
      </w:pPr>
      <w:r>
        <w:rPr>
          <w:rFonts w:hint="eastAsia" w:ascii="仿宋" w:hAnsi="仿宋" w:eastAsia="仿宋" w:cs="仿宋"/>
        </w:rPr>
        <w:t>5.2.1抽样方法</w:t>
      </w:r>
    </w:p>
    <w:p>
      <w:pPr>
        <w:spacing w:line="360" w:lineRule="auto"/>
        <w:ind w:firstLine="560"/>
        <w:rPr>
          <w:rFonts w:hint="eastAsia" w:ascii="仿宋" w:hAnsi="仿宋" w:eastAsia="仿宋" w:cs="仿宋"/>
        </w:rPr>
      </w:pPr>
      <w:r>
        <w:rPr>
          <w:rFonts w:hint="eastAsia" w:ascii="仿宋" w:hAnsi="仿宋" w:eastAsia="仿宋" w:cs="仿宋"/>
        </w:rPr>
        <w:t>在企业成品仓库随机抽取经企业检验合格或以任何方式表明合格的产品，流通领域随机抽取企业销售的产品，优先抽取近12个月生产的产品。</w:t>
      </w:r>
    </w:p>
    <w:p>
      <w:pPr>
        <w:spacing w:line="360" w:lineRule="auto"/>
        <w:ind w:firstLine="560"/>
        <w:rPr>
          <w:rFonts w:hint="eastAsia" w:ascii="仿宋" w:hAnsi="仿宋" w:eastAsia="仿宋" w:cs="仿宋"/>
        </w:rPr>
      </w:pPr>
      <w:r>
        <w:rPr>
          <w:rFonts w:hint="eastAsia" w:ascii="仿宋" w:hAnsi="仿宋" w:eastAsia="仿宋" w:cs="仿宋"/>
        </w:rPr>
        <w:t>严格按照产品标准中的检验规则《HG/T 3921-2006 化学试剂 采样及验收规则》进行采样，采用随机数发生器法，利用科学计算器产生随机数进行简单随机抽样。</w:t>
      </w:r>
    </w:p>
    <w:p>
      <w:pPr>
        <w:spacing w:line="360" w:lineRule="auto"/>
        <w:ind w:firstLine="560"/>
        <w:rPr>
          <w:rFonts w:hint="eastAsia" w:ascii="仿宋" w:hAnsi="仿宋" w:eastAsia="仿宋" w:cs="仿宋"/>
        </w:rPr>
      </w:pPr>
      <w:r>
        <w:rPr>
          <w:rFonts w:hint="eastAsia" w:ascii="仿宋" w:hAnsi="仿宋" w:eastAsia="仿宋" w:cs="仿宋"/>
        </w:rPr>
        <w:t>5.2.2抽样基数和抽样数量</w:t>
      </w:r>
    </w:p>
    <w:p>
      <w:pPr>
        <w:spacing w:line="594" w:lineRule="exact"/>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表4 抽样基数和样品数量一览表</w:t>
      </w:r>
    </w:p>
    <w:tbl>
      <w:tblPr>
        <w:tblStyle w:val="15"/>
        <w:tblW w:w="83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4"/>
        <w:gridCol w:w="2440"/>
        <w:gridCol w:w="2055"/>
        <w:gridCol w:w="1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2214" w:type="dxa"/>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产品单元</w:t>
            </w:r>
          </w:p>
        </w:tc>
        <w:tc>
          <w:tcPr>
            <w:tcW w:w="2440" w:type="dxa"/>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产品品种</w:t>
            </w:r>
          </w:p>
        </w:tc>
        <w:tc>
          <w:tcPr>
            <w:tcW w:w="2055" w:type="dxa"/>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包装单位</w:t>
            </w:r>
          </w:p>
        </w:tc>
        <w:tc>
          <w:tcPr>
            <w:tcW w:w="1635" w:type="dxa"/>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2214" w:type="dxa"/>
            <w:vAlign w:val="center"/>
          </w:tcPr>
          <w:p>
            <w:pPr>
              <w:spacing w:line="240" w:lineRule="auto"/>
              <w:ind w:firstLine="0" w:firstLineChars="0"/>
              <w:jc w:val="center"/>
              <w:rPr>
                <w:rFonts w:hint="eastAsia" w:ascii="仿宋_GB2312" w:hAnsi="宋体" w:eastAsia="仿宋_GB2312" w:cs="仿宋"/>
                <w:bCs/>
                <w:sz w:val="24"/>
                <w:szCs w:val="24"/>
              </w:rPr>
            </w:pPr>
            <w:r>
              <w:rPr>
                <w:rFonts w:hint="eastAsia" w:ascii="仿宋_GB2312" w:hAnsi="宋体" w:eastAsia="仿宋_GB2312" w:cs="仿宋"/>
                <w:bCs/>
                <w:sz w:val="24"/>
                <w:szCs w:val="24"/>
              </w:rPr>
              <w:t>无机液体试剂</w:t>
            </w:r>
          </w:p>
          <w:p>
            <w:pPr>
              <w:spacing w:line="240" w:lineRule="auto"/>
              <w:ind w:firstLine="0" w:firstLineChars="0"/>
              <w:jc w:val="center"/>
              <w:rPr>
                <w:rFonts w:hint="eastAsia" w:ascii="仿宋_GB2312" w:hAnsi="宋体" w:eastAsia="仿宋_GB2312" w:cs="仿宋"/>
                <w:bCs/>
                <w:sz w:val="24"/>
                <w:szCs w:val="24"/>
              </w:rPr>
            </w:pPr>
            <w:r>
              <w:rPr>
                <w:rFonts w:hint="eastAsia" w:ascii="仿宋_GB2312" w:hAnsi="宋体" w:eastAsia="仿宋_GB2312" w:cs="仿宋"/>
                <w:bCs/>
                <w:sz w:val="24"/>
                <w:szCs w:val="24"/>
              </w:rPr>
              <w:t>有机液体试剂</w:t>
            </w:r>
          </w:p>
          <w:p>
            <w:pPr>
              <w:spacing w:line="240" w:lineRule="auto"/>
              <w:ind w:firstLine="0" w:firstLineChars="0"/>
              <w:jc w:val="center"/>
              <w:rPr>
                <w:rFonts w:hint="eastAsia" w:ascii="仿宋_GB2312" w:hAnsi="宋体" w:eastAsia="仿宋_GB2312" w:cs="仿宋"/>
                <w:bCs/>
                <w:sz w:val="24"/>
                <w:szCs w:val="24"/>
              </w:rPr>
            </w:pPr>
            <w:r>
              <w:rPr>
                <w:rFonts w:hint="eastAsia" w:ascii="仿宋_GB2312" w:hAnsi="宋体" w:eastAsia="仿宋_GB2312" w:cs="仿宋"/>
                <w:bCs/>
                <w:sz w:val="24"/>
                <w:szCs w:val="24"/>
              </w:rPr>
              <w:t>无机固体试剂</w:t>
            </w:r>
          </w:p>
        </w:tc>
        <w:tc>
          <w:tcPr>
            <w:tcW w:w="2440" w:type="dxa"/>
            <w:vAlign w:val="center"/>
          </w:tcPr>
          <w:p>
            <w:pPr>
              <w:spacing w:line="240" w:lineRule="auto"/>
              <w:ind w:firstLine="0" w:firstLineChars="0"/>
              <w:jc w:val="center"/>
              <w:rPr>
                <w:rFonts w:hint="eastAsia" w:ascii="仿宋_GB2312" w:hAnsi="宋体" w:eastAsia="仿宋_GB2312" w:cs="仿宋"/>
                <w:bCs/>
                <w:sz w:val="24"/>
                <w:szCs w:val="24"/>
              </w:rPr>
            </w:pPr>
            <w:r>
              <w:rPr>
                <w:rFonts w:hint="eastAsia" w:ascii="仿宋_GB2312" w:hAnsi="宋体" w:eastAsia="仿宋_GB2312" w:cs="仿宋"/>
                <w:bCs/>
                <w:sz w:val="24"/>
                <w:szCs w:val="24"/>
              </w:rPr>
              <w:t>硝酸、盐酸、硫酸、氨水、无水乙醇全部</w:t>
            </w:r>
          </w:p>
        </w:tc>
        <w:tc>
          <w:tcPr>
            <w:tcW w:w="2055" w:type="dxa"/>
            <w:vAlign w:val="center"/>
          </w:tcPr>
          <w:p>
            <w:pPr>
              <w:spacing w:line="240" w:lineRule="auto"/>
              <w:ind w:firstLine="0" w:firstLineChars="0"/>
              <w:jc w:val="center"/>
              <w:rPr>
                <w:rFonts w:hint="eastAsia" w:ascii="仿宋_GB2312" w:hAnsi="宋体" w:eastAsia="仿宋_GB2312" w:cs="仿宋"/>
                <w:bCs/>
                <w:sz w:val="24"/>
                <w:szCs w:val="24"/>
              </w:rPr>
            </w:pPr>
            <w:r>
              <w:rPr>
                <w:rFonts w:hint="eastAsia" w:ascii="仿宋_GB2312" w:hAnsi="宋体" w:eastAsia="仿宋_GB2312" w:cs="仿宋"/>
                <w:bCs/>
                <w:sz w:val="24"/>
                <w:szCs w:val="24"/>
              </w:rPr>
              <w:t>100</w:t>
            </w:r>
            <w:r>
              <w:rPr>
                <w:rFonts w:hint="eastAsia" w:ascii="仿宋_GB2312" w:hAnsi="宋体" w:eastAsia="仿宋_GB2312" w:cs="仿宋"/>
                <w:sz w:val="24"/>
                <w:szCs w:val="24"/>
              </w:rPr>
              <w:t>g/100ml及以上</w:t>
            </w:r>
          </w:p>
        </w:tc>
        <w:tc>
          <w:tcPr>
            <w:tcW w:w="1635" w:type="dxa"/>
            <w:vAlign w:val="center"/>
          </w:tcPr>
          <w:p>
            <w:pPr>
              <w:spacing w:line="240" w:lineRule="auto"/>
              <w:ind w:firstLine="0" w:firstLineChars="0"/>
              <w:jc w:val="center"/>
              <w:rPr>
                <w:rFonts w:hint="eastAsia" w:ascii="仿宋_GB2312" w:hAnsi="宋体" w:eastAsia="仿宋_GB2312" w:cs="仿宋"/>
                <w:bCs/>
                <w:sz w:val="24"/>
                <w:szCs w:val="24"/>
              </w:rPr>
            </w:pPr>
            <w:r>
              <w:rPr>
                <w:rFonts w:hint="eastAsia" w:ascii="仿宋_GB2312" w:hAnsi="宋体" w:eastAsia="仿宋_GB2312" w:cs="仿宋"/>
                <w:bCs/>
                <w:sz w:val="24"/>
                <w:szCs w:val="24"/>
              </w:rPr>
              <w:t>2瓶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44" w:type="dxa"/>
            <w:gridSpan w:val="4"/>
            <w:vAlign w:val="center"/>
          </w:tcPr>
          <w:p>
            <w:pPr>
              <w:spacing w:line="240" w:lineRule="auto"/>
              <w:ind w:firstLine="0" w:firstLineChars="0"/>
              <w:jc w:val="center"/>
              <w:rPr>
                <w:rFonts w:hint="eastAsia" w:ascii="仿宋_GB2312" w:hAnsi="宋体" w:eastAsia="仿宋_GB2312" w:cs="仿宋"/>
                <w:sz w:val="24"/>
                <w:szCs w:val="24"/>
              </w:rPr>
            </w:pPr>
            <w:r>
              <w:rPr>
                <w:rFonts w:hint="eastAsia" w:ascii="仿宋_GB2312" w:hAnsi="宋体" w:eastAsia="仿宋_GB2312" w:cs="仿宋"/>
                <w:sz w:val="24"/>
                <w:szCs w:val="24"/>
              </w:rPr>
              <w:t>注：以上抽样量指每个品种的抽样量；抽取的两份样品分别单独封装，一份作为检验样品，一份作为复检备用样品。</w:t>
            </w:r>
          </w:p>
        </w:tc>
      </w:tr>
    </w:tbl>
    <w:p>
      <w:pPr>
        <w:spacing w:beforeLines="100" w:afterLines="50" w:line="360" w:lineRule="auto"/>
        <w:ind w:firstLine="560"/>
        <w:rPr>
          <w:rFonts w:hint="eastAsia" w:ascii="仿宋" w:hAnsi="仿宋" w:eastAsia="仿宋" w:cs="仿宋"/>
          <w:sz w:val="28"/>
          <w:szCs w:val="28"/>
        </w:rPr>
      </w:pPr>
      <w:r>
        <w:rPr>
          <w:rFonts w:hint="eastAsia" w:ascii="仿宋" w:hAnsi="仿宋" w:eastAsia="仿宋" w:cs="仿宋"/>
          <w:sz w:val="28"/>
          <w:szCs w:val="28"/>
        </w:rPr>
        <w:t>5.2.3抽样时应注意的问题</w:t>
      </w:r>
    </w:p>
    <w:p>
      <w:pPr>
        <w:spacing w:line="360" w:lineRule="auto"/>
        <w:ind w:firstLine="560"/>
        <w:rPr>
          <w:rFonts w:hint="eastAsia" w:ascii="仿宋" w:hAnsi="仿宋" w:eastAsia="仿宋" w:cs="仿宋"/>
          <w:sz w:val="28"/>
          <w:szCs w:val="28"/>
        </w:rPr>
      </w:pPr>
      <w:r>
        <w:rPr>
          <w:rFonts w:hint="eastAsia" w:ascii="仿宋" w:hAnsi="仿宋" w:eastAsia="仿宋" w:cs="仿宋"/>
          <w:sz w:val="28"/>
          <w:szCs w:val="28"/>
        </w:rPr>
        <w:t>5.2.3.1抽样工作要求</w:t>
      </w:r>
    </w:p>
    <w:p>
      <w:pPr>
        <w:spacing w:line="360" w:lineRule="auto"/>
        <w:ind w:firstLine="560"/>
        <w:rPr>
          <w:rFonts w:hint="eastAsia" w:ascii="仿宋" w:hAnsi="仿宋" w:eastAsia="仿宋" w:cs="仿宋"/>
          <w:bCs/>
          <w:color w:val="000000"/>
          <w:sz w:val="28"/>
          <w:szCs w:val="28"/>
        </w:rPr>
      </w:pPr>
      <w:r>
        <w:rPr>
          <w:rFonts w:hint="eastAsia" w:ascii="仿宋" w:hAnsi="仿宋" w:eastAsia="仿宋" w:cs="仿宋"/>
          <w:bCs/>
          <w:color w:val="000000"/>
          <w:sz w:val="28"/>
          <w:szCs w:val="28"/>
        </w:rPr>
        <w:t>抽样前应对参与抽查任务的抽样、检验、报告编制等相关人员进行培训，按照相关规定确定抽样人员，并进行分组分工。抽查工作应采取突击抽查方式，不得预先通知企业。抽样时，抽样人员应当认真核实营业执照等被抽查企业的相关信息，按照规定进行抽样、封样和填写抽样单。通过拍照或录像进行现场取证，并将照片或录像保留48个月。对因转产、停产等原因导致无样品可抽的，需在《未抽到样品企业情况说明表》上签字,并应经当地市场监管部门签署意见，有关材料与总结汇总材料一并上报。对无正当理由不配合或者拒绝监督抽查抽样的，应在《产品质量监督抽查企业拒检认定表》上签字，同时需向抽查任务下达部门报告情况。</w:t>
      </w:r>
    </w:p>
    <w:p>
      <w:pPr>
        <w:spacing w:line="360" w:lineRule="auto"/>
        <w:ind w:firstLine="560"/>
        <w:rPr>
          <w:rFonts w:hint="eastAsia" w:ascii="仿宋" w:hAnsi="仿宋" w:eastAsia="仿宋" w:cs="仿宋"/>
          <w:sz w:val="28"/>
          <w:szCs w:val="28"/>
        </w:rPr>
      </w:pPr>
      <w:r>
        <w:rPr>
          <w:rFonts w:hint="eastAsia" w:ascii="仿宋" w:hAnsi="仿宋" w:eastAsia="仿宋" w:cs="仿宋"/>
          <w:sz w:val="28"/>
          <w:szCs w:val="28"/>
        </w:rPr>
        <w:t>在流通领域抽样的同时，索要流通企业所抽样品的进货发票和进货台账等明细，核对生产企业的信用信息。检验结果出来后，经请示市局许可后，将检验报告发送经销企业和生产企业各一份，保证检验结果能及时交由经销企业和生产企业。抽样过程中发现货物来源不明时，要及时向当地市场监管部门汇报。</w:t>
      </w:r>
    </w:p>
    <w:p>
      <w:pPr>
        <w:spacing w:beforeLines="50" w:afterLines="50" w:line="360" w:lineRule="auto"/>
        <w:ind w:firstLine="560"/>
        <w:rPr>
          <w:rFonts w:hint="eastAsia" w:ascii="仿宋" w:hAnsi="仿宋" w:eastAsia="仿宋" w:cs="仿宋"/>
          <w:sz w:val="28"/>
          <w:szCs w:val="28"/>
        </w:rPr>
      </w:pPr>
      <w:r>
        <w:rPr>
          <w:rFonts w:hint="eastAsia" w:ascii="仿宋" w:hAnsi="仿宋" w:eastAsia="仿宋" w:cs="仿宋"/>
          <w:sz w:val="28"/>
          <w:szCs w:val="28"/>
        </w:rPr>
        <w:t>5.2.3.2样品交接、核查、盲样制作等工作要求</w:t>
      </w:r>
    </w:p>
    <w:p>
      <w:pPr>
        <w:spacing w:line="360" w:lineRule="auto"/>
        <w:ind w:firstLine="560"/>
        <w:jc w:val="left"/>
        <w:rPr>
          <w:rFonts w:hint="eastAsia" w:ascii="仿宋" w:hAnsi="仿宋" w:eastAsia="仿宋" w:cs="仿宋"/>
          <w:color w:val="000000"/>
          <w:sz w:val="28"/>
          <w:szCs w:val="28"/>
        </w:rPr>
      </w:pPr>
      <w:r>
        <w:rPr>
          <w:rFonts w:hint="eastAsia" w:ascii="仿宋" w:hAnsi="仿宋" w:eastAsia="仿宋" w:cs="仿宋"/>
          <w:bCs/>
          <w:color w:val="000000"/>
          <w:sz w:val="28"/>
          <w:szCs w:val="28"/>
        </w:rPr>
        <w:t>严格按照监督抽查的相关规定进行样品的接收、传递及处理等，同时做好样品管理全过程的详细记录以及全部证明材料。接收样品时应当检查、记录样品的外观、状态、封样单有无破损及其他可能对检验结果或者综合判定产生影响的情况，并确认样品与抽样文书的记录是否相符，对检验和备用样品按照盲样制作要求，能够遮盖样品的原生产标识，分别加贴相应样品编号及待检标识后入库，按存放要求妥善保管。将入库后的待检样品按照检验任务通知单分配给相应检验人员。完成检验后，将剩余样品再次交还样品管理人员，并登记入库，并标识为已检样品。</w:t>
      </w:r>
      <w:r>
        <w:rPr>
          <w:rFonts w:hint="eastAsia" w:ascii="仿宋" w:hAnsi="仿宋" w:eastAsia="仿宋" w:cs="仿宋"/>
          <w:color w:val="000000"/>
          <w:sz w:val="28"/>
          <w:szCs w:val="28"/>
        </w:rPr>
        <w:t>监督抽查工作期间，质管部应指定监督员对抽样情况的符合性进行监督。</w:t>
      </w:r>
    </w:p>
    <w:p>
      <w:pPr>
        <w:spacing w:beforeLines="50" w:afterLines="50" w:line="360" w:lineRule="auto"/>
        <w:ind w:firstLine="560"/>
        <w:rPr>
          <w:rFonts w:hint="eastAsia" w:ascii="仿宋" w:hAnsi="仿宋" w:eastAsia="仿宋" w:cs="仿宋"/>
          <w:bCs/>
          <w:sz w:val="28"/>
          <w:szCs w:val="28"/>
        </w:rPr>
      </w:pPr>
      <w:r>
        <w:rPr>
          <w:rFonts w:hint="eastAsia" w:ascii="仿宋" w:hAnsi="仿宋" w:eastAsia="仿宋" w:cs="仿宋"/>
          <w:bCs/>
          <w:sz w:val="28"/>
          <w:szCs w:val="28"/>
        </w:rPr>
        <w:t>5.3 样品处置</w:t>
      </w:r>
    </w:p>
    <w:p>
      <w:pPr>
        <w:spacing w:line="360" w:lineRule="auto"/>
        <w:ind w:firstLine="560"/>
        <w:rPr>
          <w:rFonts w:hint="eastAsia" w:ascii="仿宋" w:hAnsi="仿宋" w:eastAsia="仿宋" w:cs="仿宋"/>
          <w:sz w:val="28"/>
          <w:szCs w:val="28"/>
        </w:rPr>
      </w:pPr>
      <w:r>
        <w:rPr>
          <w:rFonts w:hint="eastAsia" w:ascii="仿宋" w:hAnsi="仿宋" w:eastAsia="仿宋" w:cs="仿宋"/>
          <w:sz w:val="28"/>
          <w:szCs w:val="28"/>
        </w:rPr>
        <w:t>抽样后，对检验样品和备用样品分别包装，样品由抽样人员监督包装，单独封装后加贴封条，在封条上面应加盖抽样单位公章，并由双方人员签字。检验样品由抽样人员自行带回，备用样品存放在企业的成品库。如样品标签上标明特殊储存要求（如避免阳光直射等条件），样品应按要求进行处置，在运输和存放过程应注意防碰、防潮、防压、防晒、防挥发。</w:t>
      </w:r>
    </w:p>
    <w:p>
      <w:pPr>
        <w:spacing w:beforeLines="50" w:afterLines="50" w:line="360" w:lineRule="auto"/>
        <w:ind w:firstLine="560"/>
        <w:rPr>
          <w:rFonts w:hint="eastAsia" w:ascii="仿宋" w:hAnsi="仿宋" w:eastAsia="仿宋" w:cs="仿宋"/>
          <w:bCs/>
          <w:sz w:val="28"/>
          <w:szCs w:val="28"/>
        </w:rPr>
      </w:pPr>
      <w:r>
        <w:rPr>
          <w:rFonts w:hint="eastAsia" w:ascii="仿宋" w:hAnsi="仿宋" w:eastAsia="仿宋" w:cs="仿宋"/>
          <w:bCs/>
          <w:sz w:val="28"/>
          <w:szCs w:val="28"/>
        </w:rPr>
        <w:t>5.4抽样单</w:t>
      </w:r>
    </w:p>
    <w:p>
      <w:pPr>
        <w:spacing w:line="360" w:lineRule="auto"/>
        <w:ind w:firstLine="560"/>
        <w:rPr>
          <w:rFonts w:hint="eastAsia" w:ascii="仿宋" w:hAnsi="仿宋" w:eastAsia="仿宋" w:cs="仿宋"/>
          <w:sz w:val="28"/>
          <w:szCs w:val="28"/>
        </w:rPr>
      </w:pPr>
      <w:r>
        <w:rPr>
          <w:rFonts w:hint="eastAsia" w:ascii="仿宋" w:hAnsi="仿宋" w:eastAsia="仿宋" w:cs="仿宋"/>
          <w:sz w:val="28"/>
          <w:szCs w:val="28"/>
        </w:rPr>
        <w:t>应按有关规定填写抽样单，并记录被抽查产品及企业相关信息。同时记录被抽查企业上一年度生产的产品的销售总额，以万元计；若被抽查企业上一年未生产此类产品，则记录本年度已实际生产此类产品的销售总额。对于产品检测、判定所需的技术参数（如规格）等产品信息，需要被抽企业提供，要在抽样现场获取并记录，并经企业确认据此信息对抽查产品检测、判定，企业对信息准确性负责。抽样单应有抽样人员签字和受检企业负责人的签字盖章。</w:t>
      </w:r>
    </w:p>
    <w:p>
      <w:pPr>
        <w:spacing w:line="360" w:lineRule="auto"/>
        <w:ind w:firstLine="560"/>
        <w:rPr>
          <w:rFonts w:hint="eastAsia" w:ascii="仿宋" w:hAnsi="仿宋" w:eastAsia="仿宋" w:cs="仿宋"/>
          <w:sz w:val="28"/>
          <w:szCs w:val="28"/>
        </w:rPr>
      </w:pPr>
      <w:r>
        <w:rPr>
          <w:rFonts w:hint="eastAsia" w:ascii="仿宋" w:hAnsi="仿宋" w:eastAsia="仿宋" w:cs="仿宋"/>
          <w:sz w:val="28"/>
          <w:szCs w:val="28"/>
        </w:rPr>
        <w:t>如被检产品执行企业标准，抽样时应向企业索要产品所执行的明示的企业标准文本。</w:t>
      </w:r>
    </w:p>
    <w:p>
      <w:pPr>
        <w:spacing w:line="360" w:lineRule="auto"/>
        <w:ind w:firstLine="560"/>
        <w:rPr>
          <w:rFonts w:hint="eastAsia" w:ascii="仿宋" w:hAnsi="仿宋" w:eastAsia="仿宋" w:cs="仿宋"/>
          <w:sz w:val="28"/>
          <w:szCs w:val="28"/>
        </w:rPr>
      </w:pPr>
      <w:r>
        <w:rPr>
          <w:rFonts w:hint="eastAsia" w:ascii="仿宋" w:hAnsi="仿宋" w:eastAsia="仿宋" w:cs="仿宋"/>
          <w:sz w:val="28"/>
          <w:szCs w:val="28"/>
        </w:rPr>
        <w:t>5.5样品购买</w:t>
      </w:r>
    </w:p>
    <w:p>
      <w:pPr>
        <w:spacing w:line="360" w:lineRule="auto"/>
        <w:ind w:firstLine="560"/>
        <w:rPr>
          <w:rFonts w:hint="eastAsia" w:ascii="仿宋" w:hAnsi="仿宋" w:eastAsia="仿宋" w:cs="仿宋"/>
          <w:color w:val="000000"/>
          <w:sz w:val="28"/>
          <w:szCs w:val="28"/>
        </w:rPr>
      </w:pPr>
      <w:r>
        <w:rPr>
          <w:rFonts w:hint="eastAsia" w:ascii="仿宋" w:hAnsi="仿宋" w:eastAsia="仿宋" w:cs="仿宋"/>
          <w:color w:val="000000"/>
          <w:sz w:val="28"/>
          <w:szCs w:val="28"/>
        </w:rPr>
        <w:t>样品获取严格按照《产品质量监督抽查管理暂行办法》（国家市场监督管理总局令第18号）要求执行。样品购买费用由抽样单位支付，受检单位开具发票，抽样单位保留付款凭证，所需费用计入监督抽查经费（“材料费”科目）列支。备用样品可暂不购买，封存于受检单位。</w:t>
      </w:r>
    </w:p>
    <w:p>
      <w:pPr>
        <w:spacing w:line="360" w:lineRule="auto"/>
        <w:ind w:firstLine="560"/>
        <w:rPr>
          <w:rFonts w:hint="eastAsia" w:ascii="仿宋" w:hAnsi="仿宋" w:eastAsia="仿宋" w:cs="仿宋"/>
          <w:color w:val="000000"/>
          <w:sz w:val="28"/>
          <w:szCs w:val="28"/>
        </w:rPr>
      </w:pPr>
      <w:r>
        <w:rPr>
          <w:rFonts w:hint="eastAsia" w:ascii="仿宋" w:hAnsi="仿宋" w:eastAsia="仿宋" w:cs="仿宋"/>
          <w:color w:val="000000"/>
          <w:sz w:val="28"/>
          <w:szCs w:val="28"/>
        </w:rPr>
        <w:t>当需要启用备用样品进行复检时，若备用样品封存在受检单位，由抽样机构支付备用样品购买费用，所需费用计入监督抽查经费列支。</w:t>
      </w:r>
    </w:p>
    <w:p>
      <w:pPr>
        <w:spacing w:beforeLines="50" w:afterLines="50" w:line="594" w:lineRule="exact"/>
        <w:ind w:firstLine="560"/>
        <w:rPr>
          <w:rFonts w:hint="eastAsia" w:ascii="仿宋" w:hAnsi="仿宋" w:eastAsia="仿宋" w:cs="仿宋"/>
          <w:b/>
          <w:bCs w:val="0"/>
        </w:rPr>
      </w:pPr>
      <w:r>
        <w:rPr>
          <w:rFonts w:hint="eastAsia" w:ascii="仿宋" w:hAnsi="仿宋" w:eastAsia="仿宋" w:cs="仿宋"/>
          <w:b/>
          <w:bCs w:val="0"/>
        </w:rPr>
        <w:t>6 检验要求</w:t>
      </w:r>
    </w:p>
    <w:p>
      <w:pPr>
        <w:spacing w:line="594" w:lineRule="exact"/>
        <w:ind w:firstLine="560"/>
        <w:rPr>
          <w:rFonts w:hint="eastAsia" w:ascii="仿宋" w:hAnsi="仿宋" w:eastAsia="仿宋" w:cs="仿宋"/>
          <w:bCs/>
        </w:rPr>
      </w:pPr>
      <w:r>
        <w:rPr>
          <w:rFonts w:hint="eastAsia" w:ascii="仿宋" w:hAnsi="仿宋" w:eastAsia="仿宋" w:cs="仿宋"/>
          <w:bCs/>
        </w:rPr>
        <w:t>6.1 检验项目</w:t>
      </w:r>
    </w:p>
    <w:p>
      <w:pPr>
        <w:spacing w:line="594" w:lineRule="exact"/>
        <w:jc w:val="center"/>
        <w:rPr>
          <w:rFonts w:hint="eastAsia" w:ascii="仿宋_GB2312" w:hAnsi="宋体" w:eastAsia="仿宋_GB2312" w:cs="仿宋"/>
          <w:sz w:val="24"/>
          <w:szCs w:val="24"/>
        </w:rPr>
      </w:pPr>
      <w:r>
        <w:rPr>
          <w:rFonts w:hint="eastAsia" w:ascii="仿宋_GB2312" w:hAnsi="宋体" w:eastAsia="仿宋_GB2312" w:cs="仿宋"/>
          <w:sz w:val="24"/>
          <w:szCs w:val="24"/>
        </w:rPr>
        <w:t>表5化学试剂产品检验项目</w:t>
      </w:r>
    </w:p>
    <w:tbl>
      <w:tblPr>
        <w:tblStyle w:val="15"/>
        <w:tblW w:w="8804" w:type="dxa"/>
        <w:tblInd w:w="93" w:type="dxa"/>
        <w:tblLayout w:type="autofit"/>
        <w:tblCellMar>
          <w:top w:w="0" w:type="dxa"/>
          <w:left w:w="108" w:type="dxa"/>
          <w:bottom w:w="0" w:type="dxa"/>
          <w:right w:w="108" w:type="dxa"/>
        </w:tblCellMar>
      </w:tblPr>
      <w:tblGrid>
        <w:gridCol w:w="1064"/>
        <w:gridCol w:w="2129"/>
        <w:gridCol w:w="2125"/>
        <w:gridCol w:w="3486"/>
      </w:tblGrid>
      <w:tr>
        <w:tblPrEx>
          <w:tblCellMar>
            <w:top w:w="0" w:type="dxa"/>
            <w:left w:w="108" w:type="dxa"/>
            <w:bottom w:w="0" w:type="dxa"/>
            <w:right w:w="108" w:type="dxa"/>
          </w:tblCellMar>
        </w:tblPrEx>
        <w:trPr>
          <w:trHeight w:val="567" w:hRule="atLeast"/>
        </w:trPr>
        <w:tc>
          <w:tcPr>
            <w:tcW w:w="1064"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产品名称</w:t>
            </w:r>
          </w:p>
        </w:tc>
        <w:tc>
          <w:tcPr>
            <w:tcW w:w="2129"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检验项目</w:t>
            </w:r>
          </w:p>
        </w:tc>
        <w:tc>
          <w:tcPr>
            <w:tcW w:w="212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依据标准</w:t>
            </w:r>
          </w:p>
        </w:tc>
        <w:tc>
          <w:tcPr>
            <w:tcW w:w="348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检验方法标准</w:t>
            </w:r>
          </w:p>
        </w:tc>
      </w:tr>
      <w:tr>
        <w:tblPrEx>
          <w:tblCellMar>
            <w:top w:w="0" w:type="dxa"/>
            <w:left w:w="108" w:type="dxa"/>
            <w:bottom w:w="0" w:type="dxa"/>
            <w:right w:w="108" w:type="dxa"/>
          </w:tblCellMar>
        </w:tblPrEx>
        <w:trPr>
          <w:trHeight w:val="567" w:hRule="atLeast"/>
        </w:trPr>
        <w:tc>
          <w:tcPr>
            <w:tcW w:w="1064"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r>
      <w:tr>
        <w:tblPrEx>
          <w:tblCellMar>
            <w:top w:w="0" w:type="dxa"/>
            <w:left w:w="108" w:type="dxa"/>
            <w:bottom w:w="0" w:type="dxa"/>
            <w:right w:w="108" w:type="dxa"/>
          </w:tblCellMar>
        </w:tblPrEx>
        <w:trPr>
          <w:trHeight w:val="567" w:hRule="atLeast"/>
        </w:trPr>
        <w:tc>
          <w:tcPr>
            <w:tcW w:w="1064"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盐酸</w:t>
            </w: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含量</w:t>
            </w:r>
          </w:p>
        </w:tc>
        <w:tc>
          <w:tcPr>
            <w:tcW w:w="2125"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622 -2006</w:t>
            </w: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622-2006（5.2）</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游离氯</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9729-2007</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铁</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9739-2006</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砷</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610-2008</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铜</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9723-2007</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铅</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9723-2007</w:t>
            </w:r>
          </w:p>
        </w:tc>
      </w:tr>
      <w:tr>
        <w:tblPrEx>
          <w:tblCellMar>
            <w:top w:w="0" w:type="dxa"/>
            <w:left w:w="108" w:type="dxa"/>
            <w:bottom w:w="0" w:type="dxa"/>
            <w:right w:w="108" w:type="dxa"/>
          </w:tblCellMar>
        </w:tblPrEx>
        <w:trPr>
          <w:trHeight w:val="567" w:hRule="atLeast"/>
        </w:trPr>
        <w:tc>
          <w:tcPr>
            <w:tcW w:w="1064"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硝酸</w:t>
            </w: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含量</w:t>
            </w:r>
          </w:p>
        </w:tc>
        <w:tc>
          <w:tcPr>
            <w:tcW w:w="2125"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626 -2006</w:t>
            </w: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626-2006（5.2）</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色度</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605-2006</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氯化物</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9729-2007</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铁</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9739-2006</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铜</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9723-2007</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铅</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9723-2007</w:t>
            </w:r>
          </w:p>
        </w:tc>
      </w:tr>
      <w:tr>
        <w:tblPrEx>
          <w:tblCellMar>
            <w:top w:w="0" w:type="dxa"/>
            <w:left w:w="108" w:type="dxa"/>
            <w:bottom w:w="0" w:type="dxa"/>
            <w:right w:w="108" w:type="dxa"/>
          </w:tblCellMar>
        </w:tblPrEx>
        <w:trPr>
          <w:trHeight w:val="567" w:hRule="atLeast"/>
        </w:trPr>
        <w:tc>
          <w:tcPr>
            <w:tcW w:w="1064"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硫酸</w:t>
            </w: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含量</w:t>
            </w:r>
          </w:p>
        </w:tc>
        <w:tc>
          <w:tcPr>
            <w:tcW w:w="2125"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625 -2007</w:t>
            </w: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625-2007（5.2）</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氯化物</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625-2007（5.5）</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硝酸盐</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625-2007（5.6）</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铵盐</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625-2007（5.7）</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铁</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9739-2006</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铜</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9723-2007</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铅</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9723-2007</w:t>
            </w:r>
          </w:p>
        </w:tc>
      </w:tr>
      <w:tr>
        <w:tblPrEx>
          <w:tblCellMar>
            <w:top w:w="0" w:type="dxa"/>
            <w:left w:w="108" w:type="dxa"/>
            <w:bottom w:w="0" w:type="dxa"/>
            <w:right w:w="108" w:type="dxa"/>
          </w:tblCellMar>
        </w:tblPrEx>
        <w:trPr>
          <w:trHeight w:val="567" w:hRule="atLeast"/>
        </w:trPr>
        <w:tc>
          <w:tcPr>
            <w:tcW w:w="1064"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氨水</w:t>
            </w: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含量</w:t>
            </w:r>
          </w:p>
        </w:tc>
        <w:tc>
          <w:tcPr>
            <w:tcW w:w="2125"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631 -2007</w:t>
            </w: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631-2007（5.2）</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氯化物</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631-2007（5.4）</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碳酸盐</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631-2007（5.7）</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钠</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631-2007（5.9）</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钾</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631-2007（5.11）</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铜</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631-2007（5.14）</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铅</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631-2007（5.15）</w:t>
            </w:r>
          </w:p>
        </w:tc>
      </w:tr>
      <w:tr>
        <w:tblPrEx>
          <w:tblCellMar>
            <w:top w:w="0" w:type="dxa"/>
            <w:left w:w="108" w:type="dxa"/>
            <w:bottom w:w="0" w:type="dxa"/>
            <w:right w:w="108" w:type="dxa"/>
          </w:tblCellMar>
        </w:tblPrEx>
        <w:trPr>
          <w:trHeight w:val="567" w:hRule="atLeast"/>
        </w:trPr>
        <w:tc>
          <w:tcPr>
            <w:tcW w:w="1064"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无水乙醇</w:t>
            </w: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含量</w:t>
            </w:r>
          </w:p>
        </w:tc>
        <w:tc>
          <w:tcPr>
            <w:tcW w:w="2125"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678 -2002</w:t>
            </w: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678-2002（5.1）</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密度</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611-2006</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蒸发残渣</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9740-2008</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水分</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606-2003</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甲醇</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678-2002（5.1）</w:t>
            </w:r>
          </w:p>
        </w:tc>
      </w:tr>
      <w:tr>
        <w:tblPrEx>
          <w:tblCellMar>
            <w:top w:w="0" w:type="dxa"/>
            <w:left w:w="108" w:type="dxa"/>
            <w:bottom w:w="0" w:type="dxa"/>
            <w:right w:w="108" w:type="dxa"/>
          </w:tblCellMar>
        </w:tblPrEx>
        <w:trPr>
          <w:trHeight w:val="567" w:hRule="atLeast"/>
        </w:trPr>
        <w:tc>
          <w:tcPr>
            <w:tcW w:w="1064"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2129"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异丙醇</w:t>
            </w:r>
          </w:p>
        </w:tc>
        <w:tc>
          <w:tcPr>
            <w:tcW w:w="2125" w:type="dxa"/>
            <w:vMerge w:val="continue"/>
            <w:tcBorders>
              <w:top w:val="nil"/>
              <w:left w:val="single" w:color="000000" w:sz="8" w:space="0"/>
              <w:bottom w:val="single" w:color="000000" w:sz="8" w:space="0"/>
              <w:right w:val="single" w:color="000000" w:sz="8" w:space="0"/>
            </w:tcBorders>
            <w:shd w:val="clear" w:color="auto" w:fill="auto"/>
            <w:vAlign w:val="center"/>
          </w:tcPr>
          <w:p>
            <w:pPr>
              <w:spacing w:line="240" w:lineRule="auto"/>
              <w:ind w:firstLine="0" w:firstLineChars="0"/>
              <w:jc w:val="center"/>
              <w:rPr>
                <w:rFonts w:hint="eastAsia" w:ascii="仿宋_GB2312" w:hAnsi="宋体" w:eastAsia="仿宋_GB2312" w:cs="宋体"/>
                <w:color w:val="000000"/>
                <w:sz w:val="24"/>
                <w:szCs w:val="24"/>
              </w:rPr>
            </w:pPr>
          </w:p>
        </w:tc>
        <w:tc>
          <w:tcPr>
            <w:tcW w:w="3486" w:type="dxa"/>
            <w:tcBorders>
              <w:top w:val="nil"/>
              <w:left w:val="single" w:color="000000" w:sz="8" w:space="0"/>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hint="eastAsia" w:ascii="仿宋_GB2312" w:hAnsi="宋体" w:eastAsia="仿宋_GB2312" w:cs="宋体"/>
                <w:color w:val="000000"/>
                <w:sz w:val="24"/>
                <w:szCs w:val="24"/>
              </w:rPr>
            </w:pPr>
            <w:r>
              <w:rPr>
                <w:rFonts w:hint="eastAsia" w:ascii="仿宋_GB2312" w:hAnsi="宋体" w:eastAsia="仿宋_GB2312" w:cs="宋体"/>
                <w:color w:val="000000"/>
                <w:kern w:val="0"/>
                <w:sz w:val="24"/>
                <w:szCs w:val="24"/>
              </w:rPr>
              <w:t>GB/T 678-2002（5.1）</w:t>
            </w:r>
          </w:p>
        </w:tc>
      </w:tr>
    </w:tbl>
    <w:p>
      <w:pPr>
        <w:spacing w:line="360" w:lineRule="auto"/>
        <w:ind w:firstLine="560"/>
        <w:rPr>
          <w:rFonts w:hint="eastAsia" w:ascii="仿宋" w:hAnsi="仿宋" w:eastAsia="仿宋" w:cs="仿宋"/>
        </w:rPr>
      </w:pPr>
      <w:r>
        <w:rPr>
          <w:rFonts w:hint="eastAsia" w:ascii="仿宋" w:hAnsi="仿宋" w:eastAsia="仿宋" w:cs="仿宋"/>
        </w:rPr>
        <w:t>6.2试样制备</w:t>
      </w:r>
    </w:p>
    <w:p>
      <w:pPr>
        <w:spacing w:line="360" w:lineRule="auto"/>
        <w:ind w:firstLine="560"/>
        <w:rPr>
          <w:rFonts w:hint="eastAsia" w:ascii="仿宋" w:hAnsi="仿宋" w:eastAsia="仿宋" w:cs="仿宋"/>
        </w:rPr>
      </w:pPr>
      <w:r>
        <w:rPr>
          <w:rFonts w:hint="eastAsia" w:ascii="仿宋" w:hAnsi="仿宋" w:eastAsia="仿宋" w:cs="仿宋"/>
        </w:rPr>
        <w:t>所抽取的试样均按照相应的产品标准或相应检验方法标准进行制备，制备好的样品待检。</w:t>
      </w:r>
    </w:p>
    <w:p>
      <w:pPr>
        <w:spacing w:beforeLines="100" w:afterLines="50" w:line="360" w:lineRule="auto"/>
        <w:ind w:firstLine="560"/>
        <w:rPr>
          <w:rFonts w:hint="eastAsia" w:ascii="仿宋" w:hAnsi="仿宋" w:eastAsia="仿宋" w:cs="仿宋"/>
          <w:bCs/>
        </w:rPr>
      </w:pPr>
      <w:r>
        <w:rPr>
          <w:rFonts w:hint="eastAsia" w:ascii="仿宋" w:hAnsi="仿宋" w:eastAsia="仿宋" w:cs="仿宋"/>
          <w:bCs/>
        </w:rPr>
        <w:t>6.3 检验应注意的问题</w:t>
      </w:r>
    </w:p>
    <w:p>
      <w:pPr>
        <w:spacing w:line="360" w:lineRule="auto"/>
        <w:ind w:firstLine="560"/>
        <w:rPr>
          <w:rFonts w:hint="eastAsia" w:ascii="仿宋" w:hAnsi="仿宋" w:eastAsia="仿宋" w:cs="仿宋"/>
          <w:bCs/>
        </w:rPr>
      </w:pPr>
      <w:r>
        <w:rPr>
          <w:rFonts w:hint="eastAsia" w:ascii="仿宋" w:hAnsi="仿宋" w:eastAsia="仿宋" w:cs="仿宋"/>
          <w:bCs/>
        </w:rPr>
        <w:t>6.3.1标准依据</w:t>
      </w:r>
    </w:p>
    <w:p>
      <w:pPr>
        <w:spacing w:line="360" w:lineRule="auto"/>
        <w:ind w:firstLine="560"/>
        <w:rPr>
          <w:rFonts w:hint="eastAsia" w:ascii="仿宋" w:hAnsi="仿宋" w:eastAsia="仿宋" w:cs="仿宋"/>
        </w:rPr>
      </w:pPr>
      <w:r>
        <w:rPr>
          <w:rFonts w:hint="eastAsia" w:ascii="仿宋" w:hAnsi="仿宋" w:eastAsia="仿宋" w:cs="仿宋"/>
        </w:rPr>
        <w:t>若被检产品明示的质量要求高于本方案中检验项目依据的标准要求时，应按被检产品明示的质量要求判定。</w:t>
      </w:r>
    </w:p>
    <w:p>
      <w:pPr>
        <w:spacing w:line="360" w:lineRule="auto"/>
        <w:ind w:firstLine="560"/>
        <w:rPr>
          <w:rFonts w:hint="eastAsia" w:ascii="仿宋" w:hAnsi="仿宋" w:eastAsia="仿宋" w:cs="仿宋"/>
        </w:rPr>
      </w:pPr>
      <w:r>
        <w:rPr>
          <w:rFonts w:hint="eastAsia" w:ascii="仿宋" w:hAnsi="仿宋" w:eastAsia="仿宋" w:cs="仿宋"/>
        </w:rPr>
        <w:t>若被检产品明示的质量要求低于本方案中检验项目依据的强制性标准要求时，应按照强制性标准要求判定。</w:t>
      </w:r>
    </w:p>
    <w:p>
      <w:pPr>
        <w:spacing w:line="360" w:lineRule="auto"/>
        <w:ind w:firstLine="560"/>
        <w:rPr>
          <w:rFonts w:hint="eastAsia" w:ascii="仿宋" w:hAnsi="仿宋" w:eastAsia="仿宋" w:cs="仿宋"/>
        </w:rPr>
      </w:pPr>
      <w:r>
        <w:rPr>
          <w:rFonts w:hint="eastAsia" w:ascii="仿宋" w:hAnsi="仿宋" w:eastAsia="仿宋" w:cs="仿宋"/>
        </w:rPr>
        <w:t>若被检产品明示的质量要求低于或包含方案中检验项目依据的推荐性标准要求时，应以被检产品明示的质量要求判定。</w:t>
      </w:r>
    </w:p>
    <w:p>
      <w:pPr>
        <w:spacing w:line="360" w:lineRule="auto"/>
        <w:ind w:firstLine="560"/>
        <w:rPr>
          <w:rFonts w:hint="eastAsia" w:ascii="仿宋" w:hAnsi="仿宋" w:eastAsia="仿宋" w:cs="仿宋"/>
        </w:rPr>
      </w:pPr>
      <w:r>
        <w:rPr>
          <w:rFonts w:hint="eastAsia" w:ascii="仿宋" w:hAnsi="仿宋" w:eastAsia="仿宋" w:cs="仿宋"/>
        </w:rPr>
        <w:t>若被检产品明示的质量要求缺少本方案中检验项目依据的强制性标准要求时，应按照强制性标准要求判定。</w:t>
      </w:r>
    </w:p>
    <w:p>
      <w:pPr>
        <w:spacing w:line="360" w:lineRule="auto"/>
        <w:ind w:firstLine="560"/>
        <w:rPr>
          <w:rFonts w:hint="eastAsia" w:ascii="仿宋" w:hAnsi="仿宋" w:eastAsia="仿宋" w:cs="仿宋"/>
        </w:rPr>
      </w:pPr>
      <w:r>
        <w:rPr>
          <w:rFonts w:hint="eastAsia" w:ascii="仿宋" w:hAnsi="仿宋" w:eastAsia="仿宋" w:cs="仿宋"/>
        </w:rPr>
        <w:t>若有国家标准或行业标准的产品，被检产品明示的质量要求缺少本方案中检验项目依据的推荐性标准要求时，该项目不参与判定，但应在检验报告备注中进行说明。</w:t>
      </w:r>
    </w:p>
    <w:p>
      <w:pPr>
        <w:spacing w:line="360" w:lineRule="auto"/>
        <w:ind w:firstLine="560"/>
        <w:rPr>
          <w:rFonts w:hint="eastAsia" w:ascii="仿宋" w:hAnsi="仿宋" w:eastAsia="仿宋" w:cs="仿宋"/>
        </w:rPr>
      </w:pPr>
      <w:r>
        <w:rPr>
          <w:rFonts w:hint="eastAsia" w:ascii="仿宋" w:hAnsi="仿宋" w:eastAsia="仿宋" w:cs="仿宋"/>
        </w:rPr>
        <w:t xml:space="preserve">若没有国家标准或行业标准的产品，强制性检验项目按被检产品相应国家或行业强制性标准要求进行检验并判定，推荐性检验项目按被检产品执行的企业标准或明示的质量要求进行检验并判定，企业标准或明示的质量要求没有规定的推荐性检验项目不检。 </w:t>
      </w:r>
    </w:p>
    <w:p>
      <w:pPr>
        <w:spacing w:line="360" w:lineRule="auto"/>
        <w:ind w:firstLine="560"/>
        <w:rPr>
          <w:rFonts w:hint="eastAsia" w:ascii="仿宋" w:hAnsi="仿宋" w:eastAsia="仿宋" w:cs="仿宋"/>
          <w:bCs/>
        </w:rPr>
      </w:pPr>
      <w:r>
        <w:rPr>
          <w:rFonts w:hint="eastAsia" w:ascii="仿宋" w:hAnsi="仿宋" w:eastAsia="仿宋" w:cs="仿宋"/>
          <w:bCs/>
        </w:rPr>
        <w:t>6.3.2样品保存与流转</w:t>
      </w:r>
      <w:bookmarkStart w:id="0" w:name="_GoBack"/>
      <w:bookmarkEnd w:id="0"/>
    </w:p>
    <w:p>
      <w:pPr>
        <w:spacing w:line="360" w:lineRule="auto"/>
        <w:ind w:firstLine="560"/>
        <w:rPr>
          <w:rFonts w:hint="eastAsia" w:ascii="仿宋" w:hAnsi="仿宋" w:eastAsia="仿宋" w:cs="仿宋"/>
        </w:rPr>
      </w:pPr>
      <w:r>
        <w:rPr>
          <w:rFonts w:hint="eastAsia" w:ascii="仿宋" w:hAnsi="仿宋" w:eastAsia="仿宋" w:cs="仿宋"/>
        </w:rPr>
        <w:t>检验用样品应在最短的时间内由抽样人员带回检验机构，并按样品的储藏要求保存。</w:t>
      </w:r>
    </w:p>
    <w:p>
      <w:pPr>
        <w:spacing w:line="360" w:lineRule="auto"/>
        <w:ind w:firstLine="560"/>
        <w:rPr>
          <w:rFonts w:hint="eastAsia" w:ascii="仿宋" w:hAnsi="仿宋" w:eastAsia="仿宋" w:cs="仿宋"/>
        </w:rPr>
      </w:pPr>
      <w:r>
        <w:rPr>
          <w:rFonts w:hint="eastAsia" w:ascii="仿宋" w:hAnsi="仿宋" w:eastAsia="仿宋" w:cs="仿宋"/>
        </w:rPr>
        <w:t>检验机构接收样品应当有专人负责检查、记录样品的外观、状态、封条有无破损及其他可能对检测结果或者综合判定产生影响的情况，并确认样品与抽样单的记录是否相符，对检测样品加贴相应标识后入库。</w:t>
      </w:r>
    </w:p>
    <w:p>
      <w:pPr>
        <w:spacing w:line="360" w:lineRule="auto"/>
        <w:ind w:firstLine="560"/>
        <w:rPr>
          <w:rFonts w:hint="eastAsia" w:ascii="仿宋" w:hAnsi="仿宋" w:eastAsia="仿宋" w:cs="仿宋"/>
          <w:b/>
          <w:bCs w:val="0"/>
        </w:rPr>
      </w:pPr>
      <w:r>
        <w:rPr>
          <w:rFonts w:hint="eastAsia" w:ascii="仿宋" w:hAnsi="仿宋" w:eastAsia="仿宋" w:cs="仿宋"/>
          <w:b/>
          <w:bCs w:val="0"/>
        </w:rPr>
        <w:t>7 判定原则</w:t>
      </w:r>
    </w:p>
    <w:p>
      <w:pPr>
        <w:spacing w:beforeLines="50" w:afterLines="50" w:line="360" w:lineRule="auto"/>
        <w:ind w:firstLine="560"/>
        <w:rPr>
          <w:rFonts w:hint="eastAsia" w:ascii="仿宋" w:hAnsi="仿宋" w:eastAsia="仿宋" w:cs="仿宋"/>
        </w:rPr>
      </w:pPr>
      <w:r>
        <w:rPr>
          <w:rFonts w:hint="eastAsia" w:ascii="仿宋" w:hAnsi="仿宋" w:eastAsia="仿宋" w:cs="仿宋"/>
        </w:rPr>
        <w:t>经检验，检验项目全部合格，判定为被抽查产品所检项目未发现不合格；检验项目中任一项或一项以上不合格，判定为被抽查产品不合格。</w:t>
      </w:r>
    </w:p>
    <w:p>
      <w:pPr>
        <w:spacing w:beforeLines="50" w:afterLines="50" w:line="360" w:lineRule="auto"/>
        <w:ind w:firstLine="560"/>
        <w:rPr>
          <w:rFonts w:hint="eastAsia" w:ascii="仿宋" w:hAnsi="仿宋" w:eastAsia="仿宋" w:cs="仿宋"/>
          <w:b/>
          <w:bCs w:val="0"/>
        </w:rPr>
      </w:pPr>
      <w:r>
        <w:rPr>
          <w:rFonts w:hint="eastAsia" w:ascii="仿宋" w:hAnsi="仿宋" w:eastAsia="仿宋" w:cs="仿宋"/>
          <w:b/>
          <w:bCs w:val="0"/>
        </w:rPr>
        <w:t>8 异议处理</w:t>
      </w:r>
    </w:p>
    <w:p>
      <w:pPr>
        <w:spacing w:line="360" w:lineRule="auto"/>
        <w:ind w:firstLine="560"/>
        <w:rPr>
          <w:rFonts w:hint="eastAsia" w:ascii="仿宋" w:hAnsi="仿宋" w:eastAsia="仿宋" w:cs="仿宋"/>
        </w:rPr>
      </w:pPr>
      <w:r>
        <w:rPr>
          <w:rFonts w:hint="eastAsia" w:ascii="仿宋" w:hAnsi="仿宋" w:eastAsia="仿宋" w:cs="仿宋"/>
        </w:rPr>
        <w:t>对被判定不合格产品进行异议处理时，按以下方式进行：</w:t>
      </w:r>
    </w:p>
    <w:p>
      <w:pPr>
        <w:spacing w:line="360" w:lineRule="auto"/>
        <w:ind w:firstLine="560"/>
        <w:rPr>
          <w:rFonts w:hint="eastAsia" w:ascii="仿宋" w:hAnsi="仿宋" w:eastAsia="仿宋" w:cs="仿宋"/>
        </w:rPr>
      </w:pPr>
      <w:r>
        <w:rPr>
          <w:rFonts w:hint="eastAsia" w:ascii="仿宋" w:hAnsi="仿宋" w:eastAsia="仿宋" w:cs="仿宋"/>
        </w:rPr>
        <w:t>8.1核查不合格项目相关证据、能够以记录（纸质记录或电子记录或影像记录）或与不合格项目相关联的其它质量数据等检验证据证明。</w:t>
      </w:r>
    </w:p>
    <w:p>
      <w:pPr>
        <w:spacing w:line="360" w:lineRule="auto"/>
        <w:ind w:firstLine="560"/>
        <w:rPr>
          <w:rFonts w:hint="eastAsia" w:ascii="仿宋" w:hAnsi="仿宋" w:eastAsia="仿宋" w:cs="仿宋"/>
        </w:rPr>
      </w:pPr>
      <w:r>
        <w:rPr>
          <w:rFonts w:hint="eastAsia" w:ascii="仿宋" w:hAnsi="仿宋" w:eastAsia="仿宋" w:cs="仿宋"/>
        </w:rPr>
        <w:t>8.2对需要复检并具备检验条件的，处理企业异议的市场监督管理部门或者指定检验机构应当按原监督抽查方案对留存的备用样品组织复检，并出具检验报告。复检结论为最终结论。</w:t>
      </w:r>
    </w:p>
    <w:p>
      <w:pPr>
        <w:snapToGrid w:val="0"/>
        <w:spacing w:line="360" w:lineRule="auto"/>
        <w:ind w:firstLine="551" w:firstLineChars="196"/>
        <w:rPr>
          <w:rFonts w:hint="eastAsia" w:ascii="仿宋" w:hAnsi="仿宋" w:eastAsia="仿宋" w:cs="仿宋"/>
          <w:b/>
          <w:szCs w:val="28"/>
        </w:rPr>
      </w:pPr>
      <w:r>
        <w:rPr>
          <w:rFonts w:hint="eastAsia" w:ascii="仿宋" w:hAnsi="仿宋" w:eastAsia="仿宋" w:cs="仿宋"/>
          <w:b/>
          <w:szCs w:val="28"/>
        </w:rPr>
        <w:t>9附则</w:t>
      </w:r>
    </w:p>
    <w:p>
      <w:pPr>
        <w:adjustRightInd w:val="0"/>
        <w:snapToGrid w:val="0"/>
        <w:spacing w:line="360" w:lineRule="auto"/>
        <w:ind w:firstLine="560"/>
        <w:jc w:val="left"/>
        <w:rPr>
          <w:rFonts w:hint="eastAsia" w:ascii="仿宋" w:hAnsi="仿宋" w:eastAsia="仿宋" w:cs="仿宋"/>
          <w:szCs w:val="28"/>
        </w:rPr>
      </w:pPr>
      <w:r>
        <w:rPr>
          <w:rFonts w:hint="eastAsia" w:ascii="仿宋" w:hAnsi="仿宋" w:eastAsia="仿宋" w:cs="仿宋"/>
          <w:szCs w:val="28"/>
        </w:rPr>
        <w:t>本细则编写单位:大连产品质量检验检测研究院有限公司。</w:t>
      </w:r>
    </w:p>
    <w:p>
      <w:pPr>
        <w:adjustRightInd w:val="0"/>
        <w:snapToGrid w:val="0"/>
        <w:spacing w:line="360" w:lineRule="auto"/>
        <w:ind w:firstLine="560"/>
        <w:jc w:val="left"/>
        <w:rPr>
          <w:rFonts w:hint="eastAsia" w:ascii="仿宋" w:hAnsi="仿宋" w:eastAsia="仿宋" w:cs="仿宋"/>
          <w:szCs w:val="28"/>
        </w:rPr>
      </w:pPr>
      <w:r>
        <w:rPr>
          <w:rFonts w:hint="eastAsia" w:ascii="仿宋" w:hAnsi="仿宋" w:eastAsia="仿宋" w:cs="仿宋"/>
          <w:szCs w:val="28"/>
        </w:rPr>
        <w:t>本细则由盘锦市市场监督管理局管理。</w:t>
      </w:r>
    </w:p>
    <w:p>
      <w:pPr>
        <w:spacing w:line="594" w:lineRule="atLeast"/>
        <w:ind w:firstLine="40"/>
        <w:rPr>
          <w:rFonts w:ascii="仿宋_GB2312" w:eastAsia="仿宋_GB2312"/>
          <w:sz w:val="2"/>
          <w:szCs w:val="2"/>
        </w:rPr>
      </w:pPr>
    </w:p>
    <w:sectPr>
      <w:headerReference r:id="rId7" w:type="first"/>
      <w:footerReference r:id="rId10" w:type="first"/>
      <w:headerReference r:id="rId5" w:type="default"/>
      <w:footerReference r:id="rId8" w:type="default"/>
      <w:headerReference r:id="rId6" w:type="even"/>
      <w:footerReference r:id="rId9" w:type="even"/>
      <w:pgSz w:w="11850" w:h="16783"/>
      <w:pgMar w:top="1440" w:right="1440" w:bottom="1440" w:left="1440" w:header="567" w:footer="839" w:gutter="0"/>
      <w:pgNumType w:fmt="numberInDash"/>
      <w:cols w:space="0" w:num="1"/>
      <w:titlePg/>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37682"/>
    </w:sdtPr>
    <w:sdtContent>
      <w:p>
        <w:pPr>
          <w:pStyle w:val="10"/>
          <w:ind w:firstLine="360"/>
          <w:jc w:val="center"/>
        </w:pPr>
        <w:r>
          <w:rPr>
            <w:rFonts w:ascii="宋体" w:hAnsi="宋体" w:eastAsia="宋体"/>
            <w:sz w:val="21"/>
            <w:szCs w:val="21"/>
          </w:rPr>
          <w:fldChar w:fldCharType="begin"/>
        </w:r>
        <w:r>
          <w:rPr>
            <w:rFonts w:ascii="宋体" w:hAnsi="宋体" w:eastAsia="宋体"/>
            <w:sz w:val="21"/>
            <w:szCs w:val="21"/>
          </w:rPr>
          <w:instrText xml:space="preserve"> PAGE   \* MERGEFORMAT </w:instrText>
        </w:r>
        <w:r>
          <w:rPr>
            <w:rFonts w:ascii="宋体" w:hAnsi="宋体" w:eastAsia="宋体"/>
            <w:sz w:val="21"/>
            <w:szCs w:val="21"/>
          </w:rPr>
          <w:fldChar w:fldCharType="separate"/>
        </w:r>
        <w:r>
          <w:rPr>
            <w:rFonts w:ascii="宋体" w:hAnsi="宋体" w:eastAsia="宋体"/>
            <w:sz w:val="21"/>
            <w:szCs w:val="21"/>
            <w:lang w:val="zh-CN"/>
          </w:rPr>
          <w:t>-</w:t>
        </w:r>
        <w:r>
          <w:rPr>
            <w:rFonts w:ascii="宋体" w:hAnsi="宋体" w:eastAsia="宋体"/>
            <w:sz w:val="21"/>
            <w:szCs w:val="21"/>
          </w:rPr>
          <w:t xml:space="preserve"> 2 -</w:t>
        </w:r>
        <w:r>
          <w:rPr>
            <w:rFonts w:ascii="宋体" w:hAnsi="宋体" w:eastAsia="宋体"/>
            <w:sz w:val="21"/>
            <w:szCs w:val="21"/>
          </w:rPr>
          <w:fldChar w:fldCharType="end"/>
        </w:r>
      </w:p>
    </w:sdtContent>
  </w:sdt>
  <w:p>
    <w:pPr>
      <w:pStyle w:val="10"/>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37683"/>
    </w:sdtPr>
    <w:sdtEndPr>
      <w:rPr>
        <w:rFonts w:ascii="宋体" w:hAnsi="宋体" w:eastAsia="宋体"/>
        <w:sz w:val="21"/>
        <w:szCs w:val="21"/>
      </w:rPr>
    </w:sdtEndPr>
    <w:sdtContent>
      <w:p>
        <w:pPr>
          <w:pStyle w:val="10"/>
          <w:ind w:firstLine="360"/>
          <w:jc w:val="center"/>
        </w:pPr>
        <w:r>
          <w:rPr>
            <w:rFonts w:ascii="宋体" w:hAnsi="宋体" w:eastAsia="宋体"/>
            <w:sz w:val="21"/>
            <w:szCs w:val="21"/>
          </w:rPr>
          <w:fldChar w:fldCharType="begin"/>
        </w:r>
        <w:r>
          <w:rPr>
            <w:rFonts w:ascii="宋体" w:hAnsi="宋体" w:eastAsia="宋体"/>
            <w:sz w:val="21"/>
            <w:szCs w:val="21"/>
          </w:rPr>
          <w:instrText xml:space="preserve"> PAGE   \* MERGEFORMAT </w:instrText>
        </w:r>
        <w:r>
          <w:rPr>
            <w:rFonts w:ascii="宋体" w:hAnsi="宋体" w:eastAsia="宋体"/>
            <w:sz w:val="21"/>
            <w:szCs w:val="21"/>
          </w:rPr>
          <w:fldChar w:fldCharType="separate"/>
        </w:r>
        <w:r>
          <w:rPr>
            <w:rFonts w:ascii="宋体" w:hAnsi="宋体" w:eastAsia="宋体"/>
            <w:sz w:val="21"/>
            <w:szCs w:val="21"/>
            <w:lang w:val="zh-CN"/>
          </w:rPr>
          <w:t>-</w:t>
        </w:r>
        <w:r>
          <w:rPr>
            <w:rFonts w:ascii="宋体" w:hAnsi="宋体" w:eastAsia="宋体"/>
            <w:sz w:val="21"/>
            <w:szCs w:val="21"/>
          </w:rPr>
          <w:t xml:space="preserve"> 1 -</w:t>
        </w:r>
        <w:r>
          <w:rPr>
            <w:rFonts w:ascii="宋体" w:hAnsi="宋体" w:eastAsia="宋体"/>
            <w:sz w:val="21"/>
            <w:szCs w:val="21"/>
          </w:rPr>
          <w:fldChar w:fldCharType="end"/>
        </w:r>
      </w:p>
    </w:sdtContent>
  </w:sdt>
  <w:p>
    <w:pPr>
      <w:pStyle w:val="10"/>
      <w:ind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B55DC2"/>
    <w:multiLevelType w:val="multilevel"/>
    <w:tmpl w:val="60B55DC2"/>
    <w:lvl w:ilvl="0" w:tentative="0">
      <w:start w:val="1"/>
      <w:numFmt w:val="upperLetter"/>
      <w:pStyle w:val="22"/>
      <w:lvlText w:val="%1"/>
      <w:lvlJc w:val="left"/>
      <w:pPr>
        <w:tabs>
          <w:tab w:val="left" w:pos="0"/>
        </w:tabs>
        <w:ind w:left="0" w:hanging="425"/>
      </w:pPr>
      <w:rPr>
        <w:rFonts w:hint="eastAsia"/>
      </w:rPr>
    </w:lvl>
    <w:lvl w:ilvl="1" w:tentative="0">
      <w:start w:val="1"/>
      <w:numFmt w:val="decimal"/>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
    <w:nsid w:val="657D3FBC"/>
    <w:multiLevelType w:val="multilevel"/>
    <w:tmpl w:val="657D3FBC"/>
    <w:lvl w:ilvl="0" w:tentative="0">
      <w:start w:val="1"/>
      <w:numFmt w:val="upperLetter"/>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1"/>
      <w:suff w:val="nothing"/>
      <w:lvlText w:val="%1.%2　"/>
      <w:lvlJc w:val="left"/>
      <w:pPr>
        <w:ind w:left="315"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84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lkY2M1N2QxMjRjZTE0YjgwMTg4N2E1ZmUyNzU5ZDYifQ=="/>
    <w:docVar w:name="KSO_WPS_MARK_KEY" w:val="6483bbb0-f163-41b3-9c8b-829ecc606753"/>
  </w:docVars>
  <w:rsids>
    <w:rsidRoot w:val="00415EBB"/>
    <w:rsid w:val="00002021"/>
    <w:rsid w:val="000027AA"/>
    <w:rsid w:val="00007A98"/>
    <w:rsid w:val="00022F8A"/>
    <w:rsid w:val="00026EE4"/>
    <w:rsid w:val="0006613D"/>
    <w:rsid w:val="0006737B"/>
    <w:rsid w:val="00085263"/>
    <w:rsid w:val="000B7B03"/>
    <w:rsid w:val="000D101B"/>
    <w:rsid w:val="000E3B83"/>
    <w:rsid w:val="000E4F75"/>
    <w:rsid w:val="000F6485"/>
    <w:rsid w:val="00117D7B"/>
    <w:rsid w:val="00122DFF"/>
    <w:rsid w:val="0012403C"/>
    <w:rsid w:val="001412B0"/>
    <w:rsid w:val="00146DF9"/>
    <w:rsid w:val="0015262F"/>
    <w:rsid w:val="001634AA"/>
    <w:rsid w:val="00167803"/>
    <w:rsid w:val="001B67D1"/>
    <w:rsid w:val="001C68F5"/>
    <w:rsid w:val="001D7336"/>
    <w:rsid w:val="001F4AD7"/>
    <w:rsid w:val="00202853"/>
    <w:rsid w:val="002404EE"/>
    <w:rsid w:val="0024101D"/>
    <w:rsid w:val="002624DA"/>
    <w:rsid w:val="002A1985"/>
    <w:rsid w:val="002A5FE6"/>
    <w:rsid w:val="002F3055"/>
    <w:rsid w:val="0030242A"/>
    <w:rsid w:val="003166C4"/>
    <w:rsid w:val="00365BD6"/>
    <w:rsid w:val="003765AD"/>
    <w:rsid w:val="003A4A5B"/>
    <w:rsid w:val="003C06BB"/>
    <w:rsid w:val="003C3C1B"/>
    <w:rsid w:val="003D4DAA"/>
    <w:rsid w:val="003F3249"/>
    <w:rsid w:val="003F6AEB"/>
    <w:rsid w:val="00407437"/>
    <w:rsid w:val="00415EBB"/>
    <w:rsid w:val="00422C0B"/>
    <w:rsid w:val="00450AE8"/>
    <w:rsid w:val="004668E3"/>
    <w:rsid w:val="00466E1E"/>
    <w:rsid w:val="00476BF6"/>
    <w:rsid w:val="004A060D"/>
    <w:rsid w:val="00521D0E"/>
    <w:rsid w:val="0052480A"/>
    <w:rsid w:val="00530777"/>
    <w:rsid w:val="00552D65"/>
    <w:rsid w:val="0057266B"/>
    <w:rsid w:val="00597FFC"/>
    <w:rsid w:val="005A4A4D"/>
    <w:rsid w:val="005D4F56"/>
    <w:rsid w:val="005E7BE8"/>
    <w:rsid w:val="00600EFC"/>
    <w:rsid w:val="0060589C"/>
    <w:rsid w:val="006069AB"/>
    <w:rsid w:val="00615FEB"/>
    <w:rsid w:val="006216C4"/>
    <w:rsid w:val="006259F8"/>
    <w:rsid w:val="00644F3C"/>
    <w:rsid w:val="00655AB2"/>
    <w:rsid w:val="00672932"/>
    <w:rsid w:val="00676172"/>
    <w:rsid w:val="006933E1"/>
    <w:rsid w:val="006A1B1C"/>
    <w:rsid w:val="006A2614"/>
    <w:rsid w:val="006A7B06"/>
    <w:rsid w:val="006C335D"/>
    <w:rsid w:val="006C52FA"/>
    <w:rsid w:val="006D424C"/>
    <w:rsid w:val="006D7F67"/>
    <w:rsid w:val="006F0530"/>
    <w:rsid w:val="006F31D1"/>
    <w:rsid w:val="007060A4"/>
    <w:rsid w:val="0071102B"/>
    <w:rsid w:val="00712A31"/>
    <w:rsid w:val="007310F3"/>
    <w:rsid w:val="00751612"/>
    <w:rsid w:val="0075380D"/>
    <w:rsid w:val="007709DB"/>
    <w:rsid w:val="007739C7"/>
    <w:rsid w:val="00785434"/>
    <w:rsid w:val="007A6019"/>
    <w:rsid w:val="007C3F7E"/>
    <w:rsid w:val="007D2234"/>
    <w:rsid w:val="00800B21"/>
    <w:rsid w:val="0081788D"/>
    <w:rsid w:val="00845AD4"/>
    <w:rsid w:val="008605E9"/>
    <w:rsid w:val="00897327"/>
    <w:rsid w:val="008B54B6"/>
    <w:rsid w:val="008C167A"/>
    <w:rsid w:val="008F4B43"/>
    <w:rsid w:val="00907A62"/>
    <w:rsid w:val="0092008E"/>
    <w:rsid w:val="009246D0"/>
    <w:rsid w:val="00930B55"/>
    <w:rsid w:val="00937B0B"/>
    <w:rsid w:val="00945A06"/>
    <w:rsid w:val="00960AE8"/>
    <w:rsid w:val="0096668D"/>
    <w:rsid w:val="00983E18"/>
    <w:rsid w:val="009A01AA"/>
    <w:rsid w:val="009A39BB"/>
    <w:rsid w:val="009A4889"/>
    <w:rsid w:val="009B3E89"/>
    <w:rsid w:val="009B46EA"/>
    <w:rsid w:val="009D640F"/>
    <w:rsid w:val="009E1B56"/>
    <w:rsid w:val="009F0724"/>
    <w:rsid w:val="00A06A39"/>
    <w:rsid w:val="00A17BCB"/>
    <w:rsid w:val="00A31B18"/>
    <w:rsid w:val="00A368FD"/>
    <w:rsid w:val="00A4118F"/>
    <w:rsid w:val="00A54D6A"/>
    <w:rsid w:val="00A649ED"/>
    <w:rsid w:val="00A64E51"/>
    <w:rsid w:val="00A82B72"/>
    <w:rsid w:val="00A93B5B"/>
    <w:rsid w:val="00AB0485"/>
    <w:rsid w:val="00AC3BFF"/>
    <w:rsid w:val="00AD41A3"/>
    <w:rsid w:val="00B2592C"/>
    <w:rsid w:val="00B673AA"/>
    <w:rsid w:val="00B8094D"/>
    <w:rsid w:val="00B82DD5"/>
    <w:rsid w:val="00B937C9"/>
    <w:rsid w:val="00B93FED"/>
    <w:rsid w:val="00B947C1"/>
    <w:rsid w:val="00BB7C4B"/>
    <w:rsid w:val="00BD093D"/>
    <w:rsid w:val="00C0447B"/>
    <w:rsid w:val="00C05370"/>
    <w:rsid w:val="00C07405"/>
    <w:rsid w:val="00C1117E"/>
    <w:rsid w:val="00C1361F"/>
    <w:rsid w:val="00C50390"/>
    <w:rsid w:val="00C67A4B"/>
    <w:rsid w:val="00CC683A"/>
    <w:rsid w:val="00CE122B"/>
    <w:rsid w:val="00CF22CB"/>
    <w:rsid w:val="00CF73CF"/>
    <w:rsid w:val="00D07FD6"/>
    <w:rsid w:val="00D15B63"/>
    <w:rsid w:val="00D23949"/>
    <w:rsid w:val="00D2417B"/>
    <w:rsid w:val="00D253F7"/>
    <w:rsid w:val="00D37405"/>
    <w:rsid w:val="00D77096"/>
    <w:rsid w:val="00D87686"/>
    <w:rsid w:val="00D9447D"/>
    <w:rsid w:val="00DA01B1"/>
    <w:rsid w:val="00DB218A"/>
    <w:rsid w:val="00DC30D4"/>
    <w:rsid w:val="00DE4B77"/>
    <w:rsid w:val="00DE7F82"/>
    <w:rsid w:val="00E06DB6"/>
    <w:rsid w:val="00E24F05"/>
    <w:rsid w:val="00E25D11"/>
    <w:rsid w:val="00E379B0"/>
    <w:rsid w:val="00E4179E"/>
    <w:rsid w:val="00E42D5C"/>
    <w:rsid w:val="00E91047"/>
    <w:rsid w:val="00EA0924"/>
    <w:rsid w:val="00EB3761"/>
    <w:rsid w:val="00ED77F3"/>
    <w:rsid w:val="00EE03BE"/>
    <w:rsid w:val="00EE0845"/>
    <w:rsid w:val="00F8715D"/>
    <w:rsid w:val="00F92D3B"/>
    <w:rsid w:val="00FA0E5C"/>
    <w:rsid w:val="00FA7308"/>
    <w:rsid w:val="00FB7E6C"/>
    <w:rsid w:val="00FD0A0C"/>
    <w:rsid w:val="00FF030C"/>
    <w:rsid w:val="016F0300"/>
    <w:rsid w:val="018D1F29"/>
    <w:rsid w:val="021C29D5"/>
    <w:rsid w:val="0470696B"/>
    <w:rsid w:val="077D68F9"/>
    <w:rsid w:val="07C33365"/>
    <w:rsid w:val="09AF04D2"/>
    <w:rsid w:val="0C7D6BD4"/>
    <w:rsid w:val="0D7E2469"/>
    <w:rsid w:val="0E0D4273"/>
    <w:rsid w:val="0F591067"/>
    <w:rsid w:val="104077C2"/>
    <w:rsid w:val="10A26D85"/>
    <w:rsid w:val="10B238A3"/>
    <w:rsid w:val="1194542C"/>
    <w:rsid w:val="16981F2D"/>
    <w:rsid w:val="173155CC"/>
    <w:rsid w:val="17D50222"/>
    <w:rsid w:val="191676FF"/>
    <w:rsid w:val="1B987C9E"/>
    <w:rsid w:val="1BE8040F"/>
    <w:rsid w:val="1F012E8D"/>
    <w:rsid w:val="20916C4E"/>
    <w:rsid w:val="20F52771"/>
    <w:rsid w:val="214F0FD5"/>
    <w:rsid w:val="224F2DB4"/>
    <w:rsid w:val="226F571B"/>
    <w:rsid w:val="22815104"/>
    <w:rsid w:val="23461A98"/>
    <w:rsid w:val="279F4A4F"/>
    <w:rsid w:val="28B815CE"/>
    <w:rsid w:val="28DC737B"/>
    <w:rsid w:val="290E1394"/>
    <w:rsid w:val="29713395"/>
    <w:rsid w:val="29EA56F7"/>
    <w:rsid w:val="2A864AEA"/>
    <w:rsid w:val="2F8E7381"/>
    <w:rsid w:val="2FCA4C8D"/>
    <w:rsid w:val="2FE7562F"/>
    <w:rsid w:val="30C115A7"/>
    <w:rsid w:val="31180DD1"/>
    <w:rsid w:val="33E53B4E"/>
    <w:rsid w:val="34BD099D"/>
    <w:rsid w:val="350F2CA1"/>
    <w:rsid w:val="361F6CFB"/>
    <w:rsid w:val="3738304C"/>
    <w:rsid w:val="398F53B0"/>
    <w:rsid w:val="39AA5069"/>
    <w:rsid w:val="3A085860"/>
    <w:rsid w:val="3BFF5586"/>
    <w:rsid w:val="3CAE095D"/>
    <w:rsid w:val="3D8653D9"/>
    <w:rsid w:val="3E356C09"/>
    <w:rsid w:val="40AC34A8"/>
    <w:rsid w:val="43480848"/>
    <w:rsid w:val="43716B89"/>
    <w:rsid w:val="45E24130"/>
    <w:rsid w:val="466D2A05"/>
    <w:rsid w:val="479718C0"/>
    <w:rsid w:val="4AF15F5B"/>
    <w:rsid w:val="4EAA6674"/>
    <w:rsid w:val="50CC2048"/>
    <w:rsid w:val="52BF7207"/>
    <w:rsid w:val="537D196B"/>
    <w:rsid w:val="53DC3F8B"/>
    <w:rsid w:val="56C831E3"/>
    <w:rsid w:val="56E14FFF"/>
    <w:rsid w:val="56E75134"/>
    <w:rsid w:val="56F753BA"/>
    <w:rsid w:val="573501B1"/>
    <w:rsid w:val="5B763052"/>
    <w:rsid w:val="5CB0682D"/>
    <w:rsid w:val="5F5F4B27"/>
    <w:rsid w:val="608B14B8"/>
    <w:rsid w:val="624E1E68"/>
    <w:rsid w:val="627B086B"/>
    <w:rsid w:val="64366D2D"/>
    <w:rsid w:val="64C81325"/>
    <w:rsid w:val="673B4595"/>
    <w:rsid w:val="678566AB"/>
    <w:rsid w:val="68522761"/>
    <w:rsid w:val="6A5B7785"/>
    <w:rsid w:val="6B997D9E"/>
    <w:rsid w:val="6BA42CFB"/>
    <w:rsid w:val="6C9A65E7"/>
    <w:rsid w:val="6DFF42A7"/>
    <w:rsid w:val="71307813"/>
    <w:rsid w:val="73DA7D82"/>
    <w:rsid w:val="74E40FDE"/>
    <w:rsid w:val="76CF0551"/>
    <w:rsid w:val="7F3D45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Calibri" w:hAnsi="Calibri" w:eastAsia="仿宋" w:cs="Times New Roman"/>
      <w:kern w:val="2"/>
      <w:sz w:val="28"/>
      <w:szCs w:val="21"/>
      <w:lang w:val="en-US" w:eastAsia="zh-CN" w:bidi="ar-SA"/>
    </w:rPr>
  </w:style>
  <w:style w:type="paragraph" w:styleId="2">
    <w:name w:val="heading 1"/>
    <w:basedOn w:val="1"/>
    <w:next w:val="1"/>
    <w:qFormat/>
    <w:uiPriority w:val="99"/>
    <w:pPr>
      <w:widowControl/>
      <w:spacing w:before="100" w:beforeAutospacing="1" w:after="100" w:afterAutospacing="1"/>
      <w:jc w:val="left"/>
      <w:outlineLvl w:val="0"/>
    </w:pPr>
    <w:rPr>
      <w:b/>
      <w:bCs/>
      <w:kern w:val="44"/>
      <w:sz w:val="44"/>
      <w:szCs w:val="44"/>
    </w:rPr>
  </w:style>
  <w:style w:type="paragraph" w:styleId="3">
    <w:name w:val="heading 2"/>
    <w:basedOn w:val="1"/>
    <w:next w:val="1"/>
    <w:qFormat/>
    <w:uiPriority w:val="99"/>
    <w:pPr>
      <w:widowControl/>
      <w:spacing w:before="100" w:beforeAutospacing="1" w:after="100" w:afterAutospacing="1"/>
      <w:jc w:val="left"/>
      <w:outlineLvl w:val="1"/>
    </w:pPr>
    <w:rPr>
      <w:rFonts w:ascii="Cambria" w:hAnsi="Cambria"/>
      <w:b/>
      <w:bCs/>
      <w:sz w:val="32"/>
      <w:szCs w:val="32"/>
    </w:rPr>
  </w:style>
  <w:style w:type="paragraph" w:styleId="4">
    <w:name w:val="heading 3"/>
    <w:basedOn w:val="1"/>
    <w:next w:val="1"/>
    <w:link w:val="19"/>
    <w:qFormat/>
    <w:uiPriority w:val="99"/>
    <w:pPr>
      <w:keepNext/>
      <w:keepLines/>
      <w:spacing w:before="260" w:after="260" w:line="408"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Body Text"/>
    <w:basedOn w:val="1"/>
    <w:unhideWhenUsed/>
    <w:qFormat/>
    <w:uiPriority w:val="99"/>
    <w:pPr>
      <w:spacing w:after="120"/>
    </w:pPr>
  </w:style>
  <w:style w:type="paragraph" w:styleId="6">
    <w:name w:val="toc 3"/>
    <w:basedOn w:val="1"/>
    <w:next w:val="1"/>
    <w:qFormat/>
    <w:uiPriority w:val="0"/>
    <w:pPr>
      <w:ind w:left="840" w:leftChars="400"/>
    </w:pPr>
  </w:style>
  <w:style w:type="paragraph" w:styleId="7">
    <w:name w:val="Plain Text"/>
    <w:basedOn w:val="1"/>
    <w:qFormat/>
    <w:uiPriority w:val="99"/>
    <w:rPr>
      <w:rFonts w:ascii="宋体" w:hAnsi="Courier New"/>
    </w:rPr>
  </w:style>
  <w:style w:type="paragraph" w:styleId="8">
    <w:name w:val="Date"/>
    <w:basedOn w:val="1"/>
    <w:next w:val="1"/>
    <w:link w:val="29"/>
    <w:qFormat/>
    <w:uiPriority w:val="0"/>
    <w:pPr>
      <w:ind w:left="100" w:leftChars="2500"/>
    </w:pPr>
  </w:style>
  <w:style w:type="paragraph" w:styleId="9">
    <w:name w:val="Balloon Text"/>
    <w:basedOn w:val="1"/>
    <w:qFormat/>
    <w:uiPriority w:val="99"/>
    <w:rPr>
      <w:sz w:val="18"/>
      <w:szCs w:val="18"/>
    </w:rPr>
  </w:style>
  <w:style w:type="paragraph" w:styleId="10">
    <w:name w:val="footer"/>
    <w:basedOn w:val="1"/>
    <w:link w:val="28"/>
    <w:qFormat/>
    <w:uiPriority w:val="99"/>
    <w:pPr>
      <w:snapToGrid w:val="0"/>
      <w:jc w:val="left"/>
    </w:pPr>
    <w:rPr>
      <w:sz w:val="18"/>
      <w:szCs w:val="18"/>
    </w:rPr>
  </w:style>
  <w:style w:type="paragraph" w:styleId="11">
    <w:name w:val="header"/>
    <w:basedOn w:val="1"/>
    <w:qFormat/>
    <w:uiPriority w:val="99"/>
    <w:pPr>
      <w:pBdr>
        <w:bottom w:val="single" w:color="auto" w:sz="6" w:space="1"/>
      </w:pBdr>
      <w:snapToGrid w:val="0"/>
      <w:jc w:val="center"/>
    </w:pPr>
    <w:rPr>
      <w:sz w:val="18"/>
      <w:szCs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16">
    <w:name w:val="Table Grid"/>
    <w:basedOn w:val="1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18">
    <w:name w:val="Table Paragraph"/>
    <w:basedOn w:val="1"/>
    <w:qFormat/>
    <w:uiPriority w:val="1"/>
    <w:pPr>
      <w:autoSpaceDE w:val="0"/>
      <w:autoSpaceDN w:val="0"/>
      <w:jc w:val="left"/>
    </w:pPr>
    <w:rPr>
      <w:rFonts w:ascii="宋体" w:hAnsi="宋体" w:cs="宋体"/>
      <w:kern w:val="0"/>
      <w:sz w:val="22"/>
      <w:szCs w:val="22"/>
      <w:lang w:val="zh-CN" w:bidi="zh-CN"/>
    </w:rPr>
  </w:style>
  <w:style w:type="character" w:customStyle="1" w:styleId="19">
    <w:name w:val="标题 3 Char"/>
    <w:link w:val="4"/>
    <w:qFormat/>
    <w:locked/>
    <w:uiPriority w:val="99"/>
    <w:rPr>
      <w:b/>
      <w:bCs/>
      <w:sz w:val="32"/>
      <w:szCs w:val="32"/>
    </w:rPr>
  </w:style>
  <w:style w:type="paragraph" w:styleId="20">
    <w:name w:val="List Paragraph"/>
    <w:basedOn w:val="1"/>
    <w:qFormat/>
    <w:uiPriority w:val="1"/>
    <w:pPr>
      <w:autoSpaceDE w:val="0"/>
      <w:autoSpaceDN w:val="0"/>
      <w:ind w:left="198"/>
      <w:jc w:val="left"/>
    </w:pPr>
    <w:rPr>
      <w:rFonts w:ascii="宋体" w:hAnsi="宋体" w:cs="宋体"/>
      <w:kern w:val="0"/>
      <w:sz w:val="22"/>
      <w:szCs w:val="22"/>
      <w:lang w:val="zh-CN" w:bidi="zh-CN"/>
    </w:rPr>
  </w:style>
  <w:style w:type="paragraph" w:customStyle="1" w:styleId="21">
    <w:name w:val="附录章标题"/>
    <w:next w:val="1"/>
    <w:qFormat/>
    <w:uiPriority w:val="0"/>
    <w:pPr>
      <w:numPr>
        <w:ilvl w:val="1"/>
        <w:numId w:val="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2">
    <w:name w:val="附录表标号"/>
    <w:basedOn w:val="1"/>
    <w:next w:val="1"/>
    <w:qFormat/>
    <w:uiPriority w:val="0"/>
    <w:pPr>
      <w:numPr>
        <w:ilvl w:val="0"/>
        <w:numId w:val="2"/>
      </w:numPr>
      <w:spacing w:line="14" w:lineRule="exact"/>
      <w:ind w:left="811" w:hanging="448"/>
      <w:jc w:val="center"/>
      <w:outlineLvl w:val="0"/>
    </w:pPr>
    <w:rPr>
      <w:color w:val="FFFFFF"/>
    </w:rPr>
  </w:style>
  <w:style w:type="paragraph" w:customStyle="1" w:styleId="23">
    <w:name w:val="_Style 19"/>
    <w:basedOn w:val="1"/>
    <w:next w:val="7"/>
    <w:qFormat/>
    <w:uiPriority w:val="0"/>
    <w:rPr>
      <w:rFonts w:ascii="宋体" w:hAnsi="Courier New"/>
      <w:sz w:val="21"/>
      <w:szCs w:val="20"/>
    </w:rPr>
  </w:style>
  <w:style w:type="paragraph" w:customStyle="1" w:styleId="24">
    <w:name w:val="列出段落1"/>
    <w:basedOn w:val="1"/>
    <w:qFormat/>
    <w:uiPriority w:val="99"/>
    <w:pPr>
      <w:ind w:firstLine="420"/>
    </w:pPr>
    <w:rPr>
      <w:rFonts w:cs="Calibri"/>
    </w:rPr>
  </w:style>
  <w:style w:type="paragraph" w:customStyle="1" w:styleId="25">
    <w:name w:val="纯文本1"/>
    <w:basedOn w:val="1"/>
    <w:qFormat/>
    <w:uiPriority w:val="0"/>
    <w:pPr>
      <w:adjustRightInd w:val="0"/>
      <w:textAlignment w:val="baseline"/>
    </w:pPr>
    <w:rPr>
      <w:rFonts w:ascii="宋体" w:hAnsi="Courier New"/>
      <w:szCs w:val="20"/>
    </w:rPr>
  </w:style>
  <w:style w:type="character" w:customStyle="1" w:styleId="26">
    <w:name w:val="font11"/>
    <w:basedOn w:val="17"/>
    <w:qFormat/>
    <w:uiPriority w:val="0"/>
    <w:rPr>
      <w:rFonts w:hint="eastAsia" w:ascii="宋体" w:hAnsi="宋体" w:eastAsia="宋体" w:cs="宋体"/>
      <w:color w:val="000000"/>
      <w:sz w:val="18"/>
      <w:szCs w:val="18"/>
      <w:u w:val="none"/>
    </w:rPr>
  </w:style>
  <w:style w:type="character" w:customStyle="1" w:styleId="27">
    <w:name w:val="font01"/>
    <w:basedOn w:val="17"/>
    <w:qFormat/>
    <w:uiPriority w:val="0"/>
    <w:rPr>
      <w:rFonts w:hint="eastAsia" w:ascii="宋体" w:hAnsi="宋体" w:eastAsia="宋体" w:cs="宋体"/>
      <w:color w:val="000000"/>
      <w:sz w:val="20"/>
      <w:szCs w:val="20"/>
      <w:u w:val="none"/>
    </w:rPr>
  </w:style>
  <w:style w:type="character" w:customStyle="1" w:styleId="28">
    <w:name w:val="页脚 Char"/>
    <w:basedOn w:val="17"/>
    <w:link w:val="10"/>
    <w:qFormat/>
    <w:uiPriority w:val="99"/>
    <w:rPr>
      <w:rFonts w:ascii="Calibri" w:hAnsi="Calibri" w:eastAsia="仿宋" w:cs="Times New Roman"/>
      <w:kern w:val="2"/>
      <w:sz w:val="18"/>
      <w:szCs w:val="18"/>
    </w:rPr>
  </w:style>
  <w:style w:type="character" w:customStyle="1" w:styleId="29">
    <w:name w:val="日期 Char"/>
    <w:basedOn w:val="17"/>
    <w:link w:val="8"/>
    <w:qFormat/>
    <w:uiPriority w:val="0"/>
    <w:rPr>
      <w:rFonts w:ascii="Calibri" w:hAnsi="Calibri" w:eastAsia="仿宋" w:cs="Times New Roman"/>
      <w:kern w:val="2"/>
      <w:sz w:val="28"/>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C6808A-36A4-4AB1-B736-DF02FE5E2DCB}">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4121</Words>
  <Characters>4946</Characters>
  <Lines>39</Lines>
  <Paragraphs>10</Paragraphs>
  <TotalTime>3</TotalTime>
  <ScaleCrop>false</ScaleCrop>
  <LinksUpToDate>false</LinksUpToDate>
  <CharactersWithSpaces>5064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2023-02-13T06:07:00Z</dcterms:created>
  <dc:creator>Administrator.UHUS5R0AB9D74X7</dc:creator>
  <cp:lastModifiedBy>郑毅很正义ever</cp:lastModifiedBy>
  <cp:lastPrinted>2020-04-08T12:46:00Z</cp:lastPrinted>
  <dcterms:modified xsi:type="dcterms:W3CDTF">2024-11-06T08:29:55Z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80FA50DC5C9C45F89AE3947C89387DE6</vt:lpwstr>
  </property>
</Properties>
</file>