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退役军人</w:t>
      </w:r>
    </w:p>
    <w:p>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val="en-US" w:eastAsia="zh-CN"/>
        </w:rPr>
        <w:t>事务局</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盘锦市双台子区退役军人</w:t>
      </w:r>
      <w:bookmarkStart w:id="0" w:name="_GoBack"/>
      <w:bookmarkEnd w:id="0"/>
      <w:r>
        <w:rPr>
          <w:rFonts w:hint="eastAsia" w:ascii="黑体" w:hAnsi="黑体" w:eastAsia="黑体" w:cs="黑体"/>
          <w:spacing w:val="10"/>
          <w:sz w:val="31"/>
          <w:szCs w:val="31"/>
          <w:lang w:eastAsia="zh-CN"/>
        </w:rPr>
        <w:t>事务局</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hint="eastAsia" w:ascii="黑体" w:hAnsi="黑体" w:eastAsia="黑体" w:cs="黑体"/>
                <w:spacing w:val="10"/>
                <w:sz w:val="31"/>
                <w:szCs w:val="31"/>
                <w:lang w:val="en-US" w:eastAsia="zh-CN"/>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hint="eastAsia" w:ascii="黑体" w:hAnsi="黑体" w:eastAsia="黑体" w:cs="黑体"/>
                <w:spacing w:val="10"/>
                <w:sz w:val="31"/>
                <w:szCs w:val="31"/>
                <w:lang w:val="en-US" w:eastAsia="zh-CN"/>
              </w:rPr>
              <w:t>部门</w:t>
            </w:r>
          </w:p>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pacing w:val="11"/>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p>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pStyle w:val="2"/>
        <w:spacing w:before="44" w:line="222" w:lineRule="auto"/>
        <w:ind w:left="1324"/>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盘锦市双台子区退役军人事务局</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pPr>
        <w:numPr>
          <w:ilvl w:val="0"/>
          <w:numId w:val="0"/>
        </w:numPr>
        <w:spacing w:before="100" w:line="227" w:lineRule="auto"/>
        <w:outlineLvl w:val="4"/>
        <w:rPr>
          <w:rFonts w:ascii="黑体" w:hAnsi="黑体" w:eastAsia="黑体" w:cs="黑体"/>
          <w:spacing w:val="6"/>
          <w:sz w:val="31"/>
          <w:szCs w:val="31"/>
        </w:rPr>
      </w:pPr>
    </w:p>
    <w:p>
      <w:pPr>
        <w:spacing w:line="540" w:lineRule="exact"/>
        <w:ind w:left="640"/>
        <w:jc w:val="left"/>
        <w:rPr>
          <w:rFonts w:hint="eastAsia" w:ascii="仿宋" w:hAnsi="仿宋" w:eastAsia="仿宋" w:cs="仿宋"/>
          <w:sz w:val="32"/>
          <w:szCs w:val="32"/>
        </w:rPr>
      </w:pPr>
      <w:r>
        <w:rPr>
          <w:rFonts w:hint="eastAsia" w:ascii="仿宋" w:hAnsi="仿宋" w:eastAsia="仿宋" w:cs="仿宋"/>
          <w:sz w:val="32"/>
          <w:szCs w:val="32"/>
        </w:rPr>
        <w:t>区退役军人事务局</w:t>
      </w:r>
      <w:r>
        <w:rPr>
          <w:rFonts w:hint="eastAsia" w:ascii="仿宋" w:hAnsi="仿宋" w:eastAsia="仿宋" w:cs="仿宋"/>
          <w:sz w:val="32"/>
          <w:szCs w:val="32"/>
          <w:lang w:eastAsia="zh-CN"/>
        </w:rPr>
        <w:t>组建于</w:t>
      </w:r>
      <w:r>
        <w:rPr>
          <w:rFonts w:hint="eastAsia" w:ascii="仿宋" w:hAnsi="仿宋" w:eastAsia="仿宋" w:cs="仿宋"/>
          <w:sz w:val="32"/>
          <w:szCs w:val="32"/>
        </w:rPr>
        <w:t>2019年2月20日,成立综合办公室（含财务室）、双拥工作</w:t>
      </w:r>
      <w:r>
        <w:rPr>
          <w:rFonts w:hint="eastAsia" w:ascii="仿宋" w:hAnsi="仿宋" w:eastAsia="仿宋" w:cs="仿宋"/>
          <w:sz w:val="32"/>
          <w:szCs w:val="32"/>
          <w:lang w:eastAsia="zh-CN"/>
        </w:rPr>
        <w:t>办公室</w:t>
      </w:r>
      <w:r>
        <w:rPr>
          <w:rFonts w:hint="eastAsia" w:ascii="仿宋" w:hAnsi="仿宋" w:eastAsia="仿宋" w:cs="仿宋"/>
          <w:sz w:val="32"/>
          <w:szCs w:val="32"/>
        </w:rPr>
        <w:t>、安置</w:t>
      </w:r>
      <w:r>
        <w:rPr>
          <w:rFonts w:hint="eastAsia" w:ascii="仿宋" w:hAnsi="仿宋" w:eastAsia="仿宋" w:cs="仿宋"/>
          <w:sz w:val="32"/>
          <w:szCs w:val="32"/>
          <w:lang w:eastAsia="zh-CN"/>
        </w:rPr>
        <w:t>移交办公室，</w:t>
      </w:r>
      <w:r>
        <w:rPr>
          <w:rFonts w:hint="eastAsia" w:ascii="仿宋" w:hAnsi="仿宋" w:eastAsia="仿宋" w:cs="仿宋"/>
          <w:sz w:val="32"/>
          <w:szCs w:val="32"/>
        </w:rPr>
        <w:t>3个业务</w:t>
      </w:r>
      <w:r>
        <w:rPr>
          <w:rFonts w:hint="eastAsia" w:ascii="仿宋" w:hAnsi="仿宋" w:eastAsia="仿宋" w:cs="仿宋"/>
          <w:sz w:val="32"/>
          <w:szCs w:val="32"/>
          <w:lang w:eastAsia="zh-CN"/>
        </w:rPr>
        <w:t>办公室</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（一）组织实施我区关于退役军人思想政治、管理保障和安置优抚等工作的政策措施，组织起草相关的规范性文件，褒扬彰显退役军人为党、国家和人民牺牲奉献的精神风范和价值导向。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（二）负责军队转业干部、复员干部、离休退休干部、退役士兵和无军籍退休退职职工的移交安置工作和自主择业、就业退役军人服务管理工作。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（三）组织指导退役军人教育培训工作，协调扶持退役军人和随军随调家属就业创业。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（四）贯彻落实国家、省、市关于退役军人特殊保障政策，会同有关部门制定我区落实措施办法并组织实施。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（五）组织协调落实移交地方的离休退休军人，符合条件的其他退役军人和无军籍退休退职职工的住房保障工作，以及退役军人医疗保障、社会保险等待遇保障工作。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（六）组织指导伤病残退役军人服务管理和抚恤工作，贯彻落实退役军人医疗、疗养、养老等机构的规划政策并组织实施。承担不适宜继续服役的伤病残军人相关工作。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（七）负责现役军人、退役军人、军队文职人员和军属优待、抚恤等工作，落实国家关于国民党抗战老兵等有关人员优待政策。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（九）指导并监督检查退役军人相关法律法规和政策措施的落实，组织开展退役军人权益维护和有关人员的帮扶援助工作。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（十）组织指导全区拥军优属工作。承担区双拥工作领导小组和区军队转业干部安置工作领导小组的日常工作。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（十一）负责机关财务、安全、人才队伍建设与管理等工作。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（十二）完成区委、区政府交办的其他任务。</w:t>
      </w:r>
    </w:p>
    <w:p>
      <w:pPr>
        <w:spacing w:line="540" w:lineRule="exact"/>
        <w:ind w:left="640"/>
        <w:jc w:val="left"/>
        <w:rPr>
          <w:rFonts w:hint="eastAsia" w:ascii="仿宋" w:hAnsi="仿宋" w:eastAsia="仿宋" w:cs="仿宋"/>
          <w:sz w:val="32"/>
          <w:szCs w:val="32"/>
        </w:rPr>
      </w:pPr>
    </w:p>
    <w:p>
      <w:pPr>
        <w:pStyle w:val="2"/>
        <w:spacing w:before="194" w:line="295" w:lineRule="auto"/>
        <w:ind w:left="27" w:firstLine="636"/>
        <w:rPr>
          <w:rFonts w:ascii="Times New Roman" w:hAnsi="Times New Roman" w:eastAsia="Times New Roman" w:cs="Times New Roman"/>
          <w:sz w:val="31"/>
          <w:szCs w:val="31"/>
        </w:rPr>
      </w:pP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盘锦市双台子区退役军人事务局</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pPr>
        <w:pStyle w:val="2"/>
        <w:spacing w:before="194" w:line="295" w:lineRule="auto"/>
        <w:ind w:left="27" w:firstLine="636"/>
        <w:rPr>
          <w:rFonts w:hint="eastAsia" w:eastAsia="FangSong_GB2312"/>
          <w:lang w:eastAsia="zh-CN"/>
        </w:rPr>
        <w:sectPr>
          <w:footerReference r:id="rId8" w:type="default"/>
          <w:pgSz w:w="11905" w:h="16840"/>
          <w:pgMar w:top="1431" w:right="1702" w:bottom="1153" w:left="1785" w:header="0" w:footer="995" w:gutter="0"/>
          <w:cols w:space="720" w:num="1"/>
        </w:sectPr>
      </w:pPr>
      <w:r>
        <w:rPr>
          <w:spacing w:val="8"/>
        </w:rPr>
        <w:t>1.</w:t>
      </w:r>
      <w:r>
        <w:rPr>
          <w:rFonts w:hint="eastAsia"/>
          <w:spacing w:val="8"/>
          <w:lang w:eastAsia="zh-CN"/>
        </w:rPr>
        <w:t>退役军人事务服务中心</w:t>
      </w:r>
    </w:p>
    <w:p>
      <w:pPr>
        <w:spacing w:line="240" w:lineRule="auto"/>
        <w:ind w:left="3235" w:hanging="3235" w:hangingChars="90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盘锦市双台子区退役军人事务局</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828.72</w:t>
      </w:r>
      <w:r>
        <w:rPr>
          <w:rFonts w:ascii="楷体" w:hAnsi="楷体" w:eastAsia="楷体" w:cs="楷体"/>
          <w:b/>
          <w:bCs/>
          <w:spacing w:val="-1"/>
        </w:rPr>
        <w:t>万元，</w:t>
      </w:r>
      <w:r>
        <w:rPr>
          <w:spacing w:val="-1"/>
        </w:rPr>
        <w:t>其中：</w:t>
      </w:r>
    </w:p>
    <w:p>
      <w:pPr>
        <w:pStyle w:val="2"/>
        <w:spacing w:before="180" w:line="220" w:lineRule="auto"/>
        <w:ind w:left="703"/>
      </w:pPr>
      <w:r>
        <w:rPr>
          <w:spacing w:val="3"/>
        </w:rPr>
        <w:t>1.一般公共预算拨款收入</w:t>
      </w:r>
      <w:r>
        <w:rPr>
          <w:rFonts w:hint="eastAsia"/>
          <w:spacing w:val="3"/>
          <w:lang w:val="en-US" w:eastAsia="zh-CN"/>
        </w:rPr>
        <w:t>828.72</w:t>
      </w:r>
      <w:r>
        <w:rPr>
          <w:spacing w:val="3"/>
        </w:rPr>
        <w:t>万元；</w:t>
      </w:r>
    </w:p>
    <w:p>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pPr>
        <w:pStyle w:val="2"/>
        <w:spacing w:before="190" w:line="317" w:lineRule="auto"/>
        <w:ind w:left="698" w:right="2099" w:firstLine="13"/>
      </w:pPr>
      <w:r>
        <w:rPr>
          <w:spacing w:val="4"/>
        </w:rPr>
        <w:t>4.财政专户管理资金收入</w:t>
      </w:r>
      <w:r>
        <w:rPr>
          <w:rFonts w:hint="eastAsia"/>
          <w:spacing w:val="4"/>
          <w:lang w:val="en-US" w:eastAsia="zh-CN"/>
        </w:rPr>
        <w:t>0</w:t>
      </w:r>
      <w:r>
        <w:rPr>
          <w:spacing w:val="4"/>
        </w:rPr>
        <w:t>万元；</w:t>
      </w:r>
    </w:p>
    <w:p>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828.72</w:t>
      </w:r>
      <w:r>
        <w:rPr>
          <w:rFonts w:ascii="楷体" w:hAnsi="楷体" w:eastAsia="楷体" w:cs="楷体"/>
          <w:b/>
          <w:bCs/>
          <w:spacing w:val="-1"/>
        </w:rPr>
        <w:t>万元，</w:t>
      </w:r>
      <w:r>
        <w:rPr>
          <w:spacing w:val="-1"/>
        </w:rPr>
        <w:t>其中：</w:t>
      </w:r>
    </w:p>
    <w:p>
      <w:pPr>
        <w:pStyle w:val="2"/>
        <w:spacing w:before="180" w:line="219" w:lineRule="auto"/>
        <w:ind w:left="691"/>
      </w:pPr>
      <w:r>
        <w:rPr>
          <w:spacing w:val="1"/>
        </w:rPr>
        <w:t>1.基本支出</w:t>
      </w:r>
      <w:r>
        <w:rPr>
          <w:rFonts w:hint="eastAsia"/>
          <w:spacing w:val="1"/>
          <w:lang w:val="en-US" w:eastAsia="zh-CN"/>
        </w:rPr>
        <w:t>148.20</w:t>
      </w:r>
      <w:r>
        <w:rPr>
          <w:spacing w:val="1"/>
        </w:rPr>
        <w:t>万元；</w:t>
      </w:r>
    </w:p>
    <w:p>
      <w:pPr>
        <w:pStyle w:val="2"/>
        <w:spacing w:before="192" w:line="219" w:lineRule="auto"/>
        <w:ind w:left="683"/>
      </w:pPr>
      <w:r>
        <w:rPr>
          <w:spacing w:val="3"/>
        </w:rPr>
        <w:t>2.项目支出</w:t>
      </w:r>
      <w:r>
        <w:rPr>
          <w:rFonts w:hint="eastAsia"/>
          <w:spacing w:val="3"/>
          <w:lang w:val="en-US" w:eastAsia="zh-CN"/>
        </w:rPr>
        <w:t>680.52</w:t>
      </w:r>
      <w:r>
        <w:rPr>
          <w:spacing w:val="3"/>
        </w:rPr>
        <w:t>万元。</w:t>
      </w:r>
    </w:p>
    <w:p>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304.57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退役人员的人数增加及补助标准提高</w:t>
      </w:r>
      <w:r>
        <w:rPr>
          <w:rFonts w:ascii="黑体" w:hAnsi="黑体" w:eastAsia="黑体" w:cs="黑体"/>
          <w:spacing w:val="7"/>
          <w:sz w:val="31"/>
          <w:szCs w:val="31"/>
        </w:rPr>
        <w:t>。</w:t>
      </w:r>
    </w:p>
    <w:p>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2025年，盘锦市双台子区退役军人事务局部门管理专项资金共四个，涉及资金680.52万元。其中：退役军人事务管理专项业务经费78万元；优抚对象抚恤补助104.02万元；退役安置补助246万元；义务兵优待金252.50万元。</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盘锦市双台子区退役军人事务局</w:t>
      </w:r>
      <w:r>
        <w:rPr>
          <w:rFonts w:hint="eastAsia"/>
          <w:spacing w:val="12"/>
          <w:lang w:val="en-US" w:eastAsia="zh-CN"/>
        </w:rPr>
        <w:t>部门</w:t>
      </w:r>
      <w:r>
        <w:rPr>
          <w:spacing w:val="12"/>
        </w:rPr>
        <w:t>运行经费预算为</w:t>
      </w:r>
      <w:r>
        <w:rPr>
          <w:rFonts w:hint="eastAsia"/>
          <w:spacing w:val="12"/>
          <w:lang w:val="en-US" w:eastAsia="zh-CN"/>
        </w:rPr>
        <w:t>9.41</w:t>
      </w:r>
      <w:r>
        <w:rPr>
          <w:spacing w:val="12"/>
        </w:rPr>
        <w:t>万元，主要包括</w:t>
      </w:r>
      <w:r>
        <w:rPr>
          <w:rFonts w:hint="eastAsia"/>
          <w:spacing w:val="12"/>
          <w:lang w:eastAsia="zh-CN"/>
        </w:rPr>
        <w:t>办公、印刷费、委托业务费</w:t>
      </w:r>
      <w:r>
        <w:rPr>
          <w:spacing w:val="12"/>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2025年盘锦市双台子区退役军人事务局部门安排政府采购预算0万元，具体为货物0万元，服务0万元，工程0万元；预留面向中小企业采购份额0万元，其中预留给小微企业0万元。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年，盘锦市双台子区退役军人事务局</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万元，下降（增长）%。主要原因是无。</w:t>
      </w:r>
    </w:p>
    <w:p>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3425" w:type="dxa"/>
            <w:vMerge w:val="restart"/>
            <w:tcBorders>
              <w:bottom w:val="nil"/>
            </w:tcBorders>
            <w:vAlign w:val="top"/>
          </w:tcPr>
          <w:p>
            <w:pPr>
              <w:pStyle w:val="7"/>
            </w:pPr>
          </w:p>
          <w:p>
            <w:pPr>
              <w:pStyle w:val="7"/>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7"/>
            </w:pPr>
          </w:p>
        </w:tc>
        <w:tc>
          <w:tcPr>
            <w:tcW w:w="2828" w:type="dxa"/>
            <w:vAlign w:val="top"/>
          </w:tcPr>
          <w:p>
            <w:pPr>
              <w:spacing w:before="257" w:line="220" w:lineRule="auto"/>
              <w:ind w:left="817" w:firstLine="470" w:firstLineChars="2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pPr>
              <w:pStyle w:val="7"/>
              <w:jc w:val="center"/>
              <w:rPr>
                <w:rFonts w:hint="eastAsia" w:eastAsia="宋体"/>
                <w:lang w:val="en-US" w:eastAsia="zh-CN"/>
              </w:rPr>
            </w:pPr>
            <w:r>
              <w:rPr>
                <w:rFonts w:hint="eastAsia" w:eastAsia="宋体"/>
                <w:lang w:val="en-US" w:eastAsia="zh-CN"/>
              </w:rPr>
              <w:t>0</w:t>
            </w:r>
          </w:p>
        </w:tc>
        <w:tc>
          <w:tcPr>
            <w:tcW w:w="2586" w:type="dxa"/>
            <w:vAlign w:val="top"/>
          </w:tcPr>
          <w:p>
            <w:pPr>
              <w:pStyle w:val="7"/>
              <w:jc w:val="center"/>
              <w:rPr>
                <w:rFonts w:hint="eastAsia" w:eastAsia="宋体"/>
                <w:lang w:val="en-US" w:eastAsia="zh-CN"/>
              </w:rPr>
            </w:pPr>
            <w:r>
              <w:rPr>
                <w:rFonts w:hint="eastAsia" w:eastAsia="宋体"/>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pPr>
              <w:pStyle w:val="7"/>
            </w:pPr>
          </w:p>
        </w:tc>
        <w:tc>
          <w:tcPr>
            <w:tcW w:w="2586" w:type="dxa"/>
            <w:vAlign w:val="top"/>
          </w:tcPr>
          <w:p>
            <w:pPr>
              <w:pStyle w:val="7"/>
            </w:pP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盘锦市双台子区退役军人事务局</w:t>
      </w:r>
      <w:r>
        <w:rPr>
          <w:rFonts w:hint="eastAsia"/>
          <w:spacing w:val="10"/>
          <w:lang w:val="en-US" w:eastAsia="zh-CN"/>
        </w:rPr>
        <w:t>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pPr>
      <w:r>
        <w:rPr>
          <w:spacing w:val="9"/>
        </w:rPr>
        <w:t>根据预算绩效管理要求，</w:t>
      </w:r>
      <w:r>
        <w:rPr>
          <w:rFonts w:hint="eastAsia"/>
          <w:spacing w:val="10"/>
          <w:lang w:eastAsia="zh-CN"/>
        </w:rPr>
        <w:t>盘锦市双台子区退役军人事务局</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spacing w:val="7"/>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盘锦市双台子区退役军人事务局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pPr>
              <w:pStyle w:val="7"/>
              <w:jc w:val="center"/>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sz w:val="18"/>
                <w:szCs w:val="18"/>
                <w:lang w:val="en-US" w:eastAsia="zh-CN"/>
              </w:rPr>
              <w:t>810.28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pPr>
              <w:pStyle w:val="7"/>
              <w:jc w:val="center"/>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pPr>
              <w:pStyle w:val="7"/>
              <w:jc w:val="center"/>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pPr>
              <w:bidi w:val="0"/>
              <w:ind w:firstLine="538" w:firstLineChars="0"/>
              <w:jc w:val="right"/>
              <w:rPr>
                <w:rFonts w:hint="default" w:ascii="宋体" w:hAnsi="宋体" w:eastAsia="宋体" w:cs="宋体"/>
                <w:sz w:val="18"/>
                <w:szCs w:val="18"/>
                <w:lang w:val="en-US" w:eastAsia="zh-CN"/>
              </w:rPr>
            </w:pPr>
          </w:p>
          <w:p>
            <w:pPr>
              <w:bidi w:val="0"/>
              <w:jc w:val="right"/>
              <w:rPr>
                <w:rFonts w:hint="default" w:ascii="Arial" w:hAnsi="Arial" w:eastAsia="Arial" w:cs="Arial"/>
                <w:snapToGrid w:val="0"/>
                <w:color w:val="000000"/>
                <w:kern w:val="0"/>
                <w:sz w:val="21"/>
                <w:szCs w:val="21"/>
                <w:lang w:val="en-US" w:eastAsia="zh-CN" w:bidi="ar-SA"/>
              </w:rPr>
            </w:pPr>
            <w:r>
              <w:rPr>
                <w:rFonts w:hint="eastAsia" w:ascii="宋体" w:hAnsi="宋体" w:eastAsia="宋体" w:cs="宋体"/>
                <w:snapToGrid w:val="0"/>
                <w:color w:val="000000"/>
                <w:kern w:val="0"/>
                <w:sz w:val="18"/>
                <w:szCs w:val="18"/>
                <w:lang w:val="en-US" w:eastAsia="zh-CN" w:bidi="ar-SA"/>
              </w:rP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1" w:line="230" w:lineRule="auto"/>
              <w:ind w:left="42"/>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730.8</w:t>
            </w:r>
            <w:r>
              <w:rPr>
                <w:rFonts w:ascii="宋体" w:hAnsi="宋体" w:eastAsia="宋体" w:cs="宋体"/>
                <w:spacing w:val="8"/>
                <w:sz w:val="19"/>
                <w:szCs w:val="19"/>
              </w:rPr>
              <w:t>上年结转结余</w:t>
            </w:r>
          </w:p>
        </w:tc>
        <w:tc>
          <w:tcPr>
            <w:tcW w:w="2546" w:type="dxa"/>
            <w:vAlign w:val="top"/>
          </w:tcPr>
          <w:p>
            <w:pPr>
              <w:pStyle w:val="7"/>
              <w:jc w:val="center"/>
            </w:pPr>
          </w:p>
        </w:tc>
        <w:tc>
          <w:tcPr>
            <w:tcW w:w="4521" w:type="dxa"/>
            <w:vAlign w:val="top"/>
          </w:tcPr>
          <w:p>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7"/>
            </w:pPr>
          </w:p>
        </w:tc>
        <w:tc>
          <w:tcPr>
            <w:tcW w:w="2546" w:type="dxa"/>
            <w:vAlign w:val="top"/>
          </w:tcPr>
          <w:p>
            <w:pPr>
              <w:pStyle w:val="7"/>
              <w:jc w:val="center"/>
            </w:pPr>
          </w:p>
        </w:tc>
        <w:tc>
          <w:tcPr>
            <w:tcW w:w="4521" w:type="dxa"/>
            <w:vAlign w:val="top"/>
          </w:tcPr>
          <w:p>
            <w:pPr>
              <w:pStyle w:val="7"/>
            </w:pPr>
          </w:p>
        </w:tc>
        <w:tc>
          <w:tcPr>
            <w:tcW w:w="2556" w:type="dxa"/>
            <w:vAlign w:val="top"/>
          </w:tcPr>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r>
    </w:tbl>
    <w:p>
      <w:pPr>
        <w:rPr>
          <w:rFonts w:ascii="Arial"/>
          <w:sz w:val="21"/>
        </w:rPr>
      </w:pPr>
    </w:p>
    <w:p>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1069"/>
        <w:gridCol w:w="495"/>
        <w:gridCol w:w="42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2105" w:type="dxa"/>
            <w:vMerge w:val="restart"/>
            <w:tcBorders>
              <w:bottom w:val="nil"/>
            </w:tcBorders>
            <w:vAlign w:val="top"/>
          </w:tcPr>
          <w:p>
            <w:pPr>
              <w:pStyle w:val="7"/>
              <w:spacing w:line="275" w:lineRule="auto"/>
            </w:pPr>
          </w:p>
          <w:p>
            <w:pPr>
              <w:pStyle w:val="7"/>
              <w:spacing w:line="275" w:lineRule="auto"/>
            </w:pPr>
          </w:p>
          <w:p>
            <w:pPr>
              <w:pStyle w:val="7"/>
              <w:spacing w:line="275" w:lineRule="auto"/>
            </w:pPr>
          </w:p>
          <w:p>
            <w:pPr>
              <w:pStyle w:val="7"/>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7"/>
              <w:spacing w:line="275" w:lineRule="auto"/>
            </w:pPr>
          </w:p>
          <w:p>
            <w:pPr>
              <w:pStyle w:val="7"/>
              <w:spacing w:line="275" w:lineRule="auto"/>
            </w:pPr>
          </w:p>
          <w:p>
            <w:pPr>
              <w:pStyle w:val="7"/>
              <w:spacing w:line="276" w:lineRule="auto"/>
            </w:pPr>
          </w:p>
          <w:p>
            <w:pPr>
              <w:pStyle w:val="7"/>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pPr>
              <w:pStyle w:val="7"/>
            </w:pPr>
          </w:p>
        </w:tc>
        <w:tc>
          <w:tcPr>
            <w:tcW w:w="1043" w:type="dxa"/>
            <w:vMerge w:val="continue"/>
            <w:tcBorders>
              <w:top w:val="nil"/>
              <w:bottom w:val="nil"/>
            </w:tcBorders>
            <w:vAlign w:val="top"/>
          </w:tcPr>
          <w:p>
            <w:pPr>
              <w:pStyle w:val="7"/>
            </w:pPr>
          </w:p>
        </w:tc>
        <w:tc>
          <w:tcPr>
            <w:tcW w:w="1032" w:type="dxa"/>
            <w:vMerge w:val="restart"/>
            <w:tcBorders>
              <w:bottom w:val="nil"/>
            </w:tcBorders>
            <w:vAlign w:val="top"/>
          </w:tcPr>
          <w:p>
            <w:pPr>
              <w:pStyle w:val="7"/>
              <w:spacing w:line="261" w:lineRule="auto"/>
            </w:pPr>
          </w:p>
          <w:p>
            <w:pPr>
              <w:pStyle w:val="7"/>
              <w:spacing w:line="261" w:lineRule="auto"/>
            </w:pPr>
          </w:p>
          <w:p>
            <w:pPr>
              <w:pStyle w:val="7"/>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1069" w:type="dxa"/>
            <w:vMerge w:val="restart"/>
            <w:tcBorders>
              <w:bottom w:val="nil"/>
            </w:tcBorders>
            <w:vAlign w:val="top"/>
          </w:tcPr>
          <w:p>
            <w:pPr>
              <w:pStyle w:val="7"/>
              <w:spacing w:line="330" w:lineRule="auto"/>
            </w:pPr>
          </w:p>
          <w:p>
            <w:pPr>
              <w:pStyle w:val="7"/>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495" w:type="dxa"/>
            <w:vMerge w:val="restart"/>
            <w:tcBorders>
              <w:bottom w:val="nil"/>
            </w:tcBorders>
            <w:vAlign w:val="top"/>
          </w:tcPr>
          <w:p>
            <w:pPr>
              <w:pStyle w:val="7"/>
              <w:spacing w:line="268" w:lineRule="auto"/>
            </w:pPr>
          </w:p>
          <w:p>
            <w:pPr>
              <w:pStyle w:val="7"/>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421" w:type="dxa"/>
            <w:vMerge w:val="restart"/>
            <w:tcBorders>
              <w:bottom w:val="nil"/>
            </w:tcBorders>
            <w:vAlign w:val="top"/>
          </w:tcPr>
          <w:p>
            <w:pPr>
              <w:pStyle w:val="7"/>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7"/>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7"/>
              <w:spacing w:line="261" w:lineRule="auto"/>
            </w:pPr>
          </w:p>
          <w:p>
            <w:pPr>
              <w:pStyle w:val="7"/>
              <w:spacing w:line="261" w:lineRule="auto"/>
            </w:pPr>
          </w:p>
          <w:p>
            <w:pPr>
              <w:pStyle w:val="7"/>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7"/>
              <w:spacing w:line="330" w:lineRule="auto"/>
            </w:pPr>
          </w:p>
          <w:p>
            <w:pPr>
              <w:pStyle w:val="7"/>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pPr>
              <w:pStyle w:val="7"/>
              <w:spacing w:line="268" w:lineRule="auto"/>
            </w:pPr>
          </w:p>
          <w:p>
            <w:pPr>
              <w:pStyle w:val="7"/>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7"/>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7"/>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pPr>
              <w:pStyle w:val="7"/>
              <w:spacing w:line="329" w:lineRule="auto"/>
            </w:pPr>
          </w:p>
          <w:p>
            <w:pPr>
              <w:pStyle w:val="7"/>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pPr>
              <w:pStyle w:val="7"/>
            </w:pPr>
          </w:p>
        </w:tc>
        <w:tc>
          <w:tcPr>
            <w:tcW w:w="1043" w:type="dxa"/>
            <w:vMerge w:val="continue"/>
            <w:tcBorders>
              <w:top w:val="nil"/>
            </w:tcBorders>
            <w:vAlign w:val="top"/>
          </w:tcPr>
          <w:p>
            <w:pPr>
              <w:pStyle w:val="7"/>
            </w:pPr>
          </w:p>
        </w:tc>
        <w:tc>
          <w:tcPr>
            <w:tcW w:w="1032" w:type="dxa"/>
            <w:vMerge w:val="continue"/>
            <w:tcBorders>
              <w:top w:val="nil"/>
            </w:tcBorders>
            <w:vAlign w:val="top"/>
          </w:tcPr>
          <w:p>
            <w:pPr>
              <w:pStyle w:val="7"/>
            </w:pPr>
          </w:p>
        </w:tc>
        <w:tc>
          <w:tcPr>
            <w:tcW w:w="1069" w:type="dxa"/>
            <w:vMerge w:val="continue"/>
            <w:tcBorders>
              <w:top w:val="nil"/>
            </w:tcBorders>
            <w:vAlign w:val="top"/>
          </w:tcPr>
          <w:p>
            <w:pPr>
              <w:pStyle w:val="7"/>
            </w:pPr>
          </w:p>
        </w:tc>
        <w:tc>
          <w:tcPr>
            <w:tcW w:w="495" w:type="dxa"/>
            <w:vMerge w:val="continue"/>
            <w:tcBorders>
              <w:top w:val="nil"/>
            </w:tcBorders>
            <w:vAlign w:val="top"/>
          </w:tcPr>
          <w:p>
            <w:pPr>
              <w:pStyle w:val="7"/>
            </w:pPr>
          </w:p>
        </w:tc>
        <w:tc>
          <w:tcPr>
            <w:tcW w:w="42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12" w:type="dxa"/>
            <w:vAlign w:val="top"/>
          </w:tcPr>
          <w:p>
            <w:pPr>
              <w:pStyle w:val="7"/>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7"/>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pPr>
              <w:pStyle w:val="7"/>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pPr>
              <w:pStyle w:val="7"/>
            </w:pPr>
          </w:p>
        </w:tc>
        <w:tc>
          <w:tcPr>
            <w:tcW w:w="862" w:type="dxa"/>
            <w:vMerge w:val="continue"/>
            <w:tcBorders>
              <w:top w:val="nil"/>
            </w:tcBorders>
            <w:vAlign w:val="top"/>
          </w:tcPr>
          <w:p>
            <w:pPr>
              <w:pStyle w:val="7"/>
            </w:pPr>
          </w:p>
        </w:tc>
        <w:tc>
          <w:tcPr>
            <w:tcW w:w="67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70"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pPr>
              <w:pStyle w:val="7"/>
              <w:jc w:val="both"/>
            </w:pPr>
          </w:p>
          <w:p>
            <w:pPr>
              <w:bidi w:val="0"/>
              <w:ind w:firstLine="392" w:firstLineChars="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1032" w:type="dxa"/>
            <w:vAlign w:val="top"/>
          </w:tcPr>
          <w:p>
            <w:pPr>
              <w:pStyle w:val="7"/>
              <w:jc w:val="both"/>
            </w:pPr>
          </w:p>
          <w:p>
            <w:pPr>
              <w:bidi w:val="0"/>
              <w:ind w:firstLine="249" w:firstLineChars="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1069" w:type="dxa"/>
            <w:vAlign w:val="top"/>
          </w:tcPr>
          <w:p>
            <w:pPr>
              <w:pStyle w:val="7"/>
              <w:jc w:val="both"/>
            </w:pPr>
          </w:p>
          <w:p>
            <w:pPr>
              <w:bidi w:val="0"/>
              <w:ind w:firstLine="200" w:firstLineChars="10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495" w:type="dxa"/>
            <w:vAlign w:val="top"/>
          </w:tcPr>
          <w:p>
            <w:pPr>
              <w:pStyle w:val="7"/>
            </w:pPr>
          </w:p>
        </w:tc>
        <w:tc>
          <w:tcPr>
            <w:tcW w:w="42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2105" w:type="dxa"/>
            <w:vAlign w:val="top"/>
          </w:tcPr>
          <w:p>
            <w:pPr>
              <w:pStyle w:val="7"/>
            </w:pPr>
          </w:p>
        </w:tc>
        <w:tc>
          <w:tcPr>
            <w:tcW w:w="1043" w:type="dxa"/>
            <w:vAlign w:val="top"/>
          </w:tcPr>
          <w:p>
            <w:pPr>
              <w:pStyle w:val="7"/>
              <w:jc w:val="both"/>
            </w:pPr>
          </w:p>
          <w:p>
            <w:pPr>
              <w:bidi w:val="0"/>
              <w:ind w:firstLine="392" w:firstLineChars="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1032" w:type="dxa"/>
            <w:vAlign w:val="top"/>
          </w:tcPr>
          <w:p>
            <w:pPr>
              <w:pStyle w:val="7"/>
              <w:jc w:val="both"/>
            </w:pPr>
          </w:p>
          <w:p>
            <w:pPr>
              <w:bidi w:val="0"/>
              <w:ind w:firstLine="249" w:firstLineChars="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1069" w:type="dxa"/>
            <w:vAlign w:val="top"/>
          </w:tcPr>
          <w:p>
            <w:pPr>
              <w:pStyle w:val="7"/>
              <w:jc w:val="both"/>
            </w:pPr>
          </w:p>
          <w:p>
            <w:pPr>
              <w:bidi w:val="0"/>
              <w:ind w:firstLine="200" w:firstLineChars="100"/>
              <w:jc w:val="both"/>
            </w:pPr>
            <w:r>
              <w:rPr>
                <w:rFonts w:hint="eastAsia" w:ascii="宋体" w:hAnsi="宋体" w:eastAsia="宋体" w:cs="宋体"/>
                <w:i w:val="0"/>
                <w:iCs w:val="0"/>
                <w:snapToGrid w:val="0"/>
                <w:color w:val="000000"/>
                <w:kern w:val="0"/>
                <w:sz w:val="20"/>
                <w:szCs w:val="20"/>
                <w:u w:val="none"/>
                <w:lang w:val="en-US" w:eastAsia="zh-CN" w:bidi="ar"/>
              </w:rPr>
              <w:t>828.72</w:t>
            </w:r>
          </w:p>
        </w:tc>
        <w:tc>
          <w:tcPr>
            <w:tcW w:w="495" w:type="dxa"/>
            <w:vAlign w:val="top"/>
          </w:tcPr>
          <w:p>
            <w:pPr>
              <w:pStyle w:val="7"/>
            </w:pPr>
          </w:p>
        </w:tc>
        <w:tc>
          <w:tcPr>
            <w:tcW w:w="42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1069" w:type="dxa"/>
            <w:vAlign w:val="top"/>
          </w:tcPr>
          <w:p>
            <w:pPr>
              <w:pStyle w:val="7"/>
            </w:pPr>
          </w:p>
        </w:tc>
        <w:tc>
          <w:tcPr>
            <w:tcW w:w="495" w:type="dxa"/>
            <w:vAlign w:val="top"/>
          </w:tcPr>
          <w:p>
            <w:pPr>
              <w:pStyle w:val="7"/>
            </w:pPr>
          </w:p>
        </w:tc>
        <w:tc>
          <w:tcPr>
            <w:tcW w:w="42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1069" w:type="dxa"/>
            <w:vAlign w:val="top"/>
          </w:tcPr>
          <w:p>
            <w:pPr>
              <w:pStyle w:val="7"/>
            </w:pPr>
          </w:p>
        </w:tc>
        <w:tc>
          <w:tcPr>
            <w:tcW w:w="495" w:type="dxa"/>
            <w:vAlign w:val="top"/>
          </w:tcPr>
          <w:p>
            <w:pPr>
              <w:pStyle w:val="7"/>
            </w:pPr>
          </w:p>
        </w:tc>
        <w:tc>
          <w:tcPr>
            <w:tcW w:w="42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1069" w:type="dxa"/>
            <w:vAlign w:val="top"/>
          </w:tcPr>
          <w:p>
            <w:pPr>
              <w:pStyle w:val="7"/>
            </w:pPr>
          </w:p>
        </w:tc>
        <w:tc>
          <w:tcPr>
            <w:tcW w:w="495" w:type="dxa"/>
            <w:vAlign w:val="top"/>
          </w:tcPr>
          <w:p>
            <w:pPr>
              <w:pStyle w:val="7"/>
            </w:pPr>
          </w:p>
        </w:tc>
        <w:tc>
          <w:tcPr>
            <w:tcW w:w="42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7"/>
              <w:spacing w:line="344"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7"/>
              <w:spacing w:line="344"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pPr>
              <w:pStyle w:val="7"/>
              <w:spacing w:line="344"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pPr>
              <w:pStyle w:val="7"/>
              <w:spacing w:line="344" w:lineRule="auto"/>
            </w:pPr>
          </w:p>
          <w:p>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pPr>
              <w:pStyle w:val="7"/>
            </w:pPr>
          </w:p>
        </w:tc>
        <w:tc>
          <w:tcPr>
            <w:tcW w:w="4813" w:type="dxa"/>
            <w:vMerge w:val="continue"/>
            <w:tcBorders>
              <w:top w:val="nil"/>
            </w:tcBorders>
            <w:vAlign w:val="top"/>
          </w:tcPr>
          <w:p>
            <w:pPr>
              <w:pStyle w:val="7"/>
            </w:pPr>
          </w:p>
        </w:tc>
        <w:tc>
          <w:tcPr>
            <w:tcW w:w="1694" w:type="dxa"/>
            <w:vMerge w:val="continue"/>
            <w:tcBorders>
              <w:top w:val="nil"/>
            </w:tcBorders>
            <w:vAlign w:val="top"/>
          </w:tcPr>
          <w:p>
            <w:pPr>
              <w:pStyle w:val="7"/>
            </w:pPr>
          </w:p>
        </w:tc>
        <w:tc>
          <w:tcPr>
            <w:tcW w:w="1694" w:type="dxa"/>
            <w:vAlign w:val="top"/>
          </w:tcPr>
          <w:p>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lang w:val="en-US" w:eastAsia="zh-CN"/>
              </w:rPr>
              <w:t>148.21</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142.16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6.05</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030001</w:t>
            </w:r>
          </w:p>
        </w:tc>
        <w:tc>
          <w:tcPr>
            <w:tcW w:w="4813" w:type="dxa"/>
            <w:vAlign w:val="center"/>
          </w:tcPr>
          <w:p>
            <w:pPr>
              <w:keepNext w:val="0"/>
              <w:keepLines w:val="0"/>
              <w:widowControl/>
              <w:suppressLineNumbers w:val="0"/>
              <w:jc w:val="left"/>
              <w:textAlignment w:val="center"/>
              <w:rPr>
                <w:rFonts w:hint="eastAsia" w:eastAsia="宋体"/>
                <w:lang w:eastAsia="zh-CN"/>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828.72</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lang w:val="en-US" w:eastAsia="zh-CN"/>
              </w:rPr>
              <w:t>148.21</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142.16</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6.05</w:t>
            </w:r>
          </w:p>
        </w:tc>
        <w:tc>
          <w:tcPr>
            <w:tcW w:w="159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810.28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129.76</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123.71</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6.05</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16.21</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16.21</w:t>
            </w:r>
          </w:p>
        </w:tc>
        <w:tc>
          <w:tcPr>
            <w:tcW w:w="1583"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0.89</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0.89</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15.32</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15.32</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10.26</w:t>
            </w:r>
          </w:p>
        </w:tc>
        <w:tc>
          <w:tcPr>
            <w:tcW w:w="1583" w:type="dxa"/>
            <w:vAlign w:val="center"/>
          </w:tcPr>
          <w:p>
            <w:pPr>
              <w:jc w:val="right"/>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190.91</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112.91</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106.9</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6.01</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2082850</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69.70</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4.26</w:t>
            </w: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rPr>
                <w:rFonts w:hint="default"/>
                <w:strike/>
                <w:dstrike w:val="0"/>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6.71</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0.07</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jc w:val="right"/>
            </w:pPr>
          </w:p>
        </w:tc>
        <w:tc>
          <w:tcPr>
            <w:tcW w:w="1593"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30" w:bottom="400" w:left="1210" w:header="0" w:footer="0" w:gutter="0"/>
          <w:cols w:space="720" w:num="1"/>
        </w:sectPr>
      </w:pPr>
    </w:p>
    <w:p>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pPr>
              <w:pStyle w:val="7"/>
              <w:jc w:val="right"/>
            </w:pPr>
          </w:p>
          <w:p>
            <w:pPr>
              <w:bidi w:val="0"/>
              <w:jc w:val="right"/>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51" w:line="229" w:lineRule="auto"/>
              <w:ind w:left="42"/>
              <w:jc w:val="right"/>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pPr>
              <w:pStyle w:val="7"/>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828.72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7"/>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51" w:line="230" w:lineRule="auto"/>
              <w:ind w:left="74"/>
              <w:jc w:val="right"/>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7"/>
              <w:jc w:val="right"/>
            </w:pPr>
          </w:p>
        </w:tc>
        <w:tc>
          <w:tcPr>
            <w:tcW w:w="4521" w:type="dxa"/>
            <w:vAlign w:val="top"/>
          </w:tcPr>
          <w:p>
            <w:pPr>
              <w:spacing w:before="152" w:line="229" w:lineRule="auto"/>
              <w:ind w:left="74"/>
              <w:jc w:val="right"/>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sz w:val="18"/>
                <w:szCs w:val="18"/>
                <w:lang w:val="en-US" w:eastAsia="zh-CN"/>
              </w:rPr>
              <w:t>810.28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7"/>
              <w:jc w:val="right"/>
            </w:pPr>
          </w:p>
        </w:tc>
        <w:tc>
          <w:tcPr>
            <w:tcW w:w="4521" w:type="dxa"/>
            <w:vAlign w:val="top"/>
          </w:tcPr>
          <w:p>
            <w:pPr>
              <w:spacing w:before="154" w:line="230" w:lineRule="auto"/>
              <w:ind w:left="74"/>
              <w:jc w:val="right"/>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pPr>
              <w:pStyle w:val="7"/>
              <w:jc w:val="right"/>
            </w:pPr>
          </w:p>
        </w:tc>
        <w:tc>
          <w:tcPr>
            <w:tcW w:w="4521" w:type="dxa"/>
            <w:vAlign w:val="top"/>
          </w:tcPr>
          <w:p>
            <w:pPr>
              <w:spacing w:before="153" w:line="230" w:lineRule="auto"/>
              <w:ind w:left="74"/>
              <w:jc w:val="right"/>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pPr>
              <w:bidi w:val="0"/>
              <w:ind w:firstLine="538" w:firstLineChars="0"/>
              <w:jc w:val="right"/>
              <w:rPr>
                <w:rFonts w:hint="default" w:ascii="宋体" w:hAnsi="宋体" w:eastAsia="宋体" w:cs="宋体"/>
                <w:sz w:val="18"/>
                <w:szCs w:val="18"/>
                <w:lang w:val="en-US" w:eastAsia="zh-CN"/>
              </w:rPr>
            </w:pPr>
          </w:p>
          <w:p>
            <w:pPr>
              <w:bidi w:val="0"/>
              <w:jc w:val="right"/>
            </w:pPr>
            <w:r>
              <w:rPr>
                <w:rFonts w:hint="eastAsia" w:ascii="宋体" w:hAnsi="宋体" w:eastAsia="宋体" w:cs="宋体"/>
                <w:snapToGrid w:val="0"/>
                <w:color w:val="000000"/>
                <w:kern w:val="0"/>
                <w:sz w:val="18"/>
                <w:szCs w:val="18"/>
                <w:lang w:val="en-US" w:eastAsia="zh-CN" w:bidi="ar-SA"/>
              </w:rP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7"/>
            </w:pP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jc w:val="right"/>
            </w:pPr>
          </w:p>
        </w:tc>
        <w:tc>
          <w:tcPr>
            <w:tcW w:w="4521" w:type="dxa"/>
            <w:vAlign w:val="top"/>
          </w:tcPr>
          <w:p>
            <w:pPr>
              <w:spacing w:before="160" w:line="230" w:lineRule="auto"/>
              <w:ind w:left="42"/>
              <w:jc w:val="right"/>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jc w:val="right"/>
            </w:pPr>
          </w:p>
        </w:tc>
        <w:tc>
          <w:tcPr>
            <w:tcW w:w="4521" w:type="dxa"/>
            <w:vAlign w:val="top"/>
          </w:tcPr>
          <w:p>
            <w:pPr>
              <w:pStyle w:val="7"/>
              <w:jc w:val="right"/>
            </w:pPr>
          </w:p>
        </w:tc>
        <w:tc>
          <w:tcPr>
            <w:tcW w:w="2556" w:type="dxa"/>
            <w:vAlign w:val="top"/>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pPr>
              <w:pStyle w:val="7"/>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828.72</w:t>
            </w:r>
          </w:p>
        </w:tc>
        <w:tc>
          <w:tcPr>
            <w:tcW w:w="4521" w:type="dxa"/>
            <w:vAlign w:val="top"/>
          </w:tcPr>
          <w:p>
            <w:pPr>
              <w:spacing w:before="161" w:line="231" w:lineRule="auto"/>
              <w:ind w:left="1418"/>
              <w:jc w:val="right"/>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pPr>
              <w:pStyle w:val="7"/>
              <w:jc w:val="right"/>
            </w:pPr>
          </w:p>
          <w:p>
            <w:pPr>
              <w:bidi w:val="0"/>
              <w:jc w:val="right"/>
            </w:pPr>
            <w:r>
              <w:rPr>
                <w:rFonts w:hint="eastAsia" w:ascii="宋体" w:hAnsi="宋体" w:eastAsia="宋体" w:cs="宋体"/>
                <w:i w:val="0"/>
                <w:iCs w:val="0"/>
                <w:snapToGrid w:val="0"/>
                <w:color w:val="000000"/>
                <w:kern w:val="0"/>
                <w:sz w:val="20"/>
                <w:szCs w:val="20"/>
                <w:u w:val="none"/>
                <w:lang w:val="en-US" w:eastAsia="zh-CN" w:bidi="ar"/>
              </w:rPr>
              <w:t>828.72</w:t>
            </w: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7"/>
              <w:spacing w:line="296" w:lineRule="auto"/>
            </w:pPr>
          </w:p>
          <w:p>
            <w:pPr>
              <w:pStyle w:val="7"/>
              <w:spacing w:line="296"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pPr>
              <w:pStyle w:val="7"/>
            </w:pPr>
          </w:p>
        </w:tc>
        <w:tc>
          <w:tcPr>
            <w:tcW w:w="4813" w:type="dxa"/>
            <w:vMerge w:val="continue"/>
            <w:tcBorders>
              <w:top w:val="nil"/>
              <w:bottom w:val="nil"/>
            </w:tcBorders>
            <w:vAlign w:val="top"/>
          </w:tcPr>
          <w:p>
            <w:pPr>
              <w:pStyle w:val="7"/>
            </w:pPr>
          </w:p>
        </w:tc>
        <w:tc>
          <w:tcPr>
            <w:tcW w:w="1694" w:type="dxa"/>
            <w:vMerge w:val="restart"/>
            <w:tcBorders>
              <w:bottom w:val="nil"/>
            </w:tcBorders>
            <w:vAlign w:val="top"/>
          </w:tcPr>
          <w:p>
            <w:pPr>
              <w:pStyle w:val="7"/>
              <w:spacing w:line="336"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pPr>
              <w:pStyle w:val="7"/>
              <w:spacing w:line="335" w:lineRule="auto"/>
            </w:pPr>
          </w:p>
          <w:p>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pPr>
              <w:pStyle w:val="7"/>
            </w:pPr>
          </w:p>
        </w:tc>
        <w:tc>
          <w:tcPr>
            <w:tcW w:w="4813" w:type="dxa"/>
            <w:vMerge w:val="continue"/>
            <w:tcBorders>
              <w:top w:val="nil"/>
            </w:tcBorders>
            <w:vAlign w:val="top"/>
          </w:tcPr>
          <w:p>
            <w:pPr>
              <w:pStyle w:val="7"/>
            </w:pPr>
          </w:p>
        </w:tc>
        <w:tc>
          <w:tcPr>
            <w:tcW w:w="1694" w:type="dxa"/>
            <w:vMerge w:val="continue"/>
            <w:tcBorders>
              <w:top w:val="nil"/>
            </w:tcBorders>
            <w:vAlign w:val="top"/>
          </w:tcPr>
          <w:p>
            <w:pPr>
              <w:pStyle w:val="7"/>
            </w:pPr>
          </w:p>
        </w:tc>
        <w:tc>
          <w:tcPr>
            <w:tcW w:w="1694" w:type="dxa"/>
            <w:vAlign w:val="top"/>
          </w:tcPr>
          <w:p>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lang w:val="en-US" w:eastAsia="zh-CN"/>
              </w:rPr>
              <w:t>148.21</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142.16</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6.05</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030001</w:t>
            </w:r>
          </w:p>
        </w:tc>
        <w:tc>
          <w:tcPr>
            <w:tcW w:w="4813" w:type="dxa"/>
            <w:vAlign w:val="center"/>
          </w:tcPr>
          <w:p>
            <w:pPr>
              <w:keepNext w:val="0"/>
              <w:keepLines w:val="0"/>
              <w:widowControl/>
              <w:suppressLineNumbers w:val="0"/>
              <w:jc w:val="left"/>
              <w:textAlignment w:val="center"/>
              <w:rPr>
                <w:rFonts w:hint="eastAsia" w:eastAsia="宋体"/>
                <w:lang w:eastAsia="zh-CN"/>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828.72</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lang w:val="en-US" w:eastAsia="zh-CN"/>
              </w:rPr>
              <w:t>148.21</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142.16</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6.05</w:t>
            </w:r>
          </w:p>
        </w:tc>
        <w:tc>
          <w:tcPr>
            <w:tcW w:w="153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810.28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129.76</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123.71</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6.05</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16.21</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16.21</w:t>
            </w:r>
          </w:p>
        </w:tc>
        <w:tc>
          <w:tcPr>
            <w:tcW w:w="1583"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0.89</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0.89</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15.32</w:t>
            </w:r>
          </w:p>
        </w:tc>
        <w:tc>
          <w:tcPr>
            <w:tcW w:w="169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15.32</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10.26</w:t>
            </w:r>
          </w:p>
        </w:tc>
        <w:tc>
          <w:tcPr>
            <w:tcW w:w="1583" w:type="dxa"/>
            <w:vAlign w:val="center"/>
          </w:tcPr>
          <w:p>
            <w:pPr>
              <w:jc w:val="right"/>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190.91</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112.91</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106.9</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6.01</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2082850</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69.70</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4.26</w:t>
            </w: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rPr>
                <w:rFonts w:hint="default"/>
                <w:strike/>
                <w:dstrike w:val="0"/>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58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6.71</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0.07</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69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583" w:type="dxa"/>
            <w:vAlign w:val="center"/>
          </w:tcPr>
          <w:p>
            <w:pPr>
              <w:jc w:val="right"/>
            </w:pPr>
          </w:p>
        </w:tc>
        <w:tc>
          <w:tcPr>
            <w:tcW w:w="1533"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pPr>
              <w:keepNext w:val="0"/>
              <w:keepLines w:val="0"/>
              <w:widowControl/>
              <w:suppressLineNumbers w:val="0"/>
              <w:jc w:val="right"/>
              <w:textAlignment w:val="center"/>
            </w:pPr>
            <w:r>
              <w:rPr>
                <w:rFonts w:hint="eastAsia" w:ascii="宋体" w:hAnsi="宋体" w:eastAsia="宋体" w:cs="宋体"/>
                <w:lang w:val="en-US" w:eastAsia="zh-CN"/>
              </w:rPr>
              <w:t>148.21</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142.16</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615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148.21</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142.16</w:t>
            </w:r>
          </w:p>
        </w:tc>
        <w:tc>
          <w:tcPr>
            <w:tcW w:w="21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137.95</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137.95</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51.74</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51.74</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39.64</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39.64</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15.32</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15.32</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0.71</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0.71</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2266"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9.41</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2.9</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0.88</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0.17</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226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226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0.85</w:t>
            </w:r>
          </w:p>
        </w:tc>
        <w:tc>
          <w:tcPr>
            <w:tcW w:w="2165"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7"/>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7"/>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7"/>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7"/>
            </w:pPr>
          </w:p>
        </w:tc>
        <w:tc>
          <w:tcPr>
            <w:tcW w:w="3208" w:type="dxa"/>
            <w:vMerge w:val="continue"/>
            <w:tcBorders>
              <w:top w:val="nil"/>
            </w:tcBorders>
            <w:vAlign w:val="top"/>
          </w:tcPr>
          <w:p>
            <w:pPr>
              <w:pStyle w:val="7"/>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7"/>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7"/>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7"/>
            </w:pPr>
          </w:p>
        </w:tc>
        <w:tc>
          <w:tcPr>
            <w:tcW w:w="6477" w:type="dxa"/>
            <w:vMerge w:val="continue"/>
            <w:tcBorders>
              <w:top w:val="nil"/>
            </w:tcBorders>
            <w:vAlign w:val="top"/>
          </w:tcPr>
          <w:p>
            <w:pPr>
              <w:pStyle w:val="7"/>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2" w:lineRule="auto"/>
            </w:pPr>
          </w:p>
          <w:p>
            <w:pPr>
              <w:pStyle w:val="7"/>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302" w:lineRule="auto"/>
            </w:pPr>
          </w:p>
          <w:p>
            <w:pPr>
              <w:pStyle w:val="7"/>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7"/>
              <w:spacing w:line="302" w:lineRule="auto"/>
            </w:pPr>
          </w:p>
          <w:p>
            <w:pPr>
              <w:pStyle w:val="7"/>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3"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314" w:type="dxa"/>
            <w:vAlign w:val="top"/>
          </w:tcPr>
          <w:p>
            <w:pPr>
              <w:pStyle w:val="7"/>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pPr>
              <w:pStyle w:val="7"/>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43" w:type="dxa"/>
            <w:vAlign w:val="top"/>
          </w:tcPr>
          <w:p>
            <w:pPr>
              <w:pStyle w:val="7"/>
            </w:pP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815" w:type="dxa"/>
            <w:vAlign w:val="center"/>
          </w:tcPr>
          <w:p>
            <w:pPr>
              <w:jc w:val="left"/>
            </w:pPr>
          </w:p>
        </w:tc>
        <w:tc>
          <w:tcPr>
            <w:tcW w:w="1243" w:type="dxa"/>
            <w:vAlign w:val="center"/>
          </w:tcPr>
          <w:p>
            <w:pPr>
              <w:jc w:val="left"/>
            </w:pP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退役军人事务管理专项业务经费</w:t>
            </w:r>
          </w:p>
        </w:tc>
        <w:tc>
          <w:tcPr>
            <w:tcW w:w="124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双拥经费县区级每年安排双拥办公室经费不少于10万元，经费保障满足双拥工作需要并根据经济社会发展水平逐渐增加，主要用于双拥宣传、各街道服务站室外宣传板，条幅、宣传单等。本级10万元。</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22024-2025年统计专用系统网费3万元</w:t>
            </w:r>
          </w:p>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八一、春节走访按人数发放</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优抚对象抚恤补助</w:t>
            </w:r>
          </w:p>
        </w:tc>
        <w:tc>
          <w:tcPr>
            <w:tcW w:w="124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盘退役军人发（2023）29号</w:t>
            </w:r>
          </w:p>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关于转发《辽宁省退役军人事务厅 辽宁省财政厅关于调整部分优抚对象等人员抚恤和生活补助标准的通知》和提高相关优抚对象生活补助标准的通知，根据文件要求，对以上项目按要求定时发放</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退役安置补助</w:t>
            </w:r>
          </w:p>
        </w:tc>
        <w:tc>
          <w:tcPr>
            <w:tcW w:w="124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退役士兵安置主要是安置人员一次性经济补助，军转干部退休金及生活补助等，获奖等级不金额不同，保险按时缴纳等，保障退役人员各项待遇及时发放。按照国家文件要求实施，执行</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义务兵优待金</w:t>
            </w:r>
          </w:p>
        </w:tc>
        <w:tc>
          <w:tcPr>
            <w:tcW w:w="124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服现役期间，地方政府对其家庭发放优待金。按照上年度全省城乡居民人均消费支持水平确定当年发放标准。按文件要求，入伍大学生一次性奖励金按时发放，消防预备士家庭优待金所需经费由所在县（市.区）财政予以保障。</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815" w:type="dxa"/>
            <w:vAlign w:val="center"/>
          </w:tcPr>
          <w:p>
            <w:pPr>
              <w:jc w:val="left"/>
            </w:pPr>
          </w:p>
        </w:tc>
        <w:tc>
          <w:tcPr>
            <w:tcW w:w="1243" w:type="dxa"/>
            <w:vAlign w:val="center"/>
          </w:tcPr>
          <w:p>
            <w:pPr>
              <w:jc w:val="left"/>
            </w:pP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5" w:lineRule="auto"/>
            </w:pPr>
          </w:p>
          <w:p>
            <w:pPr>
              <w:pStyle w:val="7"/>
              <w:spacing w:line="305" w:lineRule="auto"/>
            </w:pPr>
          </w:p>
          <w:p>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7"/>
              <w:spacing w:line="305" w:lineRule="auto"/>
            </w:pPr>
          </w:p>
          <w:p>
            <w:pPr>
              <w:pStyle w:val="7"/>
              <w:spacing w:line="305"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7"/>
              <w:spacing w:line="305" w:lineRule="auto"/>
            </w:pPr>
          </w:p>
          <w:p>
            <w:pPr>
              <w:pStyle w:val="7"/>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314" w:type="dxa"/>
            <w:vAlign w:val="top"/>
          </w:tcPr>
          <w:p>
            <w:pPr>
              <w:pStyle w:val="7"/>
              <w:spacing w:line="352"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7"/>
              <w:spacing w:line="352"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810.28</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810.28</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810.28</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16.21</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16.21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16.21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16.21</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16.21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16.21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其他退役安置支出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20828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退役军人管理事务</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190.91</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190.91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190.91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38.95</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38.95</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38.95</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2082850</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31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73.96</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其他退役军人事务管理支出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56.64</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56.64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56.64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56.64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6.78</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0.07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31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spacing w:line="339"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pPr>
              <w:pStyle w:val="7"/>
              <w:spacing w:line="296" w:lineRule="auto"/>
            </w:pPr>
          </w:p>
          <w:p>
            <w:pPr>
              <w:pStyle w:val="7"/>
              <w:spacing w:line="296" w:lineRule="auto"/>
            </w:pPr>
          </w:p>
          <w:p>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pPr>
              <w:pStyle w:val="7"/>
              <w:spacing w:line="296" w:lineRule="auto"/>
            </w:pPr>
          </w:p>
          <w:p>
            <w:pPr>
              <w:pStyle w:val="7"/>
              <w:spacing w:line="297" w:lineRule="auto"/>
            </w:pPr>
          </w:p>
          <w:p>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2356" w:type="dxa"/>
            <w:vMerge w:val="continue"/>
            <w:tcBorders>
              <w:top w:val="nil"/>
            </w:tcBorders>
            <w:vAlign w:val="top"/>
          </w:tcPr>
          <w:p>
            <w:pPr>
              <w:pStyle w:val="7"/>
            </w:pPr>
          </w:p>
        </w:tc>
        <w:tc>
          <w:tcPr>
            <w:tcW w:w="1223" w:type="dxa"/>
            <w:vMerge w:val="continue"/>
            <w:tcBorders>
              <w:top w:val="nil"/>
            </w:tcBorders>
            <w:vAlign w:val="top"/>
          </w:tcPr>
          <w:p>
            <w:pPr>
              <w:pStyle w:val="7"/>
            </w:pPr>
          </w:p>
        </w:tc>
        <w:tc>
          <w:tcPr>
            <w:tcW w:w="1303" w:type="dxa"/>
            <w:vAlign w:val="top"/>
          </w:tcPr>
          <w:p>
            <w:pPr>
              <w:pStyle w:val="7"/>
              <w:spacing w:line="337" w:lineRule="auto"/>
            </w:pPr>
          </w:p>
          <w:p>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pStyle w:val="7"/>
            </w:pPr>
          </w:p>
        </w:tc>
        <w:tc>
          <w:tcPr>
            <w:tcW w:w="2356" w:type="dxa"/>
            <w:vAlign w:val="top"/>
          </w:tcPr>
          <w:p>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2356"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3.96</w:t>
            </w:r>
          </w:p>
        </w:tc>
        <w:tc>
          <w:tcPr>
            <w:tcW w:w="130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97.04</w:t>
            </w:r>
          </w:p>
        </w:tc>
        <w:tc>
          <w:tcPr>
            <w:tcW w:w="130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97.04</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97.04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92.74</w:t>
            </w:r>
          </w:p>
        </w:tc>
        <w:tc>
          <w:tcPr>
            <w:tcW w:w="130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92.74</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92.74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5.11</w:t>
            </w:r>
          </w:p>
        </w:tc>
        <w:tc>
          <w:tcPr>
            <w:tcW w:w="130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4.81</w:t>
            </w:r>
          </w:p>
        </w:tc>
        <w:tc>
          <w:tcPr>
            <w:tcW w:w="130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4.81</w:t>
            </w:r>
          </w:p>
        </w:tc>
        <w:tc>
          <w:tcPr>
            <w:tcW w:w="1133"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130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7"/>
              <w:spacing w:line="296" w:lineRule="auto"/>
            </w:pPr>
          </w:p>
          <w:p>
            <w:pPr>
              <w:pStyle w:val="7"/>
              <w:spacing w:line="296"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7"/>
              <w:spacing w:line="296" w:lineRule="auto"/>
            </w:pPr>
          </w:p>
          <w:p>
            <w:pPr>
              <w:pStyle w:val="7"/>
              <w:spacing w:line="297" w:lineRule="auto"/>
            </w:pPr>
          </w:p>
          <w:p>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183" w:type="dxa"/>
            <w:vAlign w:val="top"/>
          </w:tcPr>
          <w:p>
            <w:pPr>
              <w:pStyle w:val="7"/>
              <w:spacing w:line="337" w:lineRule="auto"/>
            </w:pPr>
          </w:p>
          <w:p>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828.72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137.95</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137.95</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137.95</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51.74</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51.74</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51.74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32.14</w:t>
            </w:r>
          </w:p>
        </w:tc>
        <w:tc>
          <w:tcPr>
            <w:tcW w:w="11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32.14</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32.14</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15.32</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15.32</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15.32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6.71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0.71</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0.71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0.71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11.67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9.41</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9.41</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9.41</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2.90</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2.90</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2.90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1.50</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1.50</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1.50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0.60</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0.60</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0.60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0.88</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0.88</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0.88</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0.17</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0.17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0.17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118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113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681.37</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0.85</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296" w:lineRule="auto"/>
            </w:pPr>
          </w:p>
          <w:p>
            <w:pPr>
              <w:pStyle w:val="7"/>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7"/>
              <w:spacing w:line="296" w:lineRule="auto"/>
            </w:pPr>
          </w:p>
          <w:p>
            <w:pPr>
              <w:pStyle w:val="7"/>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73" w:type="dxa"/>
            <w:vMerge w:val="continue"/>
            <w:tcBorders>
              <w:top w:val="nil"/>
            </w:tcBorders>
            <w:vAlign w:val="top"/>
          </w:tcPr>
          <w:p>
            <w:pPr>
              <w:pStyle w:val="7"/>
            </w:pPr>
          </w:p>
        </w:tc>
        <w:tc>
          <w:tcPr>
            <w:tcW w:w="1243" w:type="dxa"/>
            <w:vAlign w:val="top"/>
          </w:tcPr>
          <w:p>
            <w:pPr>
              <w:pStyle w:val="7"/>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5" w:lineRule="auto"/>
            </w:pPr>
          </w:p>
          <w:p>
            <w:pPr>
              <w:pStyle w:val="7"/>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305" w:lineRule="auto"/>
            </w:pPr>
          </w:p>
          <w:p>
            <w:pPr>
              <w:pStyle w:val="7"/>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7"/>
              <w:spacing w:line="305" w:lineRule="auto"/>
            </w:pPr>
          </w:p>
          <w:p>
            <w:pPr>
              <w:pStyle w:val="7"/>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4"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243" w:type="dxa"/>
            <w:vAlign w:val="top"/>
          </w:tcPr>
          <w:p>
            <w:pPr>
              <w:pStyle w:val="7"/>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7"/>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1"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7"/>
              <w:spacing w:line="306" w:lineRule="auto"/>
            </w:pPr>
          </w:p>
          <w:p>
            <w:pPr>
              <w:pStyle w:val="7"/>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7"/>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7"/>
              <w:spacing w:line="245" w:lineRule="auto"/>
            </w:pPr>
          </w:p>
          <w:p>
            <w:pPr>
              <w:pStyle w:val="7"/>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7"/>
              <w:spacing w:line="307" w:lineRule="auto"/>
            </w:pPr>
          </w:p>
          <w:p>
            <w:pPr>
              <w:pStyle w:val="7"/>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pPr>
              <w:pStyle w:val="7"/>
            </w:pPr>
          </w:p>
        </w:tc>
        <w:tc>
          <w:tcPr>
            <w:tcW w:w="1023" w:type="dxa"/>
            <w:vMerge w:val="continue"/>
            <w:tcBorders>
              <w:top w:val="nil"/>
            </w:tcBorders>
            <w:vAlign w:val="top"/>
          </w:tcPr>
          <w:p>
            <w:pPr>
              <w:pStyle w:val="7"/>
            </w:pPr>
          </w:p>
        </w:tc>
        <w:tc>
          <w:tcPr>
            <w:tcW w:w="1022" w:type="dxa"/>
            <w:vMerge w:val="continue"/>
            <w:tcBorders>
              <w:top w:val="nil"/>
            </w:tcBorders>
            <w:vAlign w:val="top"/>
          </w:tcPr>
          <w:p>
            <w:pPr>
              <w:pStyle w:val="7"/>
            </w:pPr>
          </w:p>
        </w:tc>
        <w:tc>
          <w:tcPr>
            <w:tcW w:w="1022" w:type="dxa"/>
            <w:vMerge w:val="continue"/>
            <w:tcBorders>
              <w:top w:val="nil"/>
            </w:tcBorders>
            <w:vAlign w:val="top"/>
          </w:tcPr>
          <w:p>
            <w:pPr>
              <w:pStyle w:val="7"/>
            </w:pPr>
          </w:p>
        </w:tc>
        <w:tc>
          <w:tcPr>
            <w:tcW w:w="1073" w:type="dxa"/>
            <w:vMerge w:val="continue"/>
            <w:tcBorders>
              <w:top w:val="nil"/>
            </w:tcBorders>
            <w:vAlign w:val="top"/>
          </w:tcPr>
          <w:p>
            <w:pPr>
              <w:pStyle w:val="7"/>
            </w:pPr>
          </w:p>
        </w:tc>
        <w:tc>
          <w:tcPr>
            <w:tcW w:w="1073" w:type="dxa"/>
            <w:vAlign w:val="top"/>
          </w:tcPr>
          <w:p>
            <w:pPr>
              <w:pStyle w:val="7"/>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7"/>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p>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ascii="宋体" w:hAnsi="宋体" w:eastAsia="宋体" w:cs="宋体"/>
          <w:spacing w:val="4"/>
          <w:sz w:val="19"/>
          <w:szCs w:val="19"/>
        </w:rPr>
        <w:t>表16</w:t>
      </w:r>
    </w:p>
    <w:p>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盘锦市双台子区退役军人事务所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pPr>
              <w:pStyle w:val="7"/>
              <w:spacing w:line="342" w:lineRule="auto"/>
            </w:pPr>
          </w:p>
          <w:p>
            <w:pPr>
              <w:pStyle w:val="7"/>
              <w:spacing w:line="343"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pPr>
              <w:pStyle w:val="7"/>
            </w:pPr>
          </w:p>
        </w:tc>
        <w:tc>
          <w:tcPr>
            <w:tcW w:w="7020" w:type="dxa"/>
            <w:gridSpan w:val="4"/>
            <w:vAlign w:val="top"/>
          </w:tcPr>
          <w:p>
            <w:pPr>
              <w:pStyle w:val="7"/>
            </w:pPr>
          </w:p>
        </w:tc>
        <w:tc>
          <w:tcPr>
            <w:tcW w:w="5274"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pPr>
              <w:pStyle w:val="7"/>
            </w:pPr>
            <w:r>
              <w:rPr>
                <w:rFonts w:hint="eastAsia" w:ascii="宋体" w:hAnsi="宋体" w:eastAsia="宋体" w:cs="宋体"/>
                <w:i w:val="0"/>
                <w:iCs w:val="0"/>
                <w:snapToGrid w:val="0"/>
                <w:color w:val="000000"/>
                <w:kern w:val="0"/>
                <w:sz w:val="20"/>
                <w:szCs w:val="20"/>
                <w:u w:val="none"/>
                <w:lang w:val="en-US" w:eastAsia="zh-CN" w:bidi="ar"/>
              </w:rPr>
              <w:t>按时发放人员工资，保正常运转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安全责任制落实</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煤矿企业办事满意度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执法办案行为投诉率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restart"/>
            <w:vAlign w:val="top"/>
          </w:tcPr>
          <w:p>
            <w:pPr>
              <w:pStyle w:val="7"/>
            </w:pPr>
          </w:p>
          <w:p>
            <w:pPr>
              <w:bidi w:val="0"/>
              <w:jc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工程建设项目审批制度改革</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c>
          <w:tcPr>
            <w:tcW w:w="17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7"/>
            </w:pPr>
          </w:p>
        </w:tc>
        <w:tc>
          <w:tcPr>
            <w:tcW w:w="1755" w:type="dxa"/>
            <w:vMerge w:val="continue"/>
            <w:vAlign w:val="top"/>
          </w:tcPr>
          <w:p>
            <w:pPr>
              <w:pStyle w:val="7"/>
            </w:pPr>
          </w:p>
        </w:tc>
        <w:tc>
          <w:tcPr>
            <w:tcW w:w="1755" w:type="dxa"/>
            <w:vMerge w:val="continue"/>
            <w:vAlign w:val="top"/>
          </w:tcPr>
          <w:p>
            <w:pPr>
              <w:pStyle w:val="7"/>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完善内控制度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c>
          <w:tcPr>
            <w:tcW w:w="1764" w:type="dxa"/>
            <w:vAlign w:val="center"/>
          </w:tcPr>
          <w:p>
            <w:pPr>
              <w:jc w:val="center"/>
            </w:pPr>
          </w:p>
        </w:tc>
      </w:tr>
    </w:tbl>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pPr>
              <w:pStyle w:val="7"/>
            </w:pPr>
          </w:p>
        </w:tc>
        <w:tc>
          <w:tcPr>
            <w:tcW w:w="1413" w:type="dxa"/>
            <w:vAlign w:val="top"/>
          </w:tcPr>
          <w:p>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7"/>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7"/>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7"/>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7"/>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3D7441E5"/>
    <w:multiLevelType w:val="singleLevel"/>
    <w:tmpl w:val="3D7441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NjYjM1OTJkNDA4NWYyZjI0ZWYwYWNiYzk4ZTJkNTcifQ=="/>
    <w:docVar w:name="KSO_WPS_MARK_KEY" w:val="cc616883-a4d4-443f-a7c7-7432c8003ba3"/>
  </w:docVars>
  <w:rsids>
    <w:rsidRoot w:val="00000000"/>
    <w:rsid w:val="001570FF"/>
    <w:rsid w:val="005C088A"/>
    <w:rsid w:val="012F5F9F"/>
    <w:rsid w:val="01852063"/>
    <w:rsid w:val="01BE7323"/>
    <w:rsid w:val="03004097"/>
    <w:rsid w:val="05123C0E"/>
    <w:rsid w:val="0556624A"/>
    <w:rsid w:val="057C5A9B"/>
    <w:rsid w:val="0580501B"/>
    <w:rsid w:val="05E66669"/>
    <w:rsid w:val="063E5FC4"/>
    <w:rsid w:val="07047ECE"/>
    <w:rsid w:val="08A059D4"/>
    <w:rsid w:val="08BB280E"/>
    <w:rsid w:val="094B1DE4"/>
    <w:rsid w:val="09F4422A"/>
    <w:rsid w:val="0A026946"/>
    <w:rsid w:val="0A110938"/>
    <w:rsid w:val="0B8213C1"/>
    <w:rsid w:val="0C8A49D1"/>
    <w:rsid w:val="0CB42738"/>
    <w:rsid w:val="0DA10614"/>
    <w:rsid w:val="0DA726A0"/>
    <w:rsid w:val="0DB54BD7"/>
    <w:rsid w:val="0E1409F6"/>
    <w:rsid w:val="0E1E49F8"/>
    <w:rsid w:val="0F3F7CF5"/>
    <w:rsid w:val="0F6A70B0"/>
    <w:rsid w:val="102E110C"/>
    <w:rsid w:val="11AA1B91"/>
    <w:rsid w:val="11C10E95"/>
    <w:rsid w:val="12982E32"/>
    <w:rsid w:val="13DC1FB6"/>
    <w:rsid w:val="13E9022F"/>
    <w:rsid w:val="147E3783"/>
    <w:rsid w:val="1528122B"/>
    <w:rsid w:val="159B52FF"/>
    <w:rsid w:val="16677B31"/>
    <w:rsid w:val="166D339A"/>
    <w:rsid w:val="16DB34C7"/>
    <w:rsid w:val="18226406"/>
    <w:rsid w:val="19097372"/>
    <w:rsid w:val="1A3F329F"/>
    <w:rsid w:val="1A5217D0"/>
    <w:rsid w:val="1ACE471E"/>
    <w:rsid w:val="1C3F7586"/>
    <w:rsid w:val="1E1041A5"/>
    <w:rsid w:val="1E696B3C"/>
    <w:rsid w:val="1FA77F0C"/>
    <w:rsid w:val="20FB07E8"/>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1F2D8B"/>
    <w:rsid w:val="2DA95F68"/>
    <w:rsid w:val="2E1D349F"/>
    <w:rsid w:val="2E383E35"/>
    <w:rsid w:val="2E4A1B2F"/>
    <w:rsid w:val="2FDB716E"/>
    <w:rsid w:val="3045791D"/>
    <w:rsid w:val="3243100D"/>
    <w:rsid w:val="325A081E"/>
    <w:rsid w:val="326343FE"/>
    <w:rsid w:val="328C29A2"/>
    <w:rsid w:val="32DC6FF6"/>
    <w:rsid w:val="33196670"/>
    <w:rsid w:val="35E52AF5"/>
    <w:rsid w:val="36347E29"/>
    <w:rsid w:val="36897924"/>
    <w:rsid w:val="3781684D"/>
    <w:rsid w:val="37976071"/>
    <w:rsid w:val="37D03FB4"/>
    <w:rsid w:val="392C34D5"/>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03351B5"/>
    <w:rsid w:val="422678F0"/>
    <w:rsid w:val="42562684"/>
    <w:rsid w:val="42A45AE6"/>
    <w:rsid w:val="42BC698B"/>
    <w:rsid w:val="44451756"/>
    <w:rsid w:val="44670B79"/>
    <w:rsid w:val="44CD1DA8"/>
    <w:rsid w:val="44E623E5"/>
    <w:rsid w:val="44F05012"/>
    <w:rsid w:val="4512329C"/>
    <w:rsid w:val="45260A34"/>
    <w:rsid w:val="45D00D47"/>
    <w:rsid w:val="462D66FA"/>
    <w:rsid w:val="467F21AA"/>
    <w:rsid w:val="47110682"/>
    <w:rsid w:val="47BE4F54"/>
    <w:rsid w:val="48D60C67"/>
    <w:rsid w:val="4A96265D"/>
    <w:rsid w:val="4C4628B5"/>
    <w:rsid w:val="4CFE2B05"/>
    <w:rsid w:val="4DF26061"/>
    <w:rsid w:val="4E173610"/>
    <w:rsid w:val="4F530677"/>
    <w:rsid w:val="4F7433EE"/>
    <w:rsid w:val="4FA96B87"/>
    <w:rsid w:val="51402E7D"/>
    <w:rsid w:val="51E50C0E"/>
    <w:rsid w:val="52BC6534"/>
    <w:rsid w:val="52F51698"/>
    <w:rsid w:val="53E421E6"/>
    <w:rsid w:val="548E3F00"/>
    <w:rsid w:val="54C94F38"/>
    <w:rsid w:val="55821CB6"/>
    <w:rsid w:val="558C5BDF"/>
    <w:rsid w:val="55E174AC"/>
    <w:rsid w:val="56A52B5E"/>
    <w:rsid w:val="56D464F4"/>
    <w:rsid w:val="56DF6F78"/>
    <w:rsid w:val="57601B83"/>
    <w:rsid w:val="57711FE2"/>
    <w:rsid w:val="57AF48B9"/>
    <w:rsid w:val="57EE718F"/>
    <w:rsid w:val="580249E1"/>
    <w:rsid w:val="5923730C"/>
    <w:rsid w:val="5A62575D"/>
    <w:rsid w:val="5A663955"/>
    <w:rsid w:val="5C1A18C6"/>
    <w:rsid w:val="5C232555"/>
    <w:rsid w:val="5FF51154"/>
    <w:rsid w:val="61B2747F"/>
    <w:rsid w:val="637A221F"/>
    <w:rsid w:val="63A177AC"/>
    <w:rsid w:val="63A64DC2"/>
    <w:rsid w:val="63E37DC4"/>
    <w:rsid w:val="64405216"/>
    <w:rsid w:val="646031C3"/>
    <w:rsid w:val="65AF7D19"/>
    <w:rsid w:val="65D976D1"/>
    <w:rsid w:val="66882EA5"/>
    <w:rsid w:val="66972998"/>
    <w:rsid w:val="68282249"/>
    <w:rsid w:val="69AD3787"/>
    <w:rsid w:val="69E71C90"/>
    <w:rsid w:val="6AD55F8D"/>
    <w:rsid w:val="6B010454"/>
    <w:rsid w:val="6B3233DF"/>
    <w:rsid w:val="6BA6556B"/>
    <w:rsid w:val="6CC4450B"/>
    <w:rsid w:val="6DDE33AA"/>
    <w:rsid w:val="70B34FC2"/>
    <w:rsid w:val="71292C4E"/>
    <w:rsid w:val="72294188"/>
    <w:rsid w:val="72914E8F"/>
    <w:rsid w:val="72CE7E91"/>
    <w:rsid w:val="72F13B80"/>
    <w:rsid w:val="73BF3BE6"/>
    <w:rsid w:val="76606C42"/>
    <w:rsid w:val="769D3E02"/>
    <w:rsid w:val="769E7B7B"/>
    <w:rsid w:val="777022BA"/>
    <w:rsid w:val="78AC47D1"/>
    <w:rsid w:val="78C95383"/>
    <w:rsid w:val="79222CE5"/>
    <w:rsid w:val="795A30D0"/>
    <w:rsid w:val="7A316DFD"/>
    <w:rsid w:val="7A9419C0"/>
    <w:rsid w:val="7B1E128A"/>
    <w:rsid w:val="7BA31BE2"/>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8128</Words>
  <Characters>10842</Characters>
  <TotalTime>8</TotalTime>
  <ScaleCrop>false</ScaleCrop>
  <LinksUpToDate>false</LinksUpToDate>
  <CharactersWithSpaces>11782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（多喝水 。</cp:lastModifiedBy>
  <cp:lastPrinted>2025-03-11T06:53:00Z</cp:lastPrinted>
  <dcterms:modified xsi:type="dcterms:W3CDTF">2025-03-26T08:34:26Z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2052-11.1.0.14309</vt:lpwstr>
  </property>
  <property fmtid="{D5CDD505-2E9C-101B-9397-08002B2CF9AE}" pid="5" name="ICV">
    <vt:lpwstr>1DF43B2FBC664450B5D543510BED5F87_13</vt:lpwstr>
  </property>
  <property fmtid="{D5CDD505-2E9C-101B-9397-08002B2CF9AE}" pid="6" name="KSOTemplateDocerSaveRecord">
    <vt:lpwstr>eyJoZGlkIjoiNWFhZmU4MmUwYWM1ZTZiYWUzZDgwZjZkYzRiNjgzZTMiLCJ1c2VySWQiOiI2MzE3OTk5MTUifQ==</vt:lpwstr>
  </property>
</Properties>
</file>