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6020" w:type="dxa"/>
        <w:tblInd w:w="0" w:type="dxa"/>
        <w:tblLayout w:type="autofit"/>
        <w:tblCellMar>
          <w:top w:w="0" w:type="dxa"/>
          <w:left w:w="0" w:type="dxa"/>
          <w:bottom w:w="0" w:type="dxa"/>
          <w:right w:w="0" w:type="dxa"/>
        </w:tblCellMar>
      </w:tblPr>
      <w:tblGrid>
        <w:gridCol w:w="874"/>
        <w:gridCol w:w="1451"/>
        <w:gridCol w:w="1635"/>
        <w:gridCol w:w="12060"/>
      </w:tblGrid>
      <w:tr>
        <w:tblPrEx>
          <w:tblCellMar>
            <w:top w:w="0" w:type="dxa"/>
            <w:left w:w="0" w:type="dxa"/>
            <w:bottom w:w="0" w:type="dxa"/>
            <w:right w:w="0" w:type="dxa"/>
          </w:tblCellMar>
        </w:tblPrEx>
        <w:trPr>
          <w:trHeight w:val="270" w:hRule="atLeast"/>
        </w:trPr>
        <w:tc>
          <w:tcPr>
            <w:tcW w:w="2325" w:type="dxa"/>
            <w:gridSpan w:val="2"/>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b/>
                <w:color w:val="auto"/>
                <w:sz w:val="22"/>
              </w:rPr>
            </w:pPr>
            <w:r>
              <w:rPr>
                <w:rFonts w:hint="eastAsia" w:ascii="黑体" w:hAnsi="黑体" w:eastAsia="黑体" w:cs="黑体"/>
                <w:b w:val="0"/>
                <w:bCs/>
                <w:color w:val="auto"/>
                <w:kern w:val="0"/>
                <w:sz w:val="32"/>
                <w:szCs w:val="32"/>
                <w:lang w:bidi="ar"/>
              </w:rPr>
              <w:t>附件1</w:t>
            </w:r>
          </w:p>
        </w:tc>
        <w:tc>
          <w:tcPr>
            <w:tcW w:w="1635" w:type="dxa"/>
            <w:tcBorders>
              <w:top w:val="nil"/>
              <w:left w:val="nil"/>
              <w:bottom w:val="nil"/>
              <w:right w:val="nil"/>
            </w:tcBorders>
            <w:noWrap/>
            <w:tcMar>
              <w:top w:w="15" w:type="dxa"/>
              <w:left w:w="15" w:type="dxa"/>
              <w:right w:w="15" w:type="dxa"/>
            </w:tcMar>
            <w:vAlign w:val="center"/>
          </w:tcPr>
          <w:p>
            <w:pPr>
              <w:rPr>
                <w:rFonts w:hint="eastAsia" w:ascii="宋体" w:hAnsi="宋体" w:cs="宋体"/>
                <w:color w:val="auto"/>
                <w:sz w:val="22"/>
              </w:rPr>
            </w:pPr>
          </w:p>
        </w:tc>
        <w:tc>
          <w:tcPr>
            <w:tcW w:w="12060" w:type="dxa"/>
            <w:tcBorders>
              <w:top w:val="nil"/>
              <w:left w:val="nil"/>
              <w:bottom w:val="nil"/>
              <w:right w:val="nil"/>
            </w:tcBorders>
            <w:noWrap/>
            <w:tcMar>
              <w:top w:w="15" w:type="dxa"/>
              <w:left w:w="15" w:type="dxa"/>
              <w:right w:w="15" w:type="dxa"/>
            </w:tcMar>
            <w:vAlign w:val="center"/>
          </w:tcPr>
          <w:p>
            <w:pPr>
              <w:rPr>
                <w:rFonts w:hint="eastAsia" w:ascii="宋体" w:hAnsi="宋体" w:cs="宋体"/>
                <w:color w:val="auto"/>
                <w:sz w:val="22"/>
              </w:rPr>
            </w:pPr>
          </w:p>
        </w:tc>
      </w:tr>
      <w:tr>
        <w:tblPrEx>
          <w:tblCellMar>
            <w:top w:w="0" w:type="dxa"/>
            <w:left w:w="0" w:type="dxa"/>
            <w:bottom w:w="0" w:type="dxa"/>
            <w:right w:w="0" w:type="dxa"/>
          </w:tblCellMar>
        </w:tblPrEx>
        <w:trPr>
          <w:trHeight w:val="1125" w:hRule="atLeast"/>
        </w:trPr>
        <w:tc>
          <w:tcPr>
            <w:tcW w:w="16020" w:type="dxa"/>
            <w:gridSpan w:val="4"/>
            <w:tcBorders>
              <w:top w:val="nil"/>
              <w:left w:val="nil"/>
              <w:bottom w:val="single" w:color="000000" w:sz="4" w:space="0"/>
              <w:right w:val="nil"/>
            </w:tcBorders>
            <w:noWrap/>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b/>
                <w:color w:val="auto"/>
                <w:sz w:val="36"/>
                <w:szCs w:val="36"/>
              </w:rPr>
            </w:pPr>
            <w:r>
              <w:rPr>
                <w:rFonts w:hint="eastAsia" w:ascii="方正小标宋简体" w:hAnsi="方正小标宋简体" w:eastAsia="方正小标宋简体" w:cs="方正小标宋简体"/>
                <w:b w:val="0"/>
                <w:bCs/>
                <w:color w:val="auto"/>
                <w:kern w:val="0"/>
                <w:sz w:val="44"/>
                <w:szCs w:val="44"/>
                <w:lang w:bidi="ar"/>
              </w:rPr>
              <w:t>盘锦市双台子区节约型机关创建行动评价标准</w:t>
            </w:r>
            <w:bookmarkStart w:id="0" w:name="_GoBack"/>
            <w:bookmarkEnd w:id="0"/>
          </w:p>
        </w:tc>
      </w:tr>
      <w:tr>
        <w:tblPrEx>
          <w:tblCellMar>
            <w:top w:w="0" w:type="dxa"/>
            <w:left w:w="0" w:type="dxa"/>
            <w:bottom w:w="0" w:type="dxa"/>
            <w:right w:w="0" w:type="dxa"/>
          </w:tblCellMar>
        </w:tblPrEx>
        <w:trPr>
          <w:trHeight w:val="450" w:hRule="atLeast"/>
        </w:trPr>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b/>
                <w:color w:val="auto"/>
                <w:sz w:val="22"/>
              </w:rPr>
            </w:pPr>
            <w:r>
              <w:rPr>
                <w:rFonts w:hint="eastAsia" w:ascii="黑体" w:hAnsi="宋体" w:eastAsia="黑体" w:cs="黑体"/>
                <w:b/>
                <w:color w:val="auto"/>
                <w:kern w:val="0"/>
                <w:sz w:val="22"/>
                <w:lang w:bidi="ar"/>
              </w:rPr>
              <w:t>序号</w:t>
            </w:r>
          </w:p>
        </w:tc>
        <w:tc>
          <w:tcPr>
            <w:tcW w:w="1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b/>
                <w:color w:val="auto"/>
                <w:sz w:val="22"/>
              </w:rPr>
            </w:pPr>
            <w:r>
              <w:rPr>
                <w:rFonts w:hint="eastAsia" w:ascii="黑体" w:hAnsi="宋体" w:eastAsia="黑体" w:cs="黑体"/>
                <w:b/>
                <w:color w:val="auto"/>
                <w:kern w:val="0"/>
                <w:sz w:val="22"/>
                <w:lang w:bidi="ar"/>
              </w:rPr>
              <w:t>单 元</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b/>
                <w:color w:val="auto"/>
                <w:sz w:val="22"/>
              </w:rPr>
            </w:pPr>
            <w:r>
              <w:rPr>
                <w:rFonts w:hint="eastAsia" w:ascii="黑体" w:hAnsi="宋体" w:eastAsia="黑体" w:cs="黑体"/>
                <w:b/>
                <w:color w:val="auto"/>
                <w:kern w:val="0"/>
                <w:sz w:val="22"/>
                <w:lang w:bidi="ar"/>
              </w:rPr>
              <w:t>项 目</w:t>
            </w:r>
          </w:p>
        </w:tc>
        <w:tc>
          <w:tcPr>
            <w:tcW w:w="12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宋体" w:eastAsia="黑体" w:cs="黑体"/>
                <w:b/>
                <w:color w:val="auto"/>
                <w:sz w:val="22"/>
              </w:rPr>
            </w:pPr>
            <w:r>
              <w:rPr>
                <w:rFonts w:hint="eastAsia" w:ascii="黑体" w:hAnsi="宋体" w:eastAsia="黑体" w:cs="黑体"/>
                <w:b/>
                <w:color w:val="auto"/>
                <w:kern w:val="0"/>
                <w:sz w:val="22"/>
                <w:lang w:bidi="ar"/>
              </w:rPr>
              <w:t>评价标准</w:t>
            </w:r>
          </w:p>
        </w:tc>
      </w:tr>
      <w:tr>
        <w:tblPrEx>
          <w:tblCellMar>
            <w:top w:w="0" w:type="dxa"/>
            <w:left w:w="0" w:type="dxa"/>
            <w:bottom w:w="0" w:type="dxa"/>
            <w:right w:w="0" w:type="dxa"/>
          </w:tblCellMar>
        </w:tblPrEx>
        <w:trPr>
          <w:trHeight w:val="1155" w:hRule="atLeast"/>
        </w:trPr>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强化目标管理</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节约能源资源目标管理</w:t>
            </w: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Style w:val="7"/>
                <w:rFonts w:hint="default" w:hAnsi="宋体"/>
                <w:color w:val="auto"/>
                <w:lang w:bidi="ar"/>
              </w:rPr>
              <w:t>【</w:t>
            </w:r>
            <w:r>
              <w:rPr>
                <w:rStyle w:val="8"/>
                <w:rFonts w:hint="default" w:hAnsi="宋体"/>
                <w:color w:val="auto"/>
                <w:lang w:bidi="ar"/>
              </w:rPr>
              <w:t>此项为必须完成项，未完成视为评价不达标</w:t>
            </w:r>
            <w:r>
              <w:rPr>
                <w:rStyle w:val="7"/>
                <w:rFonts w:hint="default" w:hAnsi="宋体"/>
                <w:color w:val="auto"/>
                <w:lang w:bidi="ar"/>
              </w:rPr>
              <w:t>】纳入重点用能单位管理范围的党政机关，符合节能目标责任考核的各项要求，且年度考核等级为完成及以上等级：□是，□否；年度考核等级＿＿＿；其他党政机关，完成本年度节约能源资源目标，并经公共机构节能管理部门认定：□是；□否。</w:t>
            </w:r>
          </w:p>
        </w:tc>
      </w:tr>
      <w:tr>
        <w:tblPrEx>
          <w:tblCellMar>
            <w:top w:w="0" w:type="dxa"/>
            <w:left w:w="0" w:type="dxa"/>
            <w:bottom w:w="0" w:type="dxa"/>
            <w:right w:w="0" w:type="dxa"/>
          </w:tblCellMar>
        </w:tblPrEx>
        <w:trPr>
          <w:trHeight w:val="690" w:hRule="atLeast"/>
        </w:trPr>
        <w:tc>
          <w:tcPr>
            <w:tcW w:w="8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2</w:t>
            </w:r>
          </w:p>
        </w:tc>
        <w:tc>
          <w:tcPr>
            <w:tcW w:w="14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完善制度体系（20分）</w:t>
            </w:r>
          </w:p>
        </w:tc>
        <w:tc>
          <w:tcPr>
            <w:tcW w:w="1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Style w:val="7"/>
                <w:rFonts w:hint="default" w:hAnsi="宋体"/>
                <w:color w:val="auto"/>
                <w:lang w:bidi="ar"/>
              </w:rPr>
              <w:t>管理机构</w:t>
            </w:r>
            <w:r>
              <w:rPr>
                <w:rStyle w:val="7"/>
                <w:rFonts w:hint="default" w:hAnsi="宋体"/>
                <w:color w:val="auto"/>
                <w:lang w:bidi="ar"/>
              </w:rPr>
              <w:br w:type="textWrapping"/>
            </w:r>
            <w:r>
              <w:rPr>
                <w:rStyle w:val="9"/>
                <w:rFonts w:hint="default" w:hAnsi="宋体"/>
                <w:color w:val="auto"/>
                <w:lang w:bidi="ar"/>
              </w:rPr>
              <w:t>(5分）</w:t>
            </w: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1.部门或本单位节能领导小组、办公厅（室）、人事部门文件中明确了公共机构节能工作负责部门和工作职责（不要求成立专门机构）：□是（3分）；□否。</w:t>
            </w:r>
          </w:p>
        </w:tc>
      </w:tr>
      <w:tr>
        <w:tblPrEx>
          <w:tblCellMar>
            <w:top w:w="0" w:type="dxa"/>
            <w:left w:w="0" w:type="dxa"/>
            <w:bottom w:w="0" w:type="dxa"/>
            <w:right w:w="0" w:type="dxa"/>
          </w:tblCellMar>
        </w:tblPrEx>
        <w:trPr>
          <w:trHeight w:val="465"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4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2.设置能源资源管理岗位，并明确专人负责：□是(2分）；□否。</w:t>
            </w:r>
          </w:p>
        </w:tc>
      </w:tr>
      <w:tr>
        <w:tblPrEx>
          <w:tblCellMar>
            <w:top w:w="0" w:type="dxa"/>
            <w:left w:w="0" w:type="dxa"/>
            <w:bottom w:w="0" w:type="dxa"/>
            <w:right w:w="0" w:type="dxa"/>
          </w:tblCellMar>
        </w:tblPrEx>
        <w:trPr>
          <w:trHeight w:val="510"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4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管理制度</w:t>
            </w: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（15分）</w:t>
            </w: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1. 制定年度节约能源资源实施方案：□是（1分）；□否； 明确节约能源资源目标：□是（1分）；□否。</w:t>
            </w:r>
          </w:p>
        </w:tc>
      </w:tr>
      <w:tr>
        <w:tblPrEx>
          <w:tblCellMar>
            <w:top w:w="0" w:type="dxa"/>
            <w:left w:w="0" w:type="dxa"/>
            <w:bottom w:w="0" w:type="dxa"/>
            <w:right w:w="0" w:type="dxa"/>
          </w:tblCellMar>
        </w:tblPrEx>
        <w:trPr>
          <w:trHeight w:val="1170"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4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Style w:val="7"/>
                <w:rFonts w:hint="default" w:hAnsi="宋体"/>
                <w:color w:val="auto"/>
                <w:lang w:bidi="ar"/>
              </w:rPr>
              <w:t>2.（每制定1项制度得2分，满分5分） 制定能源资源消费统计、节能、节水、生活垃圾分类、绿色消费以及用能设备设施节能操作规程等节约能源资源的管理制度：□是，制定了</w:t>
            </w:r>
            <w:r>
              <w:rPr>
                <w:rStyle w:val="10"/>
                <w:rFonts w:hint="default" w:hAnsi="宋体"/>
                <w:color w:val="auto"/>
                <w:lang w:bidi="ar"/>
              </w:rPr>
              <w:t xml:space="preserve">    </w:t>
            </w:r>
            <w:r>
              <w:rPr>
                <w:rStyle w:val="7"/>
                <w:rFonts w:hint="default" w:hAnsi="宋体"/>
                <w:color w:val="auto"/>
                <w:lang w:bidi="ar"/>
              </w:rPr>
              <w:t>项节约能源资源的管理制度或用能设备设施节能操作规程，分别是＿＿＿＿＿＿＿；□否。</w:t>
            </w:r>
          </w:p>
        </w:tc>
      </w:tr>
      <w:tr>
        <w:tblPrEx>
          <w:tblCellMar>
            <w:top w:w="0" w:type="dxa"/>
            <w:left w:w="0" w:type="dxa"/>
            <w:bottom w:w="0" w:type="dxa"/>
            <w:right w:w="0" w:type="dxa"/>
          </w:tblCellMar>
        </w:tblPrEx>
        <w:trPr>
          <w:trHeight w:val="555"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4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3.是否通过有关规章制度或合同约定，对物业管理提出能源资源节约管理目标和服务要求：□是（2分）；□否。</w:t>
            </w:r>
          </w:p>
        </w:tc>
      </w:tr>
      <w:tr>
        <w:tblPrEx>
          <w:tblCellMar>
            <w:top w:w="0" w:type="dxa"/>
            <w:left w:w="0" w:type="dxa"/>
            <w:bottom w:w="0" w:type="dxa"/>
            <w:right w:w="0" w:type="dxa"/>
          </w:tblCellMar>
        </w:tblPrEx>
        <w:trPr>
          <w:trHeight w:val="2130"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4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4.1按照《公共机构能源资源计量器具配备和管理要求》，实行能源资源消耗分户或分楼栋计量：□是（1分）；□否。</w:t>
            </w: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4.2建立能源资源计量器具台账（包括计量器具的名称、规格型号、安装使用地点、测量对象等）， □是（1分）；□否。</w:t>
            </w: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4.3单位主要用电：□中央空调用电；□动力用电；□照明用电；□数据中心机房，已进行分项计量：□中央空调用电；□动力用电；□照明用电；□数据中心机房（分项计量达50%以上，得1分；50%以下得0.5分，未分项计量不得分）</w:t>
            </w:r>
          </w:p>
        </w:tc>
      </w:tr>
      <w:tr>
        <w:tblPrEx>
          <w:tblCellMar>
            <w:top w:w="0" w:type="dxa"/>
            <w:left w:w="0" w:type="dxa"/>
            <w:bottom w:w="0" w:type="dxa"/>
            <w:right w:w="0" w:type="dxa"/>
          </w:tblCellMar>
        </w:tblPrEx>
        <w:trPr>
          <w:trHeight w:val="1395" w:hRule="atLeast"/>
        </w:trPr>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2</w:t>
            </w:r>
          </w:p>
        </w:tc>
        <w:tc>
          <w:tcPr>
            <w:tcW w:w="1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完善制度体系（20分）</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管理制度</w:t>
            </w: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（15分）</w:t>
            </w: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5.1按照《公共机构能源资源消费统计调查制度》要求，是否建立能源资源消耗统计台账：是□（1分）；否□。</w:t>
            </w: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5.2根据上级公共机构节能管理部门要求，是否定期报送能源资源消耗状况，数据真实、完整：□是（1分）；□否。</w:t>
            </w: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5.3是否定期公示能源资源消费情况：□是（1分），公示周期＿＿＿， 公示次数＿＿；□否。</w:t>
            </w:r>
          </w:p>
        </w:tc>
      </w:tr>
      <w:tr>
        <w:tblPrEx>
          <w:tblCellMar>
            <w:top w:w="0" w:type="dxa"/>
            <w:left w:w="0" w:type="dxa"/>
            <w:bottom w:w="0" w:type="dxa"/>
            <w:right w:w="0" w:type="dxa"/>
          </w:tblCellMar>
        </w:tblPrEx>
        <w:trPr>
          <w:trHeight w:val="1995" w:hRule="atLeast"/>
        </w:trPr>
        <w:tc>
          <w:tcPr>
            <w:tcW w:w="8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3</w:t>
            </w:r>
          </w:p>
        </w:tc>
        <w:tc>
          <w:tcPr>
            <w:tcW w:w="14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推行绿色办公（30分）</w:t>
            </w:r>
          </w:p>
        </w:tc>
        <w:tc>
          <w:tcPr>
            <w:tcW w:w="1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行为节约</w:t>
            </w: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（20分）</w:t>
            </w: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220"/>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1.1是否实行办公自动化系统：□是（1分）；□否。</w:t>
            </w: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1.2是否推行纸张双面打印和无纸化办公：□是（1分）；□否。</w:t>
            </w: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1.3采取减少纸质文件、资料印发数量的措施：□是（1分），具体措施＿＿＿＿＿＿＿＿＿＿＿＿＿＿ ；□否。</w:t>
            </w:r>
          </w:p>
        </w:tc>
      </w:tr>
      <w:tr>
        <w:tblPrEx>
          <w:tblCellMar>
            <w:top w:w="0" w:type="dxa"/>
            <w:left w:w="0" w:type="dxa"/>
            <w:bottom w:w="0" w:type="dxa"/>
            <w:right w:w="0" w:type="dxa"/>
          </w:tblCellMar>
        </w:tblPrEx>
        <w:trPr>
          <w:trHeight w:val="1520"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4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2.实现高效照明光源使用率100%：□是（3分）；□否，高效照明光源使用率30%以下，得1分；30%（含）-100%之间得2分，未使用高效照明光源不得分。使用比率为＿＿%。</w:t>
            </w:r>
          </w:p>
        </w:tc>
      </w:tr>
      <w:tr>
        <w:tblPrEx>
          <w:tblCellMar>
            <w:top w:w="0" w:type="dxa"/>
            <w:left w:w="0" w:type="dxa"/>
            <w:bottom w:w="0" w:type="dxa"/>
            <w:right w:w="0" w:type="dxa"/>
          </w:tblCellMar>
        </w:tblPrEx>
        <w:trPr>
          <w:trHeight w:val="2915"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4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Style w:val="7"/>
                <w:rFonts w:hint="default" w:hAnsi="宋体"/>
                <w:color w:val="auto"/>
                <w:lang w:bidi="ar"/>
              </w:rPr>
              <w:br w:type="textWrapping"/>
            </w:r>
            <w:r>
              <w:rPr>
                <w:rStyle w:val="7"/>
                <w:rFonts w:hint="default" w:hAnsi="宋体"/>
                <w:color w:val="auto"/>
                <w:lang w:bidi="ar"/>
              </w:rPr>
              <w:t>3.1是否设置夏季室内空调温度设置不得低于26摄氏度，冬季室内空调温度设置不得高于20摄氏度的空调温度控制标准提醒标识：□是（2分）；□否。</w:t>
            </w:r>
            <w:r>
              <w:rPr>
                <w:rStyle w:val="7"/>
                <w:rFonts w:hint="default" w:hAnsi="宋体"/>
                <w:color w:val="auto"/>
                <w:lang w:bidi="ar"/>
              </w:rPr>
              <w:br w:type="textWrapping"/>
            </w:r>
            <w:r>
              <w:rPr>
                <w:rStyle w:val="7"/>
                <w:rFonts w:hint="default" w:hAnsi="宋体"/>
                <w:color w:val="auto"/>
                <w:lang w:bidi="ar"/>
              </w:rPr>
              <w:t>3.2是否执行开空调时不开门窗：□是（2分）；□否。</w:t>
            </w:r>
            <w:r>
              <w:rPr>
                <w:rStyle w:val="7"/>
                <w:rFonts w:hint="default" w:hAnsi="宋体"/>
                <w:color w:val="auto"/>
                <w:lang w:bidi="ar"/>
              </w:rPr>
              <w:br w:type="textWrapping"/>
            </w:r>
            <w:r>
              <w:rPr>
                <w:rStyle w:val="7"/>
                <w:rFonts w:hint="default" w:hAnsi="宋体"/>
                <w:color w:val="auto"/>
                <w:lang w:bidi="ar"/>
              </w:rPr>
              <w:t xml:space="preserve">3.3是否采取巡视等方式督促职工遵守空调使用管理规定：□是（2分），具体措施＿＿＿＿＿＿＿＿＿＿＿＿＿＿ ；□否。 </w:t>
            </w:r>
            <w:r>
              <w:rPr>
                <w:rStyle w:val="7"/>
                <w:rFonts w:hint="default" w:hAnsi="宋体"/>
                <w:color w:val="auto"/>
                <w:lang w:bidi="ar"/>
              </w:rPr>
              <w:br w:type="textWrapping"/>
            </w:r>
            <w:r>
              <w:rPr>
                <w:rStyle w:val="7"/>
                <w:rFonts w:hint="default" w:hAnsi="宋体"/>
                <w:color w:val="auto"/>
                <w:lang w:bidi="ar"/>
              </w:rPr>
              <w:br w:type="textWrapping"/>
            </w:r>
            <w:r>
              <w:rPr>
                <w:rStyle w:val="8"/>
                <w:rFonts w:hint="default" w:hAnsi="宋体"/>
                <w:color w:val="auto"/>
                <w:lang w:bidi="ar"/>
              </w:rPr>
              <w:t xml:space="preserve">说明：没有空调此项得满分6分。 </w:t>
            </w:r>
            <w:r>
              <w:rPr>
                <w:rStyle w:val="7"/>
                <w:rFonts w:hint="default" w:hAnsi="宋体"/>
                <w:color w:val="auto"/>
                <w:lang w:bidi="ar"/>
              </w:rPr>
              <w:t xml:space="preserve">        </w:t>
            </w:r>
          </w:p>
        </w:tc>
      </w:tr>
      <w:tr>
        <w:tblPrEx>
          <w:tblCellMar>
            <w:top w:w="0" w:type="dxa"/>
            <w:left w:w="0" w:type="dxa"/>
            <w:bottom w:w="0" w:type="dxa"/>
            <w:right w:w="0" w:type="dxa"/>
          </w:tblCellMar>
        </w:tblPrEx>
        <w:trPr>
          <w:trHeight w:val="2640"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4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Style w:val="7"/>
                <w:rFonts w:hint="default" w:hAnsi="宋体"/>
                <w:color w:val="auto"/>
                <w:lang w:bidi="ar"/>
              </w:rPr>
              <w:br w:type="textWrapping"/>
            </w:r>
            <w:r>
              <w:rPr>
                <w:rStyle w:val="7"/>
                <w:rFonts w:hint="default" w:hAnsi="宋体"/>
                <w:color w:val="auto"/>
                <w:lang w:bidi="ar"/>
              </w:rPr>
              <w:t>4.1是否采用节水器具：□感应水龙头 □感应小便器  □感应大便器  □脚踏便池  □其他＿＿＿＿＿＿；节水型生活用水器具使用率：□100%（2分）；□50%-100%之间（1.5分）：□50%以下（1分）；□未使用（0分）。</w:t>
            </w:r>
            <w:r>
              <w:rPr>
                <w:rStyle w:val="7"/>
                <w:rFonts w:hint="default" w:hAnsi="宋体"/>
                <w:color w:val="auto"/>
                <w:lang w:bidi="ar"/>
              </w:rPr>
              <w:br w:type="textWrapping"/>
            </w:r>
            <w:r>
              <w:rPr>
                <w:rStyle w:val="7"/>
                <w:rFonts w:hint="default" w:hAnsi="宋体"/>
                <w:color w:val="auto"/>
                <w:lang w:bidi="ar"/>
              </w:rPr>
              <w:t>4.2近5年来是否进行了水平衡测试，形成水平衡测试报告：□是（1分）；□否。、</w:t>
            </w:r>
            <w:r>
              <w:rPr>
                <w:rStyle w:val="7"/>
                <w:rFonts w:hint="default" w:hAnsi="宋体"/>
                <w:color w:val="auto"/>
                <w:lang w:bidi="ar"/>
              </w:rPr>
              <w:br w:type="textWrapping"/>
            </w:r>
            <w:r>
              <w:rPr>
                <w:rStyle w:val="7"/>
                <w:rFonts w:hint="default" w:hAnsi="宋体"/>
                <w:color w:val="auto"/>
                <w:lang w:bidi="ar"/>
              </w:rPr>
              <w:t>4.3对供水系统进行定期巡视检查、维护，杜绝“跑冒滴漏”及长流水等：□是（2分）；□否。供水管线、设施漏失率：＿＿＿%，记录是否完整：□是（1分）；□否。</w:t>
            </w:r>
            <w:r>
              <w:rPr>
                <w:rStyle w:val="7"/>
                <w:rFonts w:hint="default" w:hAnsi="宋体"/>
                <w:color w:val="auto"/>
                <w:lang w:bidi="ar"/>
              </w:rPr>
              <w:br w:type="textWrapping"/>
            </w:r>
            <w:r>
              <w:rPr>
                <w:rStyle w:val="7"/>
                <w:rFonts w:hint="default" w:hAnsi="宋体"/>
                <w:color w:val="auto"/>
                <w:lang w:bidi="ar"/>
              </w:rPr>
              <w:t>4.4是否采用节水型绿化方式：□是（2分），□喷灌；□滴灌；其他＿＿＿＿＿＿；□否（</w:t>
            </w:r>
            <w:r>
              <w:rPr>
                <w:rStyle w:val="8"/>
                <w:rFonts w:hint="default" w:hAnsi="宋体"/>
                <w:color w:val="auto"/>
                <w:lang w:bidi="ar"/>
              </w:rPr>
              <w:t>无绿化面积的此项得满分2分）</w:t>
            </w:r>
          </w:p>
        </w:tc>
      </w:tr>
      <w:tr>
        <w:tblPrEx>
          <w:tblCellMar>
            <w:top w:w="0" w:type="dxa"/>
            <w:left w:w="0" w:type="dxa"/>
            <w:bottom w:w="0" w:type="dxa"/>
            <w:right w:w="0" w:type="dxa"/>
          </w:tblCellMar>
        </w:tblPrEx>
        <w:trPr>
          <w:trHeight w:val="885"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4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绿色出行</w:t>
            </w: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（5分）</w:t>
            </w: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1.1是否为干部职工配备公务自行车：□是（1分），配备了＿台；□否。</w:t>
            </w: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1.2积极鼓励干部职工践行“135”等低碳出行方式：□是（1分）；具体措施＿＿＿＿＿＿＿＿；□否。</w:t>
            </w:r>
          </w:p>
        </w:tc>
      </w:tr>
      <w:tr>
        <w:tblPrEx>
          <w:tblCellMar>
            <w:top w:w="0" w:type="dxa"/>
            <w:left w:w="0" w:type="dxa"/>
            <w:bottom w:w="0" w:type="dxa"/>
            <w:right w:w="0" w:type="dxa"/>
          </w:tblCellMar>
        </w:tblPrEx>
        <w:trPr>
          <w:trHeight w:val="1470" w:hRule="atLeast"/>
        </w:trPr>
        <w:tc>
          <w:tcPr>
            <w:tcW w:w="8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3</w:t>
            </w:r>
          </w:p>
        </w:tc>
        <w:tc>
          <w:tcPr>
            <w:tcW w:w="14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推行绿色办公（30分）</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绿色出行</w:t>
            </w: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（5分）</w:t>
            </w: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Style w:val="7"/>
                <w:rFonts w:hint="default" w:hAnsi="宋体"/>
                <w:color w:val="auto"/>
                <w:lang w:bidi="ar"/>
              </w:rPr>
              <w:t>2.1 按编制配备公务用车: □是（1分）；□否 。</w:t>
            </w:r>
            <w:r>
              <w:rPr>
                <w:rStyle w:val="7"/>
                <w:rFonts w:hint="default" w:hAnsi="宋体"/>
                <w:color w:val="auto"/>
                <w:lang w:bidi="ar"/>
              </w:rPr>
              <w:br w:type="textWrapping"/>
            </w:r>
            <w:r>
              <w:rPr>
                <w:rStyle w:val="7"/>
                <w:rFonts w:hint="default" w:hAnsi="宋体"/>
                <w:color w:val="auto"/>
                <w:lang w:bidi="ar"/>
              </w:rPr>
              <w:t>2.2是否实行单车能耗核算：□是（1分）；□否。</w:t>
            </w:r>
            <w:r>
              <w:rPr>
                <w:rStyle w:val="7"/>
                <w:rFonts w:hint="default" w:hAnsi="宋体"/>
                <w:color w:val="auto"/>
                <w:lang w:bidi="ar"/>
              </w:rPr>
              <w:br w:type="textWrapping"/>
            </w:r>
            <w:r>
              <w:rPr>
                <w:rStyle w:val="7"/>
                <w:rFonts w:hint="default" w:hAnsi="宋体"/>
                <w:color w:val="auto"/>
                <w:lang w:bidi="ar"/>
              </w:rPr>
              <w:t>2.3是否建立包括出车目的地、行驶里程、往返油耗、往返时间、领导签批等内容的统计台账：□是（1分）；□否。</w:t>
            </w:r>
            <w:r>
              <w:rPr>
                <w:rStyle w:val="7"/>
                <w:rFonts w:hint="default" w:hAnsi="宋体"/>
                <w:color w:val="auto"/>
                <w:lang w:bidi="ar"/>
              </w:rPr>
              <w:br w:type="textWrapping"/>
            </w:r>
            <w:r>
              <w:rPr>
                <w:rStyle w:val="8"/>
                <w:rFonts w:hint="default" w:hAnsi="宋体"/>
                <w:color w:val="auto"/>
                <w:lang w:bidi="ar"/>
              </w:rPr>
              <w:t>说明：未配备公车的此项得满分3分。</w:t>
            </w:r>
          </w:p>
        </w:tc>
      </w:tr>
      <w:tr>
        <w:tblPrEx>
          <w:tblCellMar>
            <w:top w:w="0" w:type="dxa"/>
            <w:left w:w="0" w:type="dxa"/>
            <w:bottom w:w="0" w:type="dxa"/>
            <w:right w:w="0" w:type="dxa"/>
          </w:tblCellMar>
        </w:tblPrEx>
        <w:trPr>
          <w:trHeight w:val="1485"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4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绿色采购</w:t>
            </w: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（5分）</w:t>
            </w: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Style w:val="7"/>
                <w:rFonts w:hint="default" w:hAnsi="宋体"/>
                <w:color w:val="auto"/>
                <w:lang w:bidi="ar"/>
              </w:rPr>
              <w:t>1.严格执行国家有关强制采购或优先采购节能产品和技术的规定，带头采购列入《节能产品政府采购清单》、《环境标志产品政府采购清单》的节能、节水、环保、再生、资源综合利用等绿色产品：□全部执行（3分）；□部分执行（2分），原因＿＿＿＿＿＿＿＿；□未执行（0分）</w:t>
            </w:r>
            <w:r>
              <w:rPr>
                <w:rStyle w:val="8"/>
                <w:rFonts w:hint="default" w:hAnsi="宋体"/>
                <w:color w:val="auto"/>
                <w:lang w:bidi="ar"/>
              </w:rPr>
              <w:t>（评价当年未涉及采购项目的得满分5分）</w:t>
            </w:r>
          </w:p>
        </w:tc>
      </w:tr>
      <w:tr>
        <w:tblPrEx>
          <w:tblCellMar>
            <w:top w:w="0" w:type="dxa"/>
            <w:left w:w="0" w:type="dxa"/>
            <w:bottom w:w="0" w:type="dxa"/>
            <w:right w:w="0" w:type="dxa"/>
          </w:tblCellMar>
        </w:tblPrEx>
        <w:trPr>
          <w:trHeight w:val="555"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4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220"/>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2.更新公务用车，在条件允许的情况下是否优先采购新能源汽车：□是（2分）；□否。</w:t>
            </w:r>
          </w:p>
        </w:tc>
      </w:tr>
      <w:tr>
        <w:tblPrEx>
          <w:tblCellMar>
            <w:top w:w="0" w:type="dxa"/>
            <w:left w:w="0" w:type="dxa"/>
            <w:bottom w:w="0" w:type="dxa"/>
            <w:right w:w="0" w:type="dxa"/>
          </w:tblCellMar>
        </w:tblPrEx>
        <w:trPr>
          <w:trHeight w:val="815" w:hRule="atLeast"/>
        </w:trPr>
        <w:tc>
          <w:tcPr>
            <w:tcW w:w="8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4</w:t>
            </w:r>
          </w:p>
        </w:tc>
        <w:tc>
          <w:tcPr>
            <w:tcW w:w="14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强化生活垃圾分类</w:t>
            </w: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（30分）</w:t>
            </w:r>
          </w:p>
        </w:tc>
        <w:tc>
          <w:tcPr>
            <w:tcW w:w="1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源头减量</w:t>
            </w: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（7分）</w:t>
            </w: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Style w:val="7"/>
                <w:rFonts w:hint="default" w:hAnsi="宋体"/>
                <w:color w:val="auto"/>
                <w:lang w:bidi="ar"/>
              </w:rPr>
              <w:t xml:space="preserve">1.通过设置、粘贴节粮提醒标识、开展“光盘行动”等措施实现厨余垃圾源头减量：□是（2分），具体措施：＿＿＿＿＿＿＿＿ ；□否 </w:t>
            </w:r>
            <w:r>
              <w:rPr>
                <w:rStyle w:val="8"/>
                <w:rFonts w:hint="default" w:hAnsi="宋体"/>
                <w:color w:val="auto"/>
                <w:lang w:bidi="ar"/>
              </w:rPr>
              <w:t>（没有独立食堂的得满分2分）。</w:t>
            </w:r>
          </w:p>
        </w:tc>
      </w:tr>
      <w:tr>
        <w:tblPrEx>
          <w:tblCellMar>
            <w:top w:w="0" w:type="dxa"/>
            <w:left w:w="0" w:type="dxa"/>
            <w:bottom w:w="0" w:type="dxa"/>
            <w:right w:w="0" w:type="dxa"/>
          </w:tblCellMar>
        </w:tblPrEx>
        <w:trPr>
          <w:trHeight w:val="560"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4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2.使用再生纸、再生铅笔等循环再生办公用品：□是（2分），使用了＿＿＿＿＿＿＿＿等再生办公用品；□否。</w:t>
            </w:r>
          </w:p>
        </w:tc>
      </w:tr>
      <w:tr>
        <w:tblPrEx>
          <w:tblCellMar>
            <w:top w:w="0" w:type="dxa"/>
            <w:left w:w="0" w:type="dxa"/>
            <w:bottom w:w="0" w:type="dxa"/>
            <w:right w:w="0" w:type="dxa"/>
          </w:tblCellMar>
        </w:tblPrEx>
        <w:trPr>
          <w:trHeight w:val="690"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4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3. 限制使用纸杯、一次性餐具、办公耗材等一次性用品：□是（2分），采用了＿＿＿＿＿＿＿＿措施；□否。</w:t>
            </w:r>
          </w:p>
        </w:tc>
      </w:tr>
      <w:tr>
        <w:tblPrEx>
          <w:tblCellMar>
            <w:top w:w="0" w:type="dxa"/>
            <w:left w:w="0" w:type="dxa"/>
            <w:bottom w:w="0" w:type="dxa"/>
            <w:right w:w="0" w:type="dxa"/>
          </w:tblCellMar>
        </w:tblPrEx>
        <w:trPr>
          <w:trHeight w:val="510"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4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4.停止使用不可降解一次性塑料制品：□是（1分）；□否。</w:t>
            </w:r>
          </w:p>
        </w:tc>
      </w:tr>
      <w:tr>
        <w:tblPrEx>
          <w:tblCellMar>
            <w:top w:w="0" w:type="dxa"/>
            <w:left w:w="0" w:type="dxa"/>
            <w:bottom w:w="0" w:type="dxa"/>
            <w:right w:w="0" w:type="dxa"/>
          </w:tblCellMar>
        </w:tblPrEx>
        <w:trPr>
          <w:trHeight w:val="585"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4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分类投放</w:t>
            </w: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（12分）</w:t>
            </w: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1.按生活垃圾分类标准合理配置垃圾分类容器设施：室内：□是（3分），□否；室外：□是（3分）；□否。</w:t>
            </w:r>
          </w:p>
        </w:tc>
      </w:tr>
      <w:tr>
        <w:tblPrEx>
          <w:tblCellMar>
            <w:top w:w="0" w:type="dxa"/>
            <w:left w:w="0" w:type="dxa"/>
            <w:bottom w:w="0" w:type="dxa"/>
            <w:right w:w="0" w:type="dxa"/>
          </w:tblCellMar>
        </w:tblPrEx>
        <w:trPr>
          <w:trHeight w:val="660"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4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2.垃圾集中投放点是否张贴垃圾分类投放指南等提示标识：□是（3分）；□否。</w:t>
            </w:r>
          </w:p>
        </w:tc>
      </w:tr>
      <w:tr>
        <w:tblPrEx>
          <w:tblCellMar>
            <w:top w:w="0" w:type="dxa"/>
            <w:left w:w="0" w:type="dxa"/>
            <w:bottom w:w="0" w:type="dxa"/>
            <w:right w:w="0" w:type="dxa"/>
          </w:tblCellMar>
        </w:tblPrEx>
        <w:trPr>
          <w:trHeight w:val="805"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4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3.干部职工是否准确掌握分类常识并做到生活垃圾分类投放：□是（3分）；□否。</w:t>
            </w:r>
          </w:p>
        </w:tc>
      </w:tr>
      <w:tr>
        <w:tblPrEx>
          <w:tblCellMar>
            <w:top w:w="0" w:type="dxa"/>
            <w:left w:w="0" w:type="dxa"/>
            <w:bottom w:w="0" w:type="dxa"/>
            <w:right w:w="0" w:type="dxa"/>
          </w:tblCellMar>
        </w:tblPrEx>
        <w:trPr>
          <w:trHeight w:val="585"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4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分类收运</w:t>
            </w: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（11分）</w:t>
            </w: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1.是否与具备处理资质的企业签订收运处置协议，实现有害垃圾单独存放，统一回收：□是（3分）；□否。</w:t>
            </w:r>
          </w:p>
        </w:tc>
      </w:tr>
      <w:tr>
        <w:tblPrEx>
          <w:tblCellMar>
            <w:top w:w="0" w:type="dxa"/>
            <w:left w:w="0" w:type="dxa"/>
            <w:bottom w:w="0" w:type="dxa"/>
            <w:right w:w="0" w:type="dxa"/>
          </w:tblCellMar>
        </w:tblPrEx>
        <w:trPr>
          <w:trHeight w:val="615"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4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2.是否与具备回收资质的企业签订收运处置协议，实现可回收物统一回收：□是（3分）；□否。</w:t>
            </w:r>
          </w:p>
        </w:tc>
      </w:tr>
      <w:tr>
        <w:tblPrEx>
          <w:tblCellMar>
            <w:top w:w="0" w:type="dxa"/>
            <w:left w:w="0" w:type="dxa"/>
            <w:bottom w:w="0" w:type="dxa"/>
            <w:right w:w="0" w:type="dxa"/>
          </w:tblCellMar>
        </w:tblPrEx>
        <w:trPr>
          <w:trHeight w:val="1320" w:hRule="atLeast"/>
        </w:trPr>
        <w:tc>
          <w:tcPr>
            <w:tcW w:w="8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4</w:t>
            </w:r>
          </w:p>
        </w:tc>
        <w:tc>
          <w:tcPr>
            <w:tcW w:w="14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强化生活垃圾分类</w:t>
            </w: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（30分）</w:t>
            </w:r>
          </w:p>
        </w:tc>
        <w:tc>
          <w:tcPr>
            <w:tcW w:w="163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分类收运</w:t>
            </w:r>
          </w:p>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（11分）</w:t>
            </w: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3.是否与具备处理资质的企业签订收运处置协议，实现厨余垃圾按国家及属地要求规范处置：□是（3分）；□否。不具备统一回收条件的，是否实现就地无害化规范处置：□是（3分，与前一项不兼得）；□否（无独立食堂的党政机关此项不扣分）。</w:t>
            </w:r>
          </w:p>
        </w:tc>
      </w:tr>
      <w:tr>
        <w:tblPrEx>
          <w:tblCellMar>
            <w:top w:w="0" w:type="dxa"/>
            <w:left w:w="0" w:type="dxa"/>
            <w:bottom w:w="0" w:type="dxa"/>
            <w:right w:w="0" w:type="dxa"/>
          </w:tblCellMar>
        </w:tblPrEx>
        <w:trPr>
          <w:trHeight w:val="735"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4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63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4.是否建立生活垃圾分类清运</w:t>
            </w:r>
            <w:r>
              <w:rPr>
                <w:rFonts w:hint="eastAsia" w:ascii="仿宋_GB2312" w:hAnsi="宋体" w:eastAsia="仿宋_GB2312" w:cs="仿宋_GB2312"/>
                <w:color w:val="auto"/>
                <w:kern w:val="0"/>
                <w:sz w:val="22"/>
                <w:lang w:eastAsia="zh-CN" w:bidi="ar"/>
              </w:rPr>
              <w:t>台账</w:t>
            </w:r>
            <w:r>
              <w:rPr>
                <w:rFonts w:hint="eastAsia" w:ascii="仿宋_GB2312" w:hAnsi="宋体" w:eastAsia="仿宋_GB2312" w:cs="仿宋_GB2312"/>
                <w:color w:val="auto"/>
                <w:kern w:val="0"/>
                <w:sz w:val="22"/>
                <w:lang w:bidi="ar"/>
              </w:rPr>
              <w:t>：□是（1分），□否；是否定期公示垃圾清运量：□是（1分）；□否，公示周期：＿＿＿＿＿＿＿＿。</w:t>
            </w:r>
          </w:p>
        </w:tc>
      </w:tr>
      <w:tr>
        <w:tblPrEx>
          <w:tblCellMar>
            <w:top w:w="0" w:type="dxa"/>
            <w:left w:w="0" w:type="dxa"/>
            <w:bottom w:w="0" w:type="dxa"/>
            <w:right w:w="0" w:type="dxa"/>
          </w:tblCellMar>
        </w:tblPrEx>
        <w:trPr>
          <w:trHeight w:val="855" w:hRule="atLeast"/>
        </w:trPr>
        <w:tc>
          <w:tcPr>
            <w:tcW w:w="8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5</w:t>
            </w:r>
          </w:p>
        </w:tc>
        <w:tc>
          <w:tcPr>
            <w:tcW w:w="14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Style w:val="7"/>
                <w:rFonts w:hint="default" w:hAnsi="宋体"/>
                <w:color w:val="auto"/>
                <w:lang w:bidi="ar"/>
              </w:rPr>
              <w:t>开展宣传教育</w:t>
            </w:r>
            <w:r>
              <w:rPr>
                <w:rStyle w:val="11"/>
                <w:rFonts w:hint="default" w:hAnsi="宋体"/>
                <w:color w:val="auto"/>
                <w:lang w:bidi="ar"/>
              </w:rPr>
              <w:t>（20分）</w:t>
            </w:r>
          </w:p>
        </w:tc>
        <w:tc>
          <w:tcPr>
            <w:tcW w:w="1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宣传实践</w:t>
            </w: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（12分）</w:t>
            </w: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Style w:val="7"/>
                <w:rFonts w:hint="default" w:hAnsi="宋体"/>
                <w:color w:val="auto"/>
                <w:lang w:bidi="ar"/>
              </w:rPr>
              <w:t>1.结合全国节能宣传周、全国低碳日、世界水日、中国水周等活动，组织开展形式多样的宣传实践活动：□是，开展1项活动得3分，2项及以上活动得5分），</w:t>
            </w:r>
            <w:r>
              <w:rPr>
                <w:rStyle w:val="12"/>
                <w:rFonts w:hint="default" w:hAnsi="宋体"/>
                <w:color w:val="auto"/>
                <w:lang w:bidi="ar"/>
              </w:rPr>
              <w:t>开展了＿＿＿＿＿＿＿＿等活动；□否。</w:t>
            </w:r>
          </w:p>
        </w:tc>
      </w:tr>
      <w:tr>
        <w:tblPrEx>
          <w:tblCellMar>
            <w:top w:w="0" w:type="dxa"/>
            <w:left w:w="0" w:type="dxa"/>
            <w:bottom w:w="0" w:type="dxa"/>
            <w:right w:w="0" w:type="dxa"/>
          </w:tblCellMar>
        </w:tblPrEx>
        <w:trPr>
          <w:trHeight w:val="855"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4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2.张贴节电、节材、节水、节粮、减少使用电梯、空调温度设定、生活垃圾分类投放等提醒标识：□是（每张贴1项得2分，满分5分），张贴了＿＿＿＿＿＿＿＿＿＿＿＿＿＿等标识；□否。</w:t>
            </w:r>
          </w:p>
        </w:tc>
      </w:tr>
      <w:tr>
        <w:tblPrEx>
          <w:tblCellMar>
            <w:top w:w="0" w:type="dxa"/>
            <w:left w:w="0" w:type="dxa"/>
            <w:bottom w:w="0" w:type="dxa"/>
            <w:right w:w="0" w:type="dxa"/>
          </w:tblCellMar>
        </w:tblPrEx>
        <w:trPr>
          <w:trHeight w:val="855"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4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3.在新闻媒体或主管部门宣传平台报道本单位节约能源资源经验做法或案例：□是（每报道1次得1分，满分2分），省级＿＿次， 市级及以下＿次；□否。</w:t>
            </w:r>
          </w:p>
        </w:tc>
      </w:tr>
      <w:tr>
        <w:tblPrEx>
          <w:tblCellMar>
            <w:top w:w="0" w:type="dxa"/>
            <w:left w:w="0" w:type="dxa"/>
            <w:bottom w:w="0" w:type="dxa"/>
            <w:right w:w="0" w:type="dxa"/>
          </w:tblCellMar>
        </w:tblPrEx>
        <w:trPr>
          <w:trHeight w:val="480"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4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教育培训</w:t>
            </w: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（8分）</w:t>
            </w: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1.将节能、节水、生活垃圾分类等内容纳入干部职工培训体系：□是（2分），□否。</w:t>
            </w:r>
          </w:p>
        </w:tc>
      </w:tr>
      <w:tr>
        <w:tblPrEx>
          <w:tblCellMar>
            <w:top w:w="0" w:type="dxa"/>
            <w:left w:w="0" w:type="dxa"/>
            <w:bottom w:w="0" w:type="dxa"/>
            <w:right w:w="0" w:type="dxa"/>
          </w:tblCellMar>
        </w:tblPrEx>
        <w:trPr>
          <w:trHeight w:val="810"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4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1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2.定期举办面向干部职工的节能低碳等生态文明建设知识讲座、岗位培训等教育培训活动：□是（举办1次得3分，举办2次及以上得6分），举办了＿＿ 次；□否。</w:t>
            </w:r>
          </w:p>
        </w:tc>
      </w:tr>
      <w:tr>
        <w:tblPrEx>
          <w:tblCellMar>
            <w:top w:w="0" w:type="dxa"/>
            <w:left w:w="0" w:type="dxa"/>
            <w:bottom w:w="0" w:type="dxa"/>
            <w:right w:w="0" w:type="dxa"/>
          </w:tblCellMar>
        </w:tblPrEx>
        <w:trPr>
          <w:trHeight w:val="585" w:hRule="atLeast"/>
        </w:trPr>
        <w:tc>
          <w:tcPr>
            <w:tcW w:w="874" w:type="dxa"/>
            <w:tcBorders>
              <w:top w:val="single" w:color="000000" w:sz="4" w:space="0"/>
              <w:left w:val="nil"/>
              <w:bottom w:val="nil"/>
              <w:right w:val="nil"/>
            </w:tcBorders>
            <w:noWrap/>
            <w:tcMar>
              <w:top w:w="15" w:type="dxa"/>
              <w:left w:w="15" w:type="dxa"/>
              <w:right w:w="15" w:type="dxa"/>
            </w:tcMar>
            <w:vAlign w:val="center"/>
          </w:tcPr>
          <w:p>
            <w:pPr>
              <w:widowControl/>
              <w:jc w:val="left"/>
              <w:textAlignment w:val="center"/>
              <w:rPr>
                <w:rFonts w:hint="eastAsia" w:ascii="仿宋_GB2312" w:hAnsi="宋体" w:eastAsia="仿宋_GB2312" w:cs="仿宋_GB2312"/>
                <w:b/>
                <w:color w:val="auto"/>
                <w:sz w:val="24"/>
                <w:szCs w:val="24"/>
              </w:rPr>
            </w:pPr>
            <w:r>
              <w:rPr>
                <w:rFonts w:hint="eastAsia" w:ascii="仿宋_GB2312" w:hAnsi="宋体" w:eastAsia="仿宋_GB2312" w:cs="仿宋_GB2312"/>
                <w:b/>
                <w:color w:val="auto"/>
                <w:kern w:val="0"/>
                <w:sz w:val="24"/>
                <w:szCs w:val="24"/>
                <w:lang w:bidi="ar"/>
              </w:rPr>
              <w:t>备 注：</w:t>
            </w:r>
          </w:p>
        </w:tc>
        <w:tc>
          <w:tcPr>
            <w:tcW w:w="15146" w:type="dxa"/>
            <w:gridSpan w:val="3"/>
            <w:tcBorders>
              <w:top w:val="nil"/>
              <w:left w:val="nil"/>
              <w:bottom w:val="nil"/>
              <w:right w:val="nil"/>
            </w:tcBorders>
            <w:noWrap/>
            <w:tcMar>
              <w:top w:w="15" w:type="dxa"/>
              <w:left w:w="15" w:type="dxa"/>
              <w:right w:w="15" w:type="dxa"/>
            </w:tcMar>
            <w:vAlign w:val="center"/>
          </w:tcPr>
          <w:p>
            <w:pPr>
              <w:jc w:val="center"/>
              <w:rPr>
                <w:rFonts w:hint="eastAsia" w:ascii="仿宋_GB2312" w:hAnsi="宋体" w:eastAsia="仿宋_GB2312" w:cs="仿宋_GB2312"/>
                <w:color w:val="auto"/>
                <w:sz w:val="24"/>
                <w:szCs w:val="24"/>
              </w:rPr>
            </w:pPr>
          </w:p>
        </w:tc>
      </w:tr>
      <w:tr>
        <w:tblPrEx>
          <w:tblCellMar>
            <w:top w:w="0" w:type="dxa"/>
            <w:left w:w="0" w:type="dxa"/>
            <w:bottom w:w="0" w:type="dxa"/>
            <w:right w:w="0" w:type="dxa"/>
          </w:tblCellMar>
        </w:tblPrEx>
        <w:trPr>
          <w:trHeight w:val="270" w:hRule="atLeast"/>
        </w:trPr>
        <w:tc>
          <w:tcPr>
            <w:tcW w:w="874" w:type="dxa"/>
            <w:tcBorders>
              <w:top w:val="nil"/>
              <w:left w:val="nil"/>
              <w:bottom w:val="nil"/>
              <w:right w:val="nil"/>
            </w:tcBorders>
            <w:noWrap/>
            <w:tcMar>
              <w:top w:w="15" w:type="dxa"/>
              <w:left w:w="15" w:type="dxa"/>
              <w:right w:w="15" w:type="dxa"/>
            </w:tcMar>
            <w:vAlign w:val="center"/>
          </w:tcPr>
          <w:p>
            <w:pPr>
              <w:rPr>
                <w:rFonts w:hint="eastAsia" w:ascii="仿宋_GB2312" w:hAnsi="宋体" w:eastAsia="仿宋_GB2312" w:cs="仿宋_GB2312"/>
                <w:color w:val="auto"/>
                <w:sz w:val="22"/>
              </w:rPr>
            </w:pPr>
          </w:p>
        </w:tc>
        <w:tc>
          <w:tcPr>
            <w:tcW w:w="15146" w:type="dxa"/>
            <w:gridSpan w:val="3"/>
            <w:vMerge w:val="restart"/>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1、各单位均以此评价表为准进行评价，80分以上为达标；</w:t>
            </w: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2、对物业实行统一管理的集中办公区，评价表中涉及到的统一管理项目只对管理单位进行评价，对各党政机关评价时该项目视为满分；能源资源消耗分户计量本着应分尽分原则，特殊情况只能实行分楼栋计量的，视作符合分户计量要求；</w:t>
            </w:r>
          </w:p>
        </w:tc>
      </w:tr>
      <w:tr>
        <w:tblPrEx>
          <w:tblCellMar>
            <w:top w:w="0" w:type="dxa"/>
            <w:left w:w="0" w:type="dxa"/>
            <w:bottom w:w="0" w:type="dxa"/>
            <w:right w:w="0" w:type="dxa"/>
          </w:tblCellMar>
        </w:tblPrEx>
        <w:trPr>
          <w:trHeight w:val="270" w:hRule="atLeast"/>
        </w:trPr>
        <w:tc>
          <w:tcPr>
            <w:tcW w:w="874" w:type="dxa"/>
            <w:tcBorders>
              <w:top w:val="nil"/>
              <w:left w:val="nil"/>
              <w:bottom w:val="nil"/>
              <w:right w:val="nil"/>
            </w:tcBorders>
            <w:noWrap/>
            <w:tcMar>
              <w:top w:w="15" w:type="dxa"/>
              <w:left w:w="15" w:type="dxa"/>
              <w:right w:w="15" w:type="dxa"/>
            </w:tcMar>
            <w:vAlign w:val="center"/>
          </w:tcPr>
          <w:p>
            <w:pPr>
              <w:rPr>
                <w:rFonts w:hint="eastAsia" w:ascii="仿宋_GB2312" w:hAnsi="宋体" w:eastAsia="仿宋_GB2312" w:cs="仿宋_GB2312"/>
                <w:color w:val="auto"/>
                <w:sz w:val="22"/>
              </w:rPr>
            </w:pPr>
          </w:p>
        </w:tc>
        <w:tc>
          <w:tcPr>
            <w:tcW w:w="15146" w:type="dxa"/>
            <w:gridSpan w:val="3"/>
            <w:vMerge w:val="continue"/>
            <w:tcBorders>
              <w:top w:val="nil"/>
              <w:left w:val="nil"/>
              <w:bottom w:val="nil"/>
              <w:right w:val="nil"/>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285" w:hRule="atLeast"/>
        </w:trPr>
        <w:tc>
          <w:tcPr>
            <w:tcW w:w="874" w:type="dxa"/>
            <w:tcBorders>
              <w:top w:val="nil"/>
              <w:left w:val="nil"/>
              <w:bottom w:val="nil"/>
              <w:right w:val="nil"/>
            </w:tcBorders>
            <w:noWrap/>
            <w:tcMar>
              <w:top w:w="15" w:type="dxa"/>
              <w:left w:w="15" w:type="dxa"/>
              <w:right w:w="15" w:type="dxa"/>
            </w:tcMar>
            <w:vAlign w:val="center"/>
          </w:tcPr>
          <w:p>
            <w:pPr>
              <w:rPr>
                <w:rFonts w:hint="eastAsia" w:ascii="仿宋_GB2312" w:hAnsi="宋体" w:eastAsia="仿宋_GB2312" w:cs="仿宋_GB2312"/>
                <w:color w:val="auto"/>
                <w:sz w:val="22"/>
              </w:rPr>
            </w:pPr>
          </w:p>
        </w:tc>
        <w:tc>
          <w:tcPr>
            <w:tcW w:w="15146" w:type="dxa"/>
            <w:gridSpan w:val="3"/>
            <w:vMerge w:val="continue"/>
            <w:tcBorders>
              <w:top w:val="nil"/>
              <w:left w:val="nil"/>
              <w:bottom w:val="nil"/>
              <w:right w:val="nil"/>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270" w:hRule="atLeast"/>
        </w:trPr>
        <w:tc>
          <w:tcPr>
            <w:tcW w:w="874" w:type="dxa"/>
            <w:tcBorders>
              <w:top w:val="nil"/>
              <w:left w:val="nil"/>
              <w:bottom w:val="nil"/>
              <w:right w:val="nil"/>
            </w:tcBorders>
            <w:noWrap/>
            <w:tcMar>
              <w:top w:w="15" w:type="dxa"/>
              <w:left w:w="15" w:type="dxa"/>
              <w:right w:w="15" w:type="dxa"/>
            </w:tcMar>
            <w:vAlign w:val="center"/>
          </w:tcPr>
          <w:p>
            <w:pPr>
              <w:rPr>
                <w:rFonts w:hint="eastAsia" w:ascii="仿宋_GB2312" w:hAnsi="宋体" w:eastAsia="仿宋_GB2312" w:cs="仿宋_GB2312"/>
                <w:color w:val="auto"/>
                <w:sz w:val="22"/>
              </w:rPr>
            </w:pPr>
          </w:p>
        </w:tc>
        <w:tc>
          <w:tcPr>
            <w:tcW w:w="15146" w:type="dxa"/>
            <w:gridSpan w:val="3"/>
            <w:vMerge w:val="continue"/>
            <w:tcBorders>
              <w:top w:val="nil"/>
              <w:left w:val="nil"/>
              <w:bottom w:val="nil"/>
              <w:right w:val="nil"/>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270" w:hRule="atLeast"/>
        </w:trPr>
        <w:tc>
          <w:tcPr>
            <w:tcW w:w="874" w:type="dxa"/>
            <w:tcBorders>
              <w:top w:val="nil"/>
              <w:left w:val="nil"/>
              <w:bottom w:val="nil"/>
              <w:right w:val="nil"/>
            </w:tcBorders>
            <w:noWrap/>
            <w:tcMar>
              <w:top w:w="15" w:type="dxa"/>
              <w:left w:w="15" w:type="dxa"/>
              <w:right w:w="15" w:type="dxa"/>
            </w:tcMar>
            <w:vAlign w:val="center"/>
          </w:tcPr>
          <w:p>
            <w:pPr>
              <w:rPr>
                <w:rFonts w:hint="eastAsia" w:ascii="仿宋_GB2312" w:hAnsi="宋体" w:eastAsia="仿宋_GB2312" w:cs="仿宋_GB2312"/>
                <w:color w:val="auto"/>
                <w:sz w:val="22"/>
              </w:rPr>
            </w:pPr>
          </w:p>
        </w:tc>
        <w:tc>
          <w:tcPr>
            <w:tcW w:w="15146" w:type="dxa"/>
            <w:gridSpan w:val="3"/>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3、评价指标中涉及的能耗数据统计时间，可以上一年度至本年度评价相应月份为基准。</w:t>
            </w:r>
          </w:p>
        </w:tc>
      </w:tr>
    </w:tbl>
    <w:p>
      <w:pPr>
        <w:adjustRightInd w:val="0"/>
        <w:snapToGrid w:val="0"/>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br w:type="page"/>
      </w:r>
    </w:p>
    <w:tbl>
      <w:tblPr>
        <w:tblStyle w:val="4"/>
        <w:tblW w:w="15180" w:type="dxa"/>
        <w:tblInd w:w="0" w:type="dxa"/>
        <w:tblLayout w:type="autofit"/>
        <w:tblCellMar>
          <w:top w:w="0" w:type="dxa"/>
          <w:left w:w="0" w:type="dxa"/>
          <w:bottom w:w="0" w:type="dxa"/>
          <w:right w:w="0" w:type="dxa"/>
        </w:tblCellMar>
      </w:tblPr>
      <w:tblGrid>
        <w:gridCol w:w="660"/>
        <w:gridCol w:w="960"/>
        <w:gridCol w:w="1320"/>
        <w:gridCol w:w="7620"/>
        <w:gridCol w:w="2130"/>
        <w:gridCol w:w="2490"/>
      </w:tblGrid>
      <w:tr>
        <w:tblPrEx>
          <w:tblCellMar>
            <w:top w:w="0" w:type="dxa"/>
            <w:left w:w="0" w:type="dxa"/>
            <w:bottom w:w="0" w:type="dxa"/>
            <w:right w:w="0" w:type="dxa"/>
          </w:tblCellMar>
        </w:tblPrEx>
        <w:trPr>
          <w:trHeight w:val="270" w:hRule="atLeast"/>
        </w:trPr>
        <w:tc>
          <w:tcPr>
            <w:tcW w:w="1620" w:type="dxa"/>
            <w:gridSpan w:val="2"/>
            <w:tcBorders>
              <w:top w:val="nil"/>
              <w:left w:val="nil"/>
              <w:bottom w:val="nil"/>
              <w:right w:val="nil"/>
            </w:tcBorders>
            <w:noWrap/>
            <w:tcMar>
              <w:top w:w="15" w:type="dxa"/>
              <w:left w:w="15" w:type="dxa"/>
              <w:right w:w="15" w:type="dxa"/>
            </w:tcMar>
            <w:vAlign w:val="center"/>
          </w:tcPr>
          <w:p>
            <w:pPr>
              <w:pStyle w:val="2"/>
            </w:pPr>
          </w:p>
          <w:p>
            <w:pPr>
              <w:adjustRightInd w:val="0"/>
              <w:snapToGrid w:val="0"/>
              <w:spacing w:line="600" w:lineRule="exact"/>
              <w:ind w:firstLine="640" w:firstLineChars="200"/>
              <w:rPr>
                <w:rFonts w:ascii="仿宋_GB2312" w:eastAsia="仿宋_GB2312"/>
                <w:color w:val="auto"/>
                <w:sz w:val="32"/>
                <w:szCs w:val="32"/>
              </w:rPr>
            </w:pPr>
          </w:p>
          <w:p>
            <w:pPr>
              <w:adjustRightInd w:val="0"/>
              <w:snapToGrid w:val="0"/>
              <w:spacing w:line="600" w:lineRule="exact"/>
              <w:rPr>
                <w:rFonts w:hint="eastAsia" w:ascii="黑体" w:hAnsi="黑体" w:eastAsia="黑体" w:cs="黑体"/>
                <w:b w:val="0"/>
                <w:bCs/>
                <w:color w:val="auto"/>
                <w:kern w:val="0"/>
                <w:sz w:val="32"/>
                <w:szCs w:val="32"/>
                <w:lang w:bidi="ar"/>
              </w:rPr>
            </w:pPr>
          </w:p>
          <w:p>
            <w:pPr>
              <w:adjustRightInd w:val="0"/>
              <w:snapToGrid w:val="0"/>
              <w:spacing w:line="600" w:lineRule="exact"/>
              <w:rPr>
                <w:rFonts w:hint="eastAsia" w:ascii="宋体" w:hAnsi="宋体" w:cs="宋体"/>
                <w:b/>
                <w:color w:val="auto"/>
                <w:sz w:val="22"/>
              </w:rPr>
            </w:pPr>
            <w:r>
              <w:rPr>
                <w:rFonts w:hint="eastAsia" w:ascii="黑体" w:hAnsi="黑体" w:eastAsia="黑体" w:cs="黑体"/>
                <w:b w:val="0"/>
                <w:bCs/>
                <w:color w:val="auto"/>
                <w:kern w:val="0"/>
                <w:sz w:val="32"/>
                <w:szCs w:val="32"/>
                <w:lang w:bidi="ar"/>
              </w:rPr>
              <w:t>附件2</w:t>
            </w:r>
          </w:p>
        </w:tc>
        <w:tc>
          <w:tcPr>
            <w:tcW w:w="1320" w:type="dxa"/>
            <w:tcBorders>
              <w:top w:val="nil"/>
              <w:left w:val="nil"/>
              <w:bottom w:val="nil"/>
              <w:right w:val="nil"/>
            </w:tcBorders>
            <w:noWrap/>
            <w:tcMar>
              <w:top w:w="15" w:type="dxa"/>
              <w:left w:w="15" w:type="dxa"/>
              <w:right w:w="15" w:type="dxa"/>
            </w:tcMar>
            <w:vAlign w:val="center"/>
          </w:tcPr>
          <w:p>
            <w:pPr>
              <w:rPr>
                <w:rFonts w:hint="eastAsia" w:ascii="宋体" w:hAnsi="宋体" w:cs="宋体"/>
                <w:color w:val="auto"/>
                <w:sz w:val="22"/>
              </w:rPr>
            </w:pPr>
          </w:p>
        </w:tc>
        <w:tc>
          <w:tcPr>
            <w:tcW w:w="7620" w:type="dxa"/>
            <w:tcBorders>
              <w:top w:val="nil"/>
              <w:left w:val="nil"/>
              <w:bottom w:val="nil"/>
              <w:right w:val="nil"/>
            </w:tcBorders>
            <w:noWrap/>
            <w:tcMar>
              <w:top w:w="15" w:type="dxa"/>
              <w:left w:w="15" w:type="dxa"/>
              <w:right w:w="15" w:type="dxa"/>
            </w:tcMar>
            <w:vAlign w:val="center"/>
          </w:tcPr>
          <w:p>
            <w:pPr>
              <w:rPr>
                <w:rFonts w:hint="eastAsia" w:ascii="宋体" w:hAnsi="宋体" w:cs="宋体"/>
                <w:color w:val="auto"/>
                <w:sz w:val="22"/>
              </w:rPr>
            </w:pPr>
          </w:p>
        </w:tc>
        <w:tc>
          <w:tcPr>
            <w:tcW w:w="2130" w:type="dxa"/>
            <w:tcBorders>
              <w:top w:val="nil"/>
              <w:left w:val="nil"/>
              <w:bottom w:val="nil"/>
              <w:right w:val="nil"/>
            </w:tcBorders>
            <w:noWrap/>
            <w:tcMar>
              <w:top w:w="15" w:type="dxa"/>
              <w:left w:w="15" w:type="dxa"/>
              <w:right w:w="15" w:type="dxa"/>
            </w:tcMar>
            <w:vAlign w:val="center"/>
          </w:tcPr>
          <w:p>
            <w:pPr>
              <w:rPr>
                <w:rFonts w:hint="eastAsia" w:ascii="宋体" w:hAnsi="宋体" w:cs="宋体"/>
                <w:color w:val="auto"/>
                <w:sz w:val="22"/>
              </w:rPr>
            </w:pPr>
          </w:p>
        </w:tc>
        <w:tc>
          <w:tcPr>
            <w:tcW w:w="2490" w:type="dxa"/>
            <w:tcBorders>
              <w:top w:val="nil"/>
              <w:left w:val="nil"/>
              <w:bottom w:val="nil"/>
              <w:right w:val="nil"/>
            </w:tcBorders>
            <w:noWrap/>
            <w:tcMar>
              <w:top w:w="15" w:type="dxa"/>
              <w:left w:w="15" w:type="dxa"/>
              <w:right w:w="15" w:type="dxa"/>
            </w:tcMar>
            <w:vAlign w:val="center"/>
          </w:tcPr>
          <w:p>
            <w:pPr>
              <w:jc w:val="left"/>
              <w:rPr>
                <w:rFonts w:hint="eastAsia" w:ascii="宋体" w:hAnsi="宋体" w:cs="宋体"/>
                <w:color w:val="auto"/>
                <w:sz w:val="22"/>
              </w:rPr>
            </w:pPr>
          </w:p>
        </w:tc>
      </w:tr>
      <w:tr>
        <w:tblPrEx>
          <w:tblCellMar>
            <w:top w:w="0" w:type="dxa"/>
            <w:left w:w="0" w:type="dxa"/>
            <w:bottom w:w="0" w:type="dxa"/>
            <w:right w:w="0" w:type="dxa"/>
          </w:tblCellMar>
        </w:tblPrEx>
        <w:trPr>
          <w:trHeight w:val="480" w:hRule="atLeast"/>
        </w:trPr>
        <w:tc>
          <w:tcPr>
            <w:tcW w:w="1518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b/>
                <w:color w:val="auto"/>
                <w:sz w:val="36"/>
                <w:szCs w:val="36"/>
              </w:rPr>
            </w:pPr>
            <w:r>
              <w:rPr>
                <w:rFonts w:hint="eastAsia" w:ascii="方正小标宋简体" w:hAnsi="方正小标宋简体" w:eastAsia="方正小标宋简体" w:cs="方正小标宋简体"/>
                <w:b w:val="0"/>
                <w:bCs/>
                <w:color w:val="auto"/>
                <w:kern w:val="0"/>
                <w:sz w:val="44"/>
                <w:szCs w:val="44"/>
                <w:lang w:bidi="ar"/>
              </w:rPr>
              <w:t>盘锦市双台子区节约型机关创建行动评价表（         )年度</w:t>
            </w:r>
          </w:p>
        </w:tc>
      </w:tr>
      <w:tr>
        <w:tblPrEx>
          <w:tblCellMar>
            <w:top w:w="0" w:type="dxa"/>
            <w:left w:w="0" w:type="dxa"/>
            <w:bottom w:w="0" w:type="dxa"/>
            <w:right w:w="0" w:type="dxa"/>
          </w:tblCellMar>
        </w:tblPrEx>
        <w:trPr>
          <w:trHeight w:val="555" w:hRule="atLeast"/>
        </w:trPr>
        <w:tc>
          <w:tcPr>
            <w:tcW w:w="2940" w:type="dxa"/>
            <w:gridSpan w:val="3"/>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黑体" w:hAnsi="宋体" w:eastAsia="黑体" w:cs="黑体"/>
                <w:b/>
                <w:color w:val="auto"/>
                <w:sz w:val="24"/>
                <w:szCs w:val="24"/>
              </w:rPr>
            </w:pPr>
            <w:r>
              <w:rPr>
                <w:rFonts w:hint="eastAsia" w:ascii="黑体" w:hAnsi="宋体" w:eastAsia="黑体" w:cs="黑体"/>
                <w:b/>
                <w:color w:val="auto"/>
                <w:kern w:val="0"/>
                <w:sz w:val="24"/>
                <w:szCs w:val="24"/>
                <w:lang w:bidi="ar"/>
              </w:rPr>
              <w:t>创建单位基本信息：</w:t>
            </w:r>
          </w:p>
        </w:tc>
        <w:tc>
          <w:tcPr>
            <w:tcW w:w="12240" w:type="dxa"/>
            <w:gridSpan w:val="3"/>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cs="宋体"/>
                <w:b/>
                <w:color w:val="auto"/>
                <w:sz w:val="22"/>
              </w:rPr>
            </w:pPr>
            <w:r>
              <w:rPr>
                <w:rFonts w:hint="eastAsia" w:ascii="宋体" w:hAnsi="宋体" w:cs="宋体"/>
                <w:b/>
                <w:color w:val="auto"/>
                <w:kern w:val="0"/>
                <w:sz w:val="22"/>
                <w:lang w:bidi="ar"/>
              </w:rPr>
              <w:t>建筑面积：（           ）平方米；用能人数（      ）人；公车数量（     ）辆</w:t>
            </w:r>
          </w:p>
        </w:tc>
      </w:tr>
      <w:tr>
        <w:tblPrEx>
          <w:tblCellMar>
            <w:top w:w="0" w:type="dxa"/>
            <w:left w:w="0" w:type="dxa"/>
            <w:bottom w:w="0" w:type="dxa"/>
            <w:right w:w="0" w:type="dxa"/>
          </w:tblCellMar>
        </w:tblPrEx>
        <w:trPr>
          <w:trHeight w:val="525" w:hRule="atLeast"/>
        </w:trPr>
        <w:tc>
          <w:tcPr>
            <w:tcW w:w="10560" w:type="dxa"/>
            <w:gridSpan w:val="4"/>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cs="宋体"/>
                <w:b/>
                <w:color w:val="auto"/>
                <w:sz w:val="22"/>
              </w:rPr>
            </w:pPr>
            <w:r>
              <w:rPr>
                <w:rFonts w:hint="eastAsia" w:ascii="宋体" w:hAnsi="宋体" w:cs="宋体"/>
                <w:b/>
                <w:color w:val="auto"/>
                <w:kern w:val="0"/>
                <w:sz w:val="22"/>
                <w:lang w:bidi="ar"/>
              </w:rPr>
              <w:t>单位全称：（公章）</w:t>
            </w:r>
          </w:p>
        </w:tc>
        <w:tc>
          <w:tcPr>
            <w:tcW w:w="2130" w:type="dxa"/>
            <w:tcBorders>
              <w:top w:val="nil"/>
              <w:left w:val="nil"/>
              <w:bottom w:val="nil"/>
              <w:right w:val="nil"/>
            </w:tcBorders>
            <w:noWrap/>
            <w:tcMar>
              <w:top w:w="15" w:type="dxa"/>
              <w:left w:w="15" w:type="dxa"/>
              <w:right w:w="15" w:type="dxa"/>
            </w:tcMar>
            <w:vAlign w:val="center"/>
          </w:tcPr>
          <w:p>
            <w:pPr>
              <w:rPr>
                <w:rFonts w:hint="eastAsia" w:ascii="宋体" w:hAnsi="宋体" w:cs="宋体"/>
                <w:color w:val="auto"/>
                <w:sz w:val="22"/>
              </w:rPr>
            </w:pPr>
          </w:p>
        </w:tc>
        <w:tc>
          <w:tcPr>
            <w:tcW w:w="2490" w:type="dxa"/>
            <w:tcBorders>
              <w:top w:val="nil"/>
              <w:left w:val="nil"/>
              <w:bottom w:val="nil"/>
              <w:right w:val="nil"/>
            </w:tcBorders>
            <w:noWrap/>
            <w:tcMar>
              <w:top w:w="15" w:type="dxa"/>
              <w:left w:w="15" w:type="dxa"/>
              <w:right w:w="15" w:type="dxa"/>
            </w:tcMar>
            <w:vAlign w:val="center"/>
          </w:tcPr>
          <w:p>
            <w:pPr>
              <w:jc w:val="left"/>
              <w:rPr>
                <w:rFonts w:hint="eastAsia" w:ascii="宋体" w:hAnsi="宋体" w:cs="宋体"/>
                <w:color w:val="auto"/>
                <w:sz w:val="22"/>
              </w:rPr>
            </w:pPr>
          </w:p>
        </w:tc>
      </w:tr>
      <w:tr>
        <w:tblPrEx>
          <w:tblCellMar>
            <w:top w:w="0" w:type="dxa"/>
            <w:left w:w="0" w:type="dxa"/>
            <w:bottom w:w="0" w:type="dxa"/>
            <w:right w:w="0" w:type="dxa"/>
          </w:tblCellMar>
        </w:tblPrEx>
        <w:trPr>
          <w:trHeight w:val="765" w:hRule="atLeast"/>
        </w:trPr>
        <w:tc>
          <w:tcPr>
            <w:tcW w:w="15180" w:type="dxa"/>
            <w:gridSpan w:val="6"/>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黑体" w:hAnsi="宋体" w:eastAsia="黑体" w:cs="黑体"/>
                <w:b/>
                <w:color w:val="auto"/>
                <w:sz w:val="24"/>
                <w:szCs w:val="24"/>
              </w:rPr>
            </w:pPr>
            <w:r>
              <w:rPr>
                <w:rFonts w:hint="eastAsia" w:ascii="黑体" w:hAnsi="宋体" w:eastAsia="黑体" w:cs="黑体"/>
                <w:b/>
                <w:color w:val="auto"/>
                <w:kern w:val="0"/>
                <w:sz w:val="24"/>
                <w:szCs w:val="24"/>
                <w:lang w:bidi="ar"/>
              </w:rPr>
              <w:t xml:space="preserve">  填表人员姓名：                   手机号码：                                     自评日期 ：   年    月   日</w:t>
            </w:r>
          </w:p>
        </w:tc>
      </w:tr>
      <w:tr>
        <w:tblPrEx>
          <w:tblCellMar>
            <w:top w:w="0" w:type="dxa"/>
            <w:left w:w="0" w:type="dxa"/>
            <w:bottom w:w="0" w:type="dxa"/>
            <w:right w:w="0"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b/>
                <w:color w:val="auto"/>
                <w:sz w:val="22"/>
              </w:rPr>
            </w:pPr>
            <w:r>
              <w:rPr>
                <w:rFonts w:hint="eastAsia" w:ascii="仿宋_GB2312" w:hAnsi="宋体" w:eastAsia="仿宋_GB2312" w:cs="仿宋_GB2312"/>
                <w:b/>
                <w:color w:val="auto"/>
                <w:kern w:val="0"/>
                <w:sz w:val="22"/>
                <w:lang w:bidi="ar"/>
              </w:rPr>
              <w:t>序号</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b/>
                <w:color w:val="auto"/>
                <w:sz w:val="22"/>
              </w:rPr>
            </w:pPr>
            <w:r>
              <w:rPr>
                <w:rFonts w:hint="eastAsia" w:ascii="仿宋_GB2312" w:hAnsi="宋体" w:eastAsia="仿宋_GB2312" w:cs="仿宋_GB2312"/>
                <w:b/>
                <w:color w:val="auto"/>
                <w:kern w:val="0"/>
                <w:sz w:val="22"/>
                <w:lang w:bidi="ar"/>
              </w:rPr>
              <w:t>单 元</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 w:val="22"/>
              </w:rPr>
            </w:pPr>
            <w:r>
              <w:rPr>
                <w:rFonts w:hint="eastAsia" w:ascii="宋体" w:hAnsi="宋体" w:cs="宋体"/>
                <w:b/>
                <w:color w:val="auto"/>
                <w:kern w:val="0"/>
                <w:sz w:val="22"/>
                <w:lang w:bidi="ar"/>
              </w:rPr>
              <w:t>项 目</w:t>
            </w:r>
          </w:p>
        </w:tc>
        <w:tc>
          <w:tcPr>
            <w:tcW w:w="7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 w:val="22"/>
              </w:rPr>
            </w:pPr>
            <w:r>
              <w:rPr>
                <w:rFonts w:hint="eastAsia" w:ascii="宋体" w:hAnsi="宋体" w:cs="宋体"/>
                <w:b/>
                <w:color w:val="auto"/>
                <w:kern w:val="0"/>
                <w:sz w:val="22"/>
                <w:lang w:bidi="ar"/>
              </w:rPr>
              <w:t>评价标准</w:t>
            </w:r>
          </w:p>
        </w:tc>
        <w:tc>
          <w:tcPr>
            <w:tcW w:w="2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 w:val="22"/>
              </w:rPr>
            </w:pPr>
            <w:r>
              <w:rPr>
                <w:rFonts w:hint="eastAsia" w:ascii="宋体" w:hAnsi="宋体" w:cs="宋体"/>
                <w:b/>
                <w:color w:val="auto"/>
                <w:kern w:val="0"/>
                <w:sz w:val="22"/>
                <w:lang w:bidi="ar"/>
              </w:rPr>
              <w:t>自评得分</w:t>
            </w:r>
          </w:p>
        </w:tc>
        <w:tc>
          <w:tcPr>
            <w:tcW w:w="2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 w:val="22"/>
              </w:rPr>
            </w:pPr>
            <w:r>
              <w:rPr>
                <w:rFonts w:hint="eastAsia" w:ascii="宋体" w:hAnsi="宋体" w:cs="宋体"/>
                <w:b/>
                <w:color w:val="auto"/>
                <w:kern w:val="0"/>
                <w:sz w:val="22"/>
                <w:lang w:bidi="ar"/>
              </w:rPr>
              <w:t>验收评价得分</w:t>
            </w:r>
          </w:p>
        </w:tc>
      </w:tr>
      <w:tr>
        <w:tblPrEx>
          <w:tblCellMar>
            <w:top w:w="0" w:type="dxa"/>
            <w:left w:w="0" w:type="dxa"/>
            <w:bottom w:w="0" w:type="dxa"/>
            <w:right w:w="0" w:type="dxa"/>
          </w:tblCellMar>
        </w:tblPrEx>
        <w:trPr>
          <w:trHeight w:val="1440" w:hRule="atLeast"/>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强化目标管理</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节约能源资源目标管理</w:t>
            </w: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Style w:val="13"/>
                <w:rFonts w:hint="default" w:hAnsi="宋体"/>
                <w:color w:val="auto"/>
                <w:lang w:bidi="ar"/>
              </w:rPr>
              <w:t>【</w:t>
            </w:r>
            <w:r>
              <w:rPr>
                <w:rStyle w:val="14"/>
                <w:rFonts w:hint="default" w:hAnsi="宋体"/>
                <w:color w:val="auto"/>
                <w:lang w:bidi="ar"/>
              </w:rPr>
              <w:t>此项为必须完成项，未完成视为评价不达标</w:t>
            </w:r>
            <w:r>
              <w:rPr>
                <w:rStyle w:val="13"/>
                <w:rFonts w:hint="default" w:hAnsi="宋体"/>
                <w:color w:val="auto"/>
                <w:lang w:bidi="ar"/>
              </w:rPr>
              <w:t>】纳入重点用能单位管理范围的党政机关，符合节能目标责任考核的各项要求，且年度考核等级为完成及以上等级：□是，□否；年度考核等级＿＿＿；其他党政机关，完成本年度节约能源资源目标，并经公共机构节能管理部门认定：□是；□否。</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2"/>
              </w:rPr>
            </w:pPr>
            <w:r>
              <w:rPr>
                <w:rFonts w:hint="eastAsia" w:ascii="宋体" w:hAnsi="宋体" w:cs="宋体"/>
                <w:color w:val="auto"/>
                <w:kern w:val="0"/>
                <w:sz w:val="22"/>
                <w:lang w:bidi="ar"/>
              </w:rPr>
              <w:t>完成□；未完成□</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2"/>
              </w:rPr>
            </w:pPr>
            <w:r>
              <w:rPr>
                <w:rFonts w:hint="eastAsia" w:ascii="宋体" w:hAnsi="宋体" w:cs="宋体"/>
                <w:color w:val="auto"/>
                <w:kern w:val="0"/>
                <w:sz w:val="22"/>
                <w:lang w:bidi="ar"/>
              </w:rPr>
              <w:t>完成□；未完成□</w:t>
            </w:r>
          </w:p>
        </w:tc>
      </w:tr>
      <w:tr>
        <w:tblPrEx>
          <w:tblCellMar>
            <w:top w:w="0" w:type="dxa"/>
            <w:left w:w="0" w:type="dxa"/>
            <w:bottom w:w="0" w:type="dxa"/>
            <w:right w:w="0" w:type="dxa"/>
          </w:tblCellMar>
        </w:tblPrEx>
        <w:trPr>
          <w:trHeight w:val="960" w:hRule="atLeast"/>
        </w:trPr>
        <w:tc>
          <w:tcPr>
            <w:tcW w:w="6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2</w:t>
            </w:r>
          </w:p>
        </w:tc>
        <w:tc>
          <w:tcPr>
            <w:tcW w:w="9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完善制度体系（20分）</w:t>
            </w:r>
          </w:p>
        </w:tc>
        <w:tc>
          <w:tcPr>
            <w:tcW w:w="1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Style w:val="13"/>
                <w:rFonts w:hint="default" w:hAnsi="宋体"/>
                <w:color w:val="auto"/>
                <w:lang w:bidi="ar"/>
              </w:rPr>
              <w:t>管理机构</w:t>
            </w:r>
            <w:r>
              <w:rPr>
                <w:rStyle w:val="13"/>
                <w:rFonts w:hint="default" w:hAnsi="宋体"/>
                <w:color w:val="auto"/>
                <w:lang w:bidi="ar"/>
              </w:rPr>
              <w:br w:type="textWrapping"/>
            </w:r>
            <w:r>
              <w:rPr>
                <w:rFonts w:hint="eastAsia" w:ascii="仿宋_GB2312" w:hAnsi="宋体" w:eastAsia="仿宋_GB2312" w:cs="仿宋_GB2312"/>
                <w:color w:val="auto"/>
                <w:kern w:val="0"/>
                <w:sz w:val="18"/>
                <w:szCs w:val="18"/>
                <w:lang w:bidi="ar"/>
              </w:rPr>
              <w:t>(5分）</w:t>
            </w: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1.部门或本单位节能领导小组、办公厅（室）、人事部门文件中明确了公共机构节能工作负责部门和工作职责（不要求成立专门机构）：□是（3分）；□否。</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435"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2.设置能源资源管理岗位，并明确专人负责：□是(2分）；□否。</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630"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0"/>
                <w:szCs w:val="20"/>
              </w:rPr>
            </w:pPr>
          </w:p>
        </w:tc>
        <w:tc>
          <w:tcPr>
            <w:tcW w:w="1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管理制度（15分）</w:t>
            </w: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1. 制定年度节约能源资源实施方案：□是（1分）；□否； 明确节约能源资源目标：□是（1分）；□否。</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1200"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Style w:val="13"/>
                <w:rFonts w:hint="default" w:hAnsi="宋体"/>
                <w:color w:val="auto"/>
                <w:lang w:bidi="ar"/>
              </w:rPr>
              <w:t>2.（每制定1项制度得2分，满分5分） 制定能源资源消费统计、节能、节水、生活垃圾分类、绿色消费以及用能设备设施节能操作规程等节约能源资源的管理制度：□是，制定了</w:t>
            </w:r>
            <w:r>
              <w:rPr>
                <w:rStyle w:val="15"/>
                <w:rFonts w:hint="default" w:hAnsi="宋体"/>
                <w:color w:val="auto"/>
                <w:lang w:bidi="ar"/>
              </w:rPr>
              <w:t xml:space="preserve">    </w:t>
            </w:r>
            <w:r>
              <w:rPr>
                <w:rStyle w:val="13"/>
                <w:rFonts w:hint="default" w:hAnsi="宋体"/>
                <w:color w:val="auto"/>
                <w:lang w:bidi="ar"/>
              </w:rPr>
              <w:t>项节约能源资源的管理制度或用能设备设施节能操作规程，分别是＿＿＿＿＿＿＿；□否。</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645"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3.是否通过有关规章制度或合同约定，对物业管理提出能源资源节约管理目标和服务要求：□是（2分）；□否。</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2355" w:hRule="atLeast"/>
        </w:trPr>
        <w:tc>
          <w:tcPr>
            <w:tcW w:w="6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2</w:t>
            </w:r>
          </w:p>
        </w:tc>
        <w:tc>
          <w:tcPr>
            <w:tcW w:w="9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完善制度体系（20分）</w:t>
            </w:r>
          </w:p>
        </w:tc>
        <w:tc>
          <w:tcPr>
            <w:tcW w:w="1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管理制度（15分）</w:t>
            </w: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4.1按照《公共机构能源资源计量器具配备和管理要求》，实行能源资源消耗分户或分楼栋计量：□是（1分）；□否。</w:t>
            </w: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4.2建立能源资源计量器具台账（包括计量器具的名称、规格型号、安装使用地点、测量对象等）， □是（1分）；□否。</w:t>
            </w: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4.3单位主要用电：□中央空调用电；□动力用电；□照明用电；□数据中心机房，已进行分项计量：□中央空调用电；□动力用电；□照明用电；□数据中心机房（分项计量达50%以上，得1分；50%以下得0.5分，未分项计量不得分）</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1755"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5.1按照《公共机构能源资源消费统计调查制度》要求，是否建立能源资源消耗统计台账：是□（1分）；否□。</w:t>
            </w: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5.2根据上级公共机构节能管理部门要求，是否定期报送能源资源消耗状况，数据真实、完整：□是（1分）；□否。</w:t>
            </w: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5.3是否定期公示能源资源消费情况：□是（1分），公示周期＿＿＿， 公示次数＿＿；□否。</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1365" w:hRule="atLeast"/>
        </w:trPr>
        <w:tc>
          <w:tcPr>
            <w:tcW w:w="6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3</w:t>
            </w:r>
          </w:p>
        </w:tc>
        <w:tc>
          <w:tcPr>
            <w:tcW w:w="9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推行绿色办公（30分）</w:t>
            </w:r>
          </w:p>
        </w:tc>
        <w:tc>
          <w:tcPr>
            <w:tcW w:w="1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行为节约（20分）</w:t>
            </w: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220"/>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1.1是否实行办公自动化系统：□是（1分）；□否。</w:t>
            </w: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1.2是否推行纸张双面打印和无纸化办公：□是（1分）；□否。</w:t>
            </w: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1.3采取减少纸质文件、资料印发数量的措施：□是（1分），具体措施＿＿＿＿＿＿＿＿＿＿＿＿＿＿ ；□否。</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1035"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2.实现高效照明光源使用率100%：□是（3分）；□否，高效照明光源使用率30%以下，得1分；30%（含）-100%之间得2分，未使用高效照明光源不得分。使用比率为＿＿%。</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2930"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Style w:val="13"/>
                <w:rFonts w:hint="default" w:hAnsi="宋体"/>
                <w:color w:val="auto"/>
                <w:lang w:bidi="ar"/>
              </w:rPr>
              <w:br w:type="textWrapping"/>
            </w:r>
            <w:r>
              <w:rPr>
                <w:rStyle w:val="13"/>
                <w:rFonts w:hint="default" w:hAnsi="宋体"/>
                <w:color w:val="auto"/>
                <w:lang w:bidi="ar"/>
              </w:rPr>
              <w:t>3.1是否设置夏季室内空调温度设置不得低于26摄氏度，冬季室内空调温度设置不得高于20摄氏度的空调温度控制标准提醒标识：□是（2分）；□否。</w:t>
            </w:r>
            <w:r>
              <w:rPr>
                <w:rStyle w:val="13"/>
                <w:rFonts w:hint="default" w:hAnsi="宋体"/>
                <w:color w:val="auto"/>
                <w:lang w:bidi="ar"/>
              </w:rPr>
              <w:br w:type="textWrapping"/>
            </w:r>
            <w:r>
              <w:rPr>
                <w:rStyle w:val="13"/>
                <w:rFonts w:hint="default" w:hAnsi="宋体"/>
                <w:color w:val="auto"/>
                <w:lang w:bidi="ar"/>
              </w:rPr>
              <w:t>3.2是否执行开空调时不开门窗：□是（2分）；□否。</w:t>
            </w:r>
            <w:r>
              <w:rPr>
                <w:rStyle w:val="13"/>
                <w:rFonts w:hint="default" w:hAnsi="宋体"/>
                <w:color w:val="auto"/>
                <w:lang w:bidi="ar"/>
              </w:rPr>
              <w:br w:type="textWrapping"/>
            </w:r>
            <w:r>
              <w:rPr>
                <w:rStyle w:val="13"/>
                <w:rFonts w:hint="default" w:hAnsi="宋体"/>
                <w:color w:val="auto"/>
                <w:lang w:bidi="ar"/>
              </w:rPr>
              <w:t xml:space="preserve">3.3是否采取巡视等方式督促职工遵守空调使用管理规定：□是（2分），具体措施＿＿＿＿＿＿＿＿＿＿＿＿＿＿ ；□否。 </w:t>
            </w:r>
            <w:r>
              <w:rPr>
                <w:rStyle w:val="13"/>
                <w:rFonts w:hint="default" w:hAnsi="宋体"/>
                <w:color w:val="auto"/>
                <w:lang w:bidi="ar"/>
              </w:rPr>
              <w:br w:type="textWrapping"/>
            </w:r>
            <w:r>
              <w:rPr>
                <w:rStyle w:val="13"/>
                <w:rFonts w:hint="default" w:hAnsi="宋体"/>
                <w:color w:val="auto"/>
                <w:lang w:bidi="ar"/>
              </w:rPr>
              <w:br w:type="textWrapping"/>
            </w:r>
            <w:r>
              <w:rPr>
                <w:rStyle w:val="14"/>
                <w:rFonts w:hint="default" w:hAnsi="宋体"/>
                <w:color w:val="auto"/>
                <w:lang w:bidi="ar"/>
              </w:rPr>
              <w:t xml:space="preserve">说明：没有空调此项得满分6分。 </w:t>
            </w:r>
            <w:r>
              <w:rPr>
                <w:rStyle w:val="13"/>
                <w:rFonts w:hint="default" w:hAnsi="宋体"/>
                <w:color w:val="auto"/>
                <w:lang w:bidi="ar"/>
              </w:rPr>
              <w:t xml:space="preserve">        </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3225" w:hRule="atLeast"/>
        </w:trPr>
        <w:tc>
          <w:tcPr>
            <w:tcW w:w="6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3</w:t>
            </w:r>
          </w:p>
        </w:tc>
        <w:tc>
          <w:tcPr>
            <w:tcW w:w="9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推行绿色办公</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（30分）</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行为节约（20分）</w:t>
            </w: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Style w:val="13"/>
                <w:rFonts w:hint="default" w:hAnsi="宋体"/>
                <w:color w:val="auto"/>
                <w:lang w:bidi="ar"/>
              </w:rPr>
              <w:br w:type="textWrapping"/>
            </w:r>
            <w:r>
              <w:rPr>
                <w:rStyle w:val="13"/>
                <w:rFonts w:hint="default" w:hAnsi="宋体"/>
                <w:color w:val="auto"/>
                <w:lang w:bidi="ar"/>
              </w:rPr>
              <w:t>4.1是否采用节水器具：□感应水龙头 □感应小便器  □感应大便器  □脚踏便池  □其他＿＿＿＿＿＿；节水型生活用水器具使用率：□100%（2分）；□50%-100%之间（1.5分）：□50%以下（1分）；□未使用（0分）。</w:t>
            </w:r>
            <w:r>
              <w:rPr>
                <w:rStyle w:val="13"/>
                <w:rFonts w:hint="default" w:hAnsi="宋体"/>
                <w:color w:val="auto"/>
                <w:lang w:bidi="ar"/>
              </w:rPr>
              <w:br w:type="textWrapping"/>
            </w:r>
            <w:r>
              <w:rPr>
                <w:rStyle w:val="13"/>
                <w:rFonts w:hint="default" w:hAnsi="宋体"/>
                <w:color w:val="auto"/>
                <w:lang w:bidi="ar"/>
              </w:rPr>
              <w:t>4.2近5年来是否进行了水平衡测试，形成水平衡测试报告：□是（1分）；□否。、</w:t>
            </w:r>
            <w:r>
              <w:rPr>
                <w:rStyle w:val="13"/>
                <w:rFonts w:hint="default" w:hAnsi="宋体"/>
                <w:color w:val="auto"/>
                <w:lang w:bidi="ar"/>
              </w:rPr>
              <w:br w:type="textWrapping"/>
            </w:r>
            <w:r>
              <w:rPr>
                <w:rStyle w:val="13"/>
                <w:rFonts w:hint="default" w:hAnsi="宋体"/>
                <w:color w:val="auto"/>
                <w:lang w:bidi="ar"/>
              </w:rPr>
              <w:t>4.3对供水系统进行定期巡视检查、维护，杜绝“跑冒滴漏”及长流水等：□是（2分）；□否。供水管线、设施漏失率：＿＿＿%，记录是否完整：□是（1分）；□否。</w:t>
            </w:r>
            <w:r>
              <w:rPr>
                <w:rStyle w:val="13"/>
                <w:rFonts w:hint="default" w:hAnsi="宋体"/>
                <w:color w:val="auto"/>
                <w:lang w:bidi="ar"/>
              </w:rPr>
              <w:br w:type="textWrapping"/>
            </w:r>
            <w:r>
              <w:rPr>
                <w:rStyle w:val="13"/>
                <w:rFonts w:hint="default" w:hAnsi="宋体"/>
                <w:color w:val="auto"/>
                <w:lang w:bidi="ar"/>
              </w:rPr>
              <w:t>4.4是否采用节水型绿化方式：□是（2分），□喷灌；□滴灌；其他＿＿＿＿＿＿；□否（</w:t>
            </w:r>
            <w:r>
              <w:rPr>
                <w:rStyle w:val="14"/>
                <w:rFonts w:hint="default" w:hAnsi="宋体"/>
                <w:color w:val="auto"/>
                <w:lang w:bidi="ar"/>
              </w:rPr>
              <w:t>无绿化面积的此项得满分2分）</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1290"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0"/>
                <w:szCs w:val="20"/>
              </w:rPr>
            </w:pPr>
          </w:p>
        </w:tc>
        <w:tc>
          <w:tcPr>
            <w:tcW w:w="1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Style w:val="13"/>
                <w:rFonts w:hint="default" w:hAnsi="宋体"/>
                <w:color w:val="auto"/>
                <w:lang w:bidi="ar"/>
              </w:rPr>
              <w:t>绿色出行</w:t>
            </w:r>
            <w:r>
              <w:rPr>
                <w:rStyle w:val="13"/>
                <w:rFonts w:hint="default" w:hAnsi="宋体"/>
                <w:color w:val="auto"/>
                <w:lang w:bidi="ar"/>
              </w:rPr>
              <w:br w:type="textWrapping"/>
            </w:r>
            <w:r>
              <w:rPr>
                <w:rStyle w:val="16"/>
                <w:rFonts w:hint="default" w:ascii="宋体" w:hAnsi="宋体" w:eastAsia="宋体" w:cs="宋体"/>
                <w:color w:val="auto"/>
                <w:sz w:val="24"/>
                <w:szCs w:val="24"/>
                <w:lang w:bidi="ar"/>
              </w:rPr>
              <w:t>（5分）</w:t>
            </w: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1.1是否为干部职工配备公务自行车：□是（1分），配备了＿台；□否。</w:t>
            </w: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1.2积极鼓励干部职工践行“135”等低碳出行方式：□是（1分）；具体措施＿＿＿＿＿＿＿＿；□否。</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1835"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Style w:val="13"/>
                <w:rFonts w:hint="default" w:hAnsi="宋体"/>
                <w:color w:val="auto"/>
                <w:lang w:bidi="ar"/>
              </w:rPr>
              <w:t>2.1 按编制配备公务用车: □是（1分）；□否 。</w:t>
            </w:r>
            <w:r>
              <w:rPr>
                <w:rStyle w:val="13"/>
                <w:rFonts w:hint="default" w:hAnsi="宋体"/>
                <w:color w:val="auto"/>
                <w:lang w:bidi="ar"/>
              </w:rPr>
              <w:br w:type="textWrapping"/>
            </w:r>
            <w:r>
              <w:rPr>
                <w:rStyle w:val="13"/>
                <w:rFonts w:hint="default" w:hAnsi="宋体"/>
                <w:color w:val="auto"/>
                <w:lang w:bidi="ar"/>
              </w:rPr>
              <w:t>2.2是否实行单车能耗核算：□是（1分）；□否。</w:t>
            </w:r>
            <w:r>
              <w:rPr>
                <w:rStyle w:val="13"/>
                <w:rFonts w:hint="default" w:hAnsi="宋体"/>
                <w:color w:val="auto"/>
                <w:lang w:bidi="ar"/>
              </w:rPr>
              <w:br w:type="textWrapping"/>
            </w:r>
            <w:r>
              <w:rPr>
                <w:rStyle w:val="13"/>
                <w:rFonts w:hint="default" w:hAnsi="宋体"/>
                <w:color w:val="auto"/>
                <w:lang w:bidi="ar"/>
              </w:rPr>
              <w:t>2.3是否建立包括出车目的地、行驶里程、往返油耗、往返时间、领导签批等内容的统计台账：□是（1分）；□否。</w:t>
            </w:r>
            <w:r>
              <w:rPr>
                <w:rStyle w:val="13"/>
                <w:rFonts w:hint="default" w:hAnsi="宋体"/>
                <w:color w:val="auto"/>
                <w:lang w:bidi="ar"/>
              </w:rPr>
              <w:br w:type="textWrapping"/>
            </w:r>
            <w:r>
              <w:rPr>
                <w:rStyle w:val="14"/>
                <w:rFonts w:hint="default" w:hAnsi="宋体"/>
                <w:color w:val="auto"/>
                <w:lang w:bidi="ar"/>
              </w:rPr>
              <w:t>说明：未配备公车的此项得满分3分。</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1725"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0"/>
                <w:szCs w:val="20"/>
              </w:rPr>
            </w:pPr>
          </w:p>
        </w:tc>
        <w:tc>
          <w:tcPr>
            <w:tcW w:w="1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绿色采购</w:t>
            </w: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（5分）</w:t>
            </w: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Style w:val="13"/>
                <w:rFonts w:hint="default" w:hAnsi="宋体"/>
                <w:color w:val="auto"/>
                <w:lang w:bidi="ar"/>
              </w:rPr>
              <w:t>1.严格执行国家有关强制采购或优先采购节能产品和技术的规定，带头采购列入《节能产品政府采购清单》、《环境标志产品政府采购清单》的节能、节水、环保、再生、资源综合利用等绿色产品：□全部执行（3分）；□部分执行（2分），原因＿＿＿＿＿＿＿＿；□未执行（0分）</w:t>
            </w:r>
            <w:r>
              <w:rPr>
                <w:rStyle w:val="14"/>
                <w:rFonts w:hint="default" w:hAnsi="宋体"/>
                <w:color w:val="auto"/>
                <w:lang w:bidi="ar"/>
              </w:rPr>
              <w:t>（评价当年未涉及采购项目的得满分5分）</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1575"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220"/>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2.更新公务用车，在条件允许的情况下是否优先采购新能源汽车：□是（2分）；□否。</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1125" w:hRule="atLeast"/>
        </w:trPr>
        <w:tc>
          <w:tcPr>
            <w:tcW w:w="6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4</w:t>
            </w:r>
          </w:p>
        </w:tc>
        <w:tc>
          <w:tcPr>
            <w:tcW w:w="9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强化生活垃圾分类</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（30分）</w:t>
            </w:r>
          </w:p>
        </w:tc>
        <w:tc>
          <w:tcPr>
            <w:tcW w:w="1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Style w:val="13"/>
                <w:rFonts w:hint="default" w:hAnsi="宋体"/>
                <w:color w:val="auto"/>
                <w:lang w:bidi="ar"/>
              </w:rPr>
              <w:t>源头减量</w:t>
            </w:r>
            <w:r>
              <w:rPr>
                <w:rStyle w:val="13"/>
                <w:rFonts w:hint="default" w:hAnsi="宋体"/>
                <w:color w:val="auto"/>
                <w:lang w:bidi="ar"/>
              </w:rPr>
              <w:br w:type="textWrapping"/>
            </w:r>
            <w:r>
              <w:rPr>
                <w:rStyle w:val="16"/>
                <w:rFonts w:hint="default" w:ascii="宋体" w:hAnsi="宋体" w:eastAsia="宋体" w:cs="宋体"/>
                <w:color w:val="auto"/>
                <w:sz w:val="24"/>
                <w:szCs w:val="24"/>
                <w:lang w:bidi="ar"/>
              </w:rPr>
              <w:t>（7分）</w:t>
            </w: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Style w:val="13"/>
                <w:rFonts w:hint="default" w:hAnsi="宋体"/>
                <w:color w:val="auto"/>
                <w:lang w:bidi="ar"/>
              </w:rPr>
              <w:t xml:space="preserve">1.通过设置、粘贴节粮提醒标识、开展“光盘行动”等措施实现厨余垃圾源头减量：□是（2分），具体措施：＿＿＿＿＿＿＿＿ ；□否 </w:t>
            </w:r>
            <w:r>
              <w:rPr>
                <w:rStyle w:val="14"/>
                <w:rFonts w:hint="default" w:hAnsi="宋体"/>
                <w:color w:val="auto"/>
                <w:lang w:bidi="ar"/>
              </w:rPr>
              <w:t>（没有独立食堂的得满分2分）。</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900"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2.使用再生纸、再生铅笔等循环再生办公用品：□是（2分），使用了＿＿＿＿＿＿＿＿等再生办公用品；□否。</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855"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3. 限制使用纸杯、一次性餐具、办公耗材等一次性用品：□是（2分），采用了＿＿＿＿＿＿＿＿措施；□否。</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4.停止使用不可降解一次性塑料制品：□是（1分）；□否。</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825"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0"/>
                <w:szCs w:val="20"/>
              </w:rPr>
            </w:pPr>
          </w:p>
        </w:tc>
        <w:tc>
          <w:tcPr>
            <w:tcW w:w="1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Style w:val="13"/>
                <w:rFonts w:hint="default" w:hAnsi="宋体"/>
                <w:color w:val="auto"/>
                <w:lang w:bidi="ar"/>
              </w:rPr>
              <w:t>分类投放</w:t>
            </w:r>
            <w:r>
              <w:rPr>
                <w:rStyle w:val="16"/>
                <w:rFonts w:hint="default" w:ascii="宋体" w:hAnsi="宋体" w:eastAsia="宋体" w:cs="宋体"/>
                <w:color w:val="auto"/>
                <w:sz w:val="24"/>
                <w:szCs w:val="24"/>
                <w:lang w:bidi="ar"/>
              </w:rPr>
              <w:t>（12分）</w:t>
            </w: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1.按生活垃圾分类标准合理配置垃圾分类容器设施：室内：□是（3分），□否；室外：□是（3分）；□否。</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960"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2.垃圾集中投放点是否张贴垃圾分类投放指南等提示标识：□是（3分）；□否。</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720"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3.干部职工是否准确掌握分类常识并做到生活垃圾分类投放：□是（3分）；□否。</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720"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0"/>
                <w:szCs w:val="20"/>
              </w:rPr>
            </w:pPr>
          </w:p>
        </w:tc>
        <w:tc>
          <w:tcPr>
            <w:tcW w:w="1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Style w:val="13"/>
                <w:rFonts w:hint="default" w:hAnsi="宋体"/>
                <w:color w:val="auto"/>
                <w:lang w:bidi="ar"/>
              </w:rPr>
              <w:t>分类收运</w:t>
            </w:r>
            <w:r>
              <w:rPr>
                <w:rStyle w:val="16"/>
                <w:rFonts w:hint="default" w:ascii="宋体" w:hAnsi="宋体" w:eastAsia="宋体" w:cs="宋体"/>
                <w:color w:val="auto"/>
                <w:sz w:val="24"/>
                <w:szCs w:val="24"/>
                <w:lang w:bidi="ar"/>
              </w:rPr>
              <w:t>（11分）</w:t>
            </w: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1.是否与具备处理资质的企业签订收运处置协议，实现有害垃圾单独存放，统一回收：□是（3分）；□否。</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705"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2.是否与具备回收资质的企业签订收运处置协议，实现可回收物统一回收：□是（3分）；□否。</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1320"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Style w:val="13"/>
                <w:rFonts w:hint="default" w:hAnsi="宋体"/>
                <w:color w:val="auto"/>
                <w:lang w:bidi="ar"/>
              </w:rPr>
              <w:t>3.是否与具备处理资质的企业签订收运处置协议，实现厨余垃圾按国家及属地要求规范处置：□是（3分）；□否。不具备统一回收条件的，是否实现就地无害化规范处置：□是（3分，与前一项不兼得）；□否</w:t>
            </w:r>
            <w:r>
              <w:rPr>
                <w:rStyle w:val="14"/>
                <w:rFonts w:hint="default" w:hAnsi="宋体"/>
                <w:color w:val="auto"/>
                <w:lang w:bidi="ar"/>
              </w:rPr>
              <w:t>（无独立食堂的党政机关此项不扣分）。</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735"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4.是否建立生活垃圾分类清运</w:t>
            </w:r>
            <w:r>
              <w:rPr>
                <w:rFonts w:hint="eastAsia" w:ascii="仿宋_GB2312" w:hAnsi="宋体" w:eastAsia="仿宋_GB2312" w:cs="仿宋_GB2312"/>
                <w:color w:val="auto"/>
                <w:kern w:val="0"/>
                <w:sz w:val="22"/>
                <w:lang w:eastAsia="zh-CN" w:bidi="ar"/>
              </w:rPr>
              <w:t>台账</w:t>
            </w:r>
            <w:r>
              <w:rPr>
                <w:rFonts w:hint="eastAsia" w:ascii="仿宋_GB2312" w:hAnsi="宋体" w:eastAsia="仿宋_GB2312" w:cs="仿宋_GB2312"/>
                <w:color w:val="auto"/>
                <w:kern w:val="0"/>
                <w:sz w:val="22"/>
                <w:lang w:bidi="ar"/>
              </w:rPr>
              <w:t>：□是（1分），□否；是否定期公示垃圾清运量：□是（1分）；□否，公示周期：＿＿＿＿＿＿＿＿。</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1200" w:hRule="atLeast"/>
        </w:trPr>
        <w:tc>
          <w:tcPr>
            <w:tcW w:w="6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5</w:t>
            </w:r>
          </w:p>
        </w:tc>
        <w:tc>
          <w:tcPr>
            <w:tcW w:w="9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开展宣传教育</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（20分）</w:t>
            </w:r>
          </w:p>
        </w:tc>
        <w:tc>
          <w:tcPr>
            <w:tcW w:w="1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Style w:val="13"/>
                <w:rFonts w:hint="default" w:hAnsi="宋体"/>
                <w:color w:val="auto"/>
                <w:lang w:bidi="ar"/>
              </w:rPr>
              <w:t>宣传实践</w:t>
            </w:r>
            <w:r>
              <w:rPr>
                <w:rStyle w:val="16"/>
                <w:rFonts w:hint="default" w:ascii="宋体" w:hAnsi="宋体" w:eastAsia="宋体" w:cs="宋体"/>
                <w:color w:val="auto"/>
                <w:sz w:val="24"/>
                <w:szCs w:val="24"/>
                <w:lang w:bidi="ar"/>
              </w:rPr>
              <w:t>（12分）</w:t>
            </w: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Style w:val="13"/>
                <w:rFonts w:hint="default" w:hAnsi="宋体"/>
                <w:color w:val="auto"/>
                <w:lang w:bidi="ar"/>
              </w:rPr>
              <w:t>1.结合全国节能宣传周、全国低碳日、世界水日、中国水周等活动，组织开展形式多样的宣传实践活动：□是，开展1项活动得3分，2项及以上活动得5分），</w:t>
            </w:r>
            <w:r>
              <w:rPr>
                <w:rFonts w:hint="eastAsia" w:ascii="仿宋_GB2312" w:hAnsi="宋体" w:eastAsia="仿宋_GB2312" w:cs="仿宋_GB2312"/>
                <w:color w:val="auto"/>
                <w:kern w:val="0"/>
                <w:sz w:val="22"/>
                <w:lang w:bidi="ar"/>
              </w:rPr>
              <w:t>开展了＿＿＿＿＿＿＿＿等活动；□否。</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1155"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Style w:val="13"/>
                <w:rFonts w:hint="default" w:hAnsi="宋体"/>
                <w:color w:val="auto"/>
                <w:lang w:bidi="ar"/>
              </w:rPr>
              <w:t>2.张贴节电、节材、节水、节粮、减少使用电梯、空调温度设定、生活垃圾分类投放等提醒标识：□是（每张贴1项得2分，满分5分），张贴了＿＿＿＿＿＿＿＿＿＿＿＿＿＿等标识；□否。</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1080"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3.在新闻媒体或主管部门宣传平台报道本单位节约能源资源经验做法或案例：□是（每报道1次得1分，满分2分），省级＿＿次， 市级及以下＿次；□否。</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645"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0"/>
                <w:szCs w:val="20"/>
              </w:rPr>
            </w:pPr>
          </w:p>
        </w:tc>
        <w:tc>
          <w:tcPr>
            <w:tcW w:w="1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2"/>
              </w:rPr>
            </w:pPr>
            <w:r>
              <w:rPr>
                <w:rStyle w:val="13"/>
                <w:rFonts w:hint="default" w:hAnsi="宋体"/>
                <w:color w:val="auto"/>
                <w:lang w:bidi="ar"/>
              </w:rPr>
              <w:t>教育培训</w:t>
            </w:r>
            <w:r>
              <w:rPr>
                <w:rStyle w:val="13"/>
                <w:rFonts w:hint="default" w:hAnsi="宋体"/>
                <w:color w:val="auto"/>
                <w:lang w:bidi="ar"/>
              </w:rPr>
              <w:br w:type="textWrapping"/>
            </w:r>
            <w:r>
              <w:rPr>
                <w:rStyle w:val="16"/>
                <w:rFonts w:hint="default" w:ascii="宋体" w:hAnsi="宋体" w:eastAsia="宋体" w:cs="宋体"/>
                <w:color w:val="auto"/>
                <w:sz w:val="24"/>
                <w:szCs w:val="24"/>
                <w:lang w:bidi="ar"/>
              </w:rPr>
              <w:t>（8分）</w:t>
            </w: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1.将节能、节水、生活垃圾分类等内容纳入干部职工培训体系：□是（2分），□否。</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960"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2"/>
              </w:rPr>
            </w:pP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2.定期举办面向干部职工的节能低碳等生态文明建设知识讲座、岗位培训等教育培训活动：□是（举办1次得3分，举办2次及以上得6分），举办了＿＿ 次；□否。</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420" w:hRule="atLeast"/>
        </w:trPr>
        <w:tc>
          <w:tcPr>
            <w:tcW w:w="1620"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cs="仿宋_GB2312"/>
                <w:b/>
                <w:color w:val="auto"/>
                <w:sz w:val="24"/>
                <w:szCs w:val="24"/>
              </w:rPr>
            </w:pPr>
            <w:r>
              <w:rPr>
                <w:rFonts w:hint="eastAsia" w:ascii="仿宋_GB2312" w:hAnsi="宋体" w:eastAsia="仿宋_GB2312" w:cs="仿宋_GB2312"/>
                <w:b/>
                <w:color w:val="auto"/>
                <w:kern w:val="0"/>
                <w:sz w:val="24"/>
                <w:szCs w:val="24"/>
                <w:lang w:bidi="ar"/>
              </w:rPr>
              <w:t>备 注：</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宋体" w:eastAsia="仿宋_GB2312" w:cs="仿宋_GB2312"/>
                <w:b/>
                <w:color w:val="auto"/>
                <w:sz w:val="24"/>
                <w:szCs w:val="24"/>
              </w:rPr>
            </w:pPr>
          </w:p>
        </w:tc>
        <w:tc>
          <w:tcPr>
            <w:tcW w:w="7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宋体" w:eastAsia="仿宋_GB2312" w:cs="仿宋_GB2312"/>
                <w:b/>
                <w:color w:val="auto"/>
                <w:sz w:val="24"/>
                <w:szCs w:val="24"/>
              </w:rPr>
            </w:pPr>
          </w:p>
        </w:tc>
        <w:tc>
          <w:tcPr>
            <w:tcW w:w="2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宋体" w:eastAsia="仿宋_GB2312" w:cs="仿宋_GB2312"/>
                <w:b/>
                <w:color w:val="auto"/>
                <w:sz w:val="24"/>
                <w:szCs w:val="24"/>
              </w:rPr>
            </w:pPr>
          </w:p>
        </w:tc>
        <w:tc>
          <w:tcPr>
            <w:tcW w:w="2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宋体" w:eastAsia="仿宋_GB2312" w:cs="仿宋_GB2312"/>
                <w:b/>
                <w:color w:val="auto"/>
                <w:sz w:val="24"/>
                <w:szCs w:val="24"/>
              </w:rPr>
            </w:pPr>
          </w:p>
        </w:tc>
      </w:tr>
      <w:tr>
        <w:tblPrEx>
          <w:tblCellMar>
            <w:top w:w="0" w:type="dxa"/>
            <w:left w:w="0" w:type="dxa"/>
            <w:bottom w:w="0" w:type="dxa"/>
            <w:right w:w="0" w:type="dxa"/>
          </w:tblCellMar>
        </w:tblPrEx>
        <w:trPr>
          <w:trHeight w:val="405" w:hRule="atLeast"/>
        </w:trPr>
        <w:tc>
          <w:tcPr>
            <w:tcW w:w="162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b/>
                <w:color w:val="auto"/>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b/>
                <w:color w:val="auto"/>
                <w:sz w:val="24"/>
                <w:szCs w:val="24"/>
              </w:rPr>
            </w:pPr>
          </w:p>
        </w:tc>
        <w:tc>
          <w:tcPr>
            <w:tcW w:w="7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b/>
                <w:color w:val="auto"/>
                <w:sz w:val="24"/>
                <w:szCs w:val="24"/>
              </w:rPr>
            </w:pP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b/>
                <w:color w:val="auto"/>
                <w:sz w:val="24"/>
                <w:szCs w:val="24"/>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b/>
                <w:color w:val="auto"/>
                <w:sz w:val="24"/>
                <w:szCs w:val="24"/>
              </w:rPr>
            </w:pP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宋体" w:eastAsia="仿宋_GB2312" w:cs="仿宋_GB2312"/>
                <w:color w:val="auto"/>
                <w:sz w:val="22"/>
              </w:rPr>
            </w:pPr>
          </w:p>
        </w:tc>
        <w:tc>
          <w:tcPr>
            <w:tcW w:w="14520"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auto"/>
                <w:sz w:val="22"/>
              </w:rPr>
            </w:pPr>
            <w:r>
              <w:rPr>
                <w:rFonts w:hint="eastAsia" w:ascii="仿宋_GB2312" w:hAnsi="宋体" w:eastAsia="仿宋_GB2312" w:cs="仿宋_GB2312"/>
                <w:color w:val="auto"/>
                <w:kern w:val="0"/>
                <w:sz w:val="22"/>
                <w:lang w:bidi="ar"/>
              </w:rPr>
              <w:t>1、市、县（区）各党政机关均以此评价表为准进行评价，80分以上为达标；</w:t>
            </w:r>
            <w:r>
              <w:rPr>
                <w:rFonts w:hint="eastAsia" w:ascii="仿宋_GB2312" w:hAnsi="宋体" w:eastAsia="仿宋_GB2312" w:cs="仿宋_GB2312"/>
                <w:color w:val="auto"/>
                <w:kern w:val="0"/>
                <w:sz w:val="22"/>
                <w:lang w:bidi="ar"/>
              </w:rPr>
              <w:br w:type="textWrapping"/>
            </w:r>
            <w:r>
              <w:rPr>
                <w:rFonts w:hint="eastAsia" w:ascii="仿宋_GB2312" w:hAnsi="宋体" w:eastAsia="仿宋_GB2312" w:cs="仿宋_GB2312"/>
                <w:color w:val="auto"/>
                <w:kern w:val="0"/>
                <w:sz w:val="22"/>
                <w:lang w:bidi="ar"/>
              </w:rPr>
              <w:t>2、对物业实行统一管理的集中办公区，评价表中涉及到的统一管理项目只对管理单位进行评价，对各党政机关评价时该项目视为满分；能源资源消耗分户计量本着应分尽分原则，特殊情况只能实行分楼栋计量的，视作符合分户计量要求。</w:t>
            </w: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宋体" w:eastAsia="仿宋_GB2312" w:cs="仿宋_GB2312"/>
                <w:color w:val="auto"/>
                <w:sz w:val="22"/>
              </w:rPr>
            </w:pPr>
          </w:p>
        </w:tc>
        <w:tc>
          <w:tcPr>
            <w:tcW w:w="14520"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宋体" w:eastAsia="仿宋_GB2312" w:cs="仿宋_GB2312"/>
                <w:color w:val="auto"/>
                <w:sz w:val="22"/>
              </w:rPr>
            </w:pPr>
          </w:p>
        </w:tc>
        <w:tc>
          <w:tcPr>
            <w:tcW w:w="14520"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宋体" w:eastAsia="仿宋_GB2312" w:cs="仿宋_GB2312"/>
                <w:color w:val="auto"/>
                <w:sz w:val="22"/>
              </w:rPr>
            </w:pPr>
          </w:p>
        </w:tc>
        <w:tc>
          <w:tcPr>
            <w:tcW w:w="14520"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285" w:hRule="atLeast"/>
        </w:trPr>
        <w:tc>
          <w:tcPr>
            <w:tcW w:w="660" w:type="dxa"/>
            <w:tcBorders>
              <w:top w:val="nil"/>
              <w:left w:val="nil"/>
              <w:bottom w:val="nil"/>
              <w:right w:val="nil"/>
            </w:tcBorders>
            <w:noWrap/>
            <w:tcMar>
              <w:top w:w="15" w:type="dxa"/>
              <w:left w:w="15" w:type="dxa"/>
              <w:right w:w="15" w:type="dxa"/>
            </w:tcMar>
            <w:vAlign w:val="center"/>
          </w:tcPr>
          <w:p>
            <w:pPr>
              <w:rPr>
                <w:rFonts w:hint="eastAsia" w:ascii="仿宋_GB2312" w:hAnsi="宋体" w:eastAsia="仿宋_GB2312" w:cs="仿宋_GB2312"/>
                <w:color w:val="auto"/>
                <w:sz w:val="22"/>
              </w:rPr>
            </w:pPr>
          </w:p>
        </w:tc>
        <w:tc>
          <w:tcPr>
            <w:tcW w:w="960" w:type="dxa"/>
            <w:tcBorders>
              <w:top w:val="nil"/>
              <w:left w:val="nil"/>
              <w:bottom w:val="nil"/>
              <w:right w:val="nil"/>
            </w:tcBorders>
            <w:noWrap/>
            <w:tcMar>
              <w:top w:w="15" w:type="dxa"/>
              <w:left w:w="15" w:type="dxa"/>
              <w:right w:w="15" w:type="dxa"/>
            </w:tcMar>
            <w:vAlign w:val="center"/>
          </w:tcPr>
          <w:p>
            <w:pPr>
              <w:rPr>
                <w:rFonts w:hint="eastAsia" w:ascii="仿宋_GB2312" w:hAnsi="宋体" w:eastAsia="仿宋_GB2312" w:cs="仿宋_GB2312"/>
                <w:color w:val="auto"/>
                <w:sz w:val="22"/>
              </w:rPr>
            </w:pPr>
          </w:p>
        </w:tc>
        <w:tc>
          <w:tcPr>
            <w:tcW w:w="11070" w:type="dxa"/>
            <w:gridSpan w:val="3"/>
            <w:tcBorders>
              <w:top w:val="nil"/>
              <w:left w:val="nil"/>
              <w:bottom w:val="nil"/>
              <w:right w:val="nil"/>
            </w:tcBorders>
            <w:noWrap w:val="0"/>
            <w:tcMar>
              <w:top w:w="15" w:type="dxa"/>
              <w:left w:w="15" w:type="dxa"/>
              <w:right w:w="15" w:type="dxa"/>
            </w:tcMar>
            <w:vAlign w:val="center"/>
          </w:tcPr>
          <w:p>
            <w:pPr>
              <w:jc w:val="left"/>
              <w:rPr>
                <w:rFonts w:hint="eastAsia" w:ascii="仿宋_GB2312" w:hAnsi="宋体" w:eastAsia="仿宋_GB2312" w:cs="仿宋_GB2312"/>
                <w:b/>
                <w:color w:val="auto"/>
                <w:sz w:val="24"/>
                <w:szCs w:val="24"/>
              </w:rPr>
            </w:pPr>
          </w:p>
        </w:tc>
        <w:tc>
          <w:tcPr>
            <w:tcW w:w="2490" w:type="dxa"/>
            <w:tcBorders>
              <w:top w:val="nil"/>
              <w:left w:val="nil"/>
              <w:bottom w:val="nil"/>
              <w:right w:val="nil"/>
            </w:tcBorders>
            <w:noWrap/>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285" w:hRule="atLeast"/>
        </w:trPr>
        <w:tc>
          <w:tcPr>
            <w:tcW w:w="660" w:type="dxa"/>
            <w:tcBorders>
              <w:top w:val="nil"/>
              <w:left w:val="nil"/>
              <w:bottom w:val="nil"/>
              <w:right w:val="nil"/>
            </w:tcBorders>
            <w:noWrap/>
            <w:tcMar>
              <w:top w:w="15" w:type="dxa"/>
              <w:left w:w="15" w:type="dxa"/>
              <w:right w:w="15" w:type="dxa"/>
            </w:tcMar>
            <w:vAlign w:val="center"/>
          </w:tcPr>
          <w:p>
            <w:pPr>
              <w:rPr>
                <w:rFonts w:hint="eastAsia" w:ascii="仿宋_GB2312" w:hAnsi="宋体" w:eastAsia="仿宋_GB2312" w:cs="仿宋_GB2312"/>
                <w:color w:val="auto"/>
                <w:sz w:val="22"/>
              </w:rPr>
            </w:pPr>
          </w:p>
        </w:tc>
        <w:tc>
          <w:tcPr>
            <w:tcW w:w="960" w:type="dxa"/>
            <w:tcBorders>
              <w:top w:val="nil"/>
              <w:left w:val="nil"/>
              <w:bottom w:val="nil"/>
              <w:right w:val="nil"/>
            </w:tcBorders>
            <w:noWrap/>
            <w:tcMar>
              <w:top w:w="15" w:type="dxa"/>
              <w:left w:w="15" w:type="dxa"/>
              <w:right w:w="15" w:type="dxa"/>
            </w:tcMar>
            <w:vAlign w:val="center"/>
          </w:tcPr>
          <w:p>
            <w:pPr>
              <w:rPr>
                <w:rFonts w:hint="eastAsia" w:ascii="仿宋_GB2312" w:hAnsi="宋体" w:eastAsia="仿宋_GB2312" w:cs="仿宋_GB2312"/>
                <w:color w:val="auto"/>
                <w:sz w:val="22"/>
              </w:rPr>
            </w:pPr>
          </w:p>
        </w:tc>
        <w:tc>
          <w:tcPr>
            <w:tcW w:w="1320" w:type="dxa"/>
            <w:tcBorders>
              <w:top w:val="nil"/>
              <w:left w:val="nil"/>
              <w:bottom w:val="nil"/>
              <w:right w:val="nil"/>
            </w:tcBorders>
            <w:noWrap w:val="0"/>
            <w:tcMar>
              <w:top w:w="15" w:type="dxa"/>
              <w:left w:w="15" w:type="dxa"/>
              <w:right w:w="15" w:type="dxa"/>
            </w:tcMar>
            <w:vAlign w:val="center"/>
          </w:tcPr>
          <w:p>
            <w:pPr>
              <w:jc w:val="left"/>
              <w:rPr>
                <w:rFonts w:hint="eastAsia" w:ascii="仿宋_GB2312" w:hAnsi="宋体" w:eastAsia="仿宋_GB2312" w:cs="仿宋_GB2312"/>
                <w:b/>
                <w:color w:val="auto"/>
                <w:sz w:val="24"/>
                <w:szCs w:val="24"/>
              </w:rPr>
            </w:pPr>
          </w:p>
        </w:tc>
        <w:tc>
          <w:tcPr>
            <w:tcW w:w="7620" w:type="dxa"/>
            <w:tcBorders>
              <w:top w:val="nil"/>
              <w:left w:val="nil"/>
              <w:bottom w:val="nil"/>
              <w:right w:val="nil"/>
            </w:tcBorders>
            <w:noWrap w:val="0"/>
            <w:tcMar>
              <w:top w:w="15" w:type="dxa"/>
              <w:left w:w="15" w:type="dxa"/>
              <w:right w:w="15" w:type="dxa"/>
            </w:tcMar>
            <w:vAlign w:val="center"/>
          </w:tcPr>
          <w:p>
            <w:pPr>
              <w:jc w:val="left"/>
              <w:rPr>
                <w:rFonts w:hint="eastAsia" w:ascii="仿宋_GB2312" w:hAnsi="宋体" w:eastAsia="仿宋_GB2312" w:cs="仿宋_GB2312"/>
                <w:b/>
                <w:color w:val="auto"/>
                <w:sz w:val="24"/>
                <w:szCs w:val="24"/>
              </w:rPr>
            </w:pPr>
          </w:p>
        </w:tc>
        <w:tc>
          <w:tcPr>
            <w:tcW w:w="2130" w:type="dxa"/>
            <w:tcBorders>
              <w:top w:val="nil"/>
              <w:left w:val="nil"/>
              <w:bottom w:val="nil"/>
              <w:right w:val="nil"/>
            </w:tcBorders>
            <w:noWrap w:val="0"/>
            <w:tcMar>
              <w:top w:w="15" w:type="dxa"/>
              <w:left w:w="15" w:type="dxa"/>
              <w:right w:w="15" w:type="dxa"/>
            </w:tcMar>
            <w:vAlign w:val="center"/>
          </w:tcPr>
          <w:p>
            <w:pPr>
              <w:jc w:val="left"/>
              <w:rPr>
                <w:rFonts w:hint="eastAsia" w:ascii="仿宋_GB2312" w:hAnsi="宋体" w:eastAsia="仿宋_GB2312" w:cs="仿宋_GB2312"/>
                <w:b/>
                <w:color w:val="auto"/>
                <w:sz w:val="24"/>
                <w:szCs w:val="24"/>
              </w:rPr>
            </w:pPr>
          </w:p>
        </w:tc>
        <w:tc>
          <w:tcPr>
            <w:tcW w:w="2490" w:type="dxa"/>
            <w:tcBorders>
              <w:top w:val="nil"/>
              <w:left w:val="nil"/>
              <w:bottom w:val="nil"/>
              <w:right w:val="nil"/>
            </w:tcBorders>
            <w:noWrap/>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285" w:hRule="atLeast"/>
        </w:trPr>
        <w:tc>
          <w:tcPr>
            <w:tcW w:w="660" w:type="dxa"/>
            <w:tcBorders>
              <w:top w:val="nil"/>
              <w:left w:val="nil"/>
              <w:bottom w:val="nil"/>
              <w:right w:val="nil"/>
            </w:tcBorders>
            <w:noWrap/>
            <w:tcMar>
              <w:top w:w="15" w:type="dxa"/>
              <w:left w:w="15" w:type="dxa"/>
              <w:right w:w="15" w:type="dxa"/>
            </w:tcMar>
            <w:vAlign w:val="center"/>
          </w:tcPr>
          <w:p>
            <w:pPr>
              <w:rPr>
                <w:rFonts w:hint="eastAsia" w:ascii="仿宋_GB2312" w:hAnsi="宋体" w:eastAsia="仿宋_GB2312" w:cs="仿宋_GB2312"/>
                <w:color w:val="auto"/>
                <w:sz w:val="22"/>
              </w:rPr>
            </w:pPr>
          </w:p>
        </w:tc>
        <w:tc>
          <w:tcPr>
            <w:tcW w:w="960" w:type="dxa"/>
            <w:tcBorders>
              <w:top w:val="nil"/>
              <w:left w:val="nil"/>
              <w:bottom w:val="nil"/>
              <w:right w:val="nil"/>
            </w:tcBorders>
            <w:noWrap/>
            <w:tcMar>
              <w:top w:w="15" w:type="dxa"/>
              <w:left w:w="15" w:type="dxa"/>
              <w:right w:w="15" w:type="dxa"/>
            </w:tcMar>
            <w:vAlign w:val="center"/>
          </w:tcPr>
          <w:p>
            <w:pPr>
              <w:rPr>
                <w:rFonts w:hint="eastAsia" w:ascii="仿宋_GB2312" w:hAnsi="宋体" w:eastAsia="仿宋_GB2312" w:cs="仿宋_GB2312"/>
                <w:color w:val="auto"/>
                <w:sz w:val="22"/>
              </w:rPr>
            </w:pPr>
          </w:p>
        </w:tc>
        <w:tc>
          <w:tcPr>
            <w:tcW w:w="1320" w:type="dxa"/>
            <w:tcBorders>
              <w:top w:val="nil"/>
              <w:left w:val="nil"/>
              <w:bottom w:val="nil"/>
              <w:right w:val="nil"/>
            </w:tcBorders>
            <w:noWrap w:val="0"/>
            <w:tcMar>
              <w:top w:w="15" w:type="dxa"/>
              <w:left w:w="15" w:type="dxa"/>
              <w:right w:w="15" w:type="dxa"/>
            </w:tcMar>
            <w:vAlign w:val="center"/>
          </w:tcPr>
          <w:p>
            <w:pPr>
              <w:jc w:val="left"/>
              <w:rPr>
                <w:rFonts w:hint="eastAsia" w:ascii="仿宋_GB2312" w:hAnsi="宋体" w:eastAsia="仿宋_GB2312" w:cs="仿宋_GB2312"/>
                <w:b/>
                <w:color w:val="auto"/>
                <w:sz w:val="24"/>
                <w:szCs w:val="24"/>
              </w:rPr>
            </w:pPr>
          </w:p>
        </w:tc>
        <w:tc>
          <w:tcPr>
            <w:tcW w:w="7620" w:type="dxa"/>
            <w:tcBorders>
              <w:top w:val="nil"/>
              <w:left w:val="nil"/>
              <w:bottom w:val="nil"/>
              <w:right w:val="nil"/>
            </w:tcBorders>
            <w:noWrap w:val="0"/>
            <w:tcMar>
              <w:top w:w="15" w:type="dxa"/>
              <w:left w:w="15" w:type="dxa"/>
              <w:right w:w="15" w:type="dxa"/>
            </w:tcMar>
            <w:vAlign w:val="center"/>
          </w:tcPr>
          <w:p>
            <w:pPr>
              <w:jc w:val="left"/>
              <w:rPr>
                <w:rFonts w:hint="eastAsia" w:ascii="仿宋_GB2312" w:hAnsi="宋体" w:eastAsia="仿宋_GB2312" w:cs="仿宋_GB2312"/>
                <w:b/>
                <w:color w:val="auto"/>
                <w:sz w:val="24"/>
                <w:szCs w:val="24"/>
              </w:rPr>
            </w:pPr>
          </w:p>
        </w:tc>
        <w:tc>
          <w:tcPr>
            <w:tcW w:w="2130" w:type="dxa"/>
            <w:tcBorders>
              <w:top w:val="nil"/>
              <w:left w:val="nil"/>
              <w:bottom w:val="nil"/>
              <w:right w:val="nil"/>
            </w:tcBorders>
            <w:noWrap w:val="0"/>
            <w:tcMar>
              <w:top w:w="15" w:type="dxa"/>
              <w:left w:w="15" w:type="dxa"/>
              <w:right w:w="15" w:type="dxa"/>
            </w:tcMar>
            <w:vAlign w:val="center"/>
          </w:tcPr>
          <w:p>
            <w:pPr>
              <w:jc w:val="left"/>
              <w:rPr>
                <w:rFonts w:hint="eastAsia" w:ascii="仿宋_GB2312" w:hAnsi="宋体" w:eastAsia="仿宋_GB2312" w:cs="仿宋_GB2312"/>
                <w:b/>
                <w:color w:val="auto"/>
                <w:sz w:val="24"/>
                <w:szCs w:val="24"/>
              </w:rPr>
            </w:pPr>
          </w:p>
        </w:tc>
        <w:tc>
          <w:tcPr>
            <w:tcW w:w="2490" w:type="dxa"/>
            <w:tcBorders>
              <w:top w:val="nil"/>
              <w:left w:val="nil"/>
              <w:bottom w:val="nil"/>
              <w:right w:val="nil"/>
            </w:tcBorders>
            <w:noWrap/>
            <w:tcMar>
              <w:top w:w="15" w:type="dxa"/>
              <w:left w:w="15" w:type="dxa"/>
              <w:right w:w="15" w:type="dxa"/>
            </w:tcMar>
            <w:vAlign w:val="center"/>
          </w:tcPr>
          <w:p>
            <w:pPr>
              <w:jc w:val="left"/>
              <w:rPr>
                <w:rFonts w:hint="eastAsia" w:ascii="仿宋_GB2312" w:hAnsi="宋体" w:eastAsia="仿宋_GB2312" w:cs="仿宋_GB2312"/>
                <w:color w:val="auto"/>
                <w:sz w:val="22"/>
              </w:rPr>
            </w:pPr>
          </w:p>
        </w:tc>
      </w:tr>
      <w:tr>
        <w:tblPrEx>
          <w:tblCellMar>
            <w:top w:w="0" w:type="dxa"/>
            <w:left w:w="0" w:type="dxa"/>
            <w:bottom w:w="0" w:type="dxa"/>
            <w:right w:w="0" w:type="dxa"/>
          </w:tblCellMar>
        </w:tblPrEx>
        <w:trPr>
          <w:trHeight w:val="270" w:hRule="atLeast"/>
        </w:trPr>
        <w:tc>
          <w:tcPr>
            <w:tcW w:w="660" w:type="dxa"/>
            <w:tcBorders>
              <w:top w:val="nil"/>
              <w:left w:val="nil"/>
              <w:bottom w:val="nil"/>
              <w:right w:val="nil"/>
            </w:tcBorders>
            <w:noWrap/>
            <w:tcMar>
              <w:top w:w="15" w:type="dxa"/>
              <w:left w:w="15" w:type="dxa"/>
              <w:right w:w="15" w:type="dxa"/>
            </w:tcMar>
            <w:vAlign w:val="center"/>
          </w:tcPr>
          <w:p>
            <w:pPr>
              <w:rPr>
                <w:rFonts w:hint="eastAsia" w:ascii="仿宋_GB2312" w:hAnsi="宋体" w:eastAsia="仿宋_GB2312" w:cs="仿宋_GB2312"/>
                <w:color w:val="auto"/>
                <w:sz w:val="22"/>
              </w:rPr>
            </w:pPr>
          </w:p>
        </w:tc>
        <w:tc>
          <w:tcPr>
            <w:tcW w:w="960" w:type="dxa"/>
            <w:tcBorders>
              <w:top w:val="nil"/>
              <w:left w:val="nil"/>
              <w:bottom w:val="nil"/>
              <w:right w:val="nil"/>
            </w:tcBorders>
            <w:noWrap/>
            <w:tcMar>
              <w:top w:w="15" w:type="dxa"/>
              <w:left w:w="15" w:type="dxa"/>
              <w:right w:w="15" w:type="dxa"/>
            </w:tcMar>
            <w:vAlign w:val="center"/>
          </w:tcPr>
          <w:p>
            <w:pPr>
              <w:rPr>
                <w:rFonts w:hint="eastAsia" w:ascii="仿宋_GB2312" w:hAnsi="宋体" w:eastAsia="仿宋_GB2312" w:cs="仿宋_GB2312"/>
                <w:color w:val="auto"/>
                <w:sz w:val="22"/>
              </w:rPr>
            </w:pPr>
          </w:p>
        </w:tc>
        <w:tc>
          <w:tcPr>
            <w:tcW w:w="13560" w:type="dxa"/>
            <w:gridSpan w:val="4"/>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仿宋_GB2312" w:hAnsi="宋体" w:eastAsia="仿宋_GB2312" w:cs="仿宋_GB2312"/>
                <w:b/>
                <w:color w:val="auto"/>
                <w:sz w:val="22"/>
              </w:rPr>
            </w:pPr>
            <w:r>
              <w:rPr>
                <w:rFonts w:hint="eastAsia" w:ascii="仿宋_GB2312" w:hAnsi="宋体" w:eastAsia="仿宋_GB2312" w:cs="仿宋_GB2312"/>
                <w:b/>
                <w:color w:val="auto"/>
                <w:kern w:val="0"/>
                <w:sz w:val="22"/>
                <w:lang w:bidi="ar"/>
              </w:rPr>
              <w:t xml:space="preserve">                        验收评价组成员：                    联系电话：</w:t>
            </w:r>
          </w:p>
        </w:tc>
      </w:tr>
      <w:tr>
        <w:tblPrEx>
          <w:tblCellMar>
            <w:top w:w="0" w:type="dxa"/>
            <w:left w:w="0" w:type="dxa"/>
            <w:bottom w:w="0" w:type="dxa"/>
            <w:right w:w="0" w:type="dxa"/>
          </w:tblCellMar>
        </w:tblPrEx>
        <w:trPr>
          <w:trHeight w:val="270" w:hRule="atLeast"/>
        </w:trPr>
        <w:tc>
          <w:tcPr>
            <w:tcW w:w="660" w:type="dxa"/>
            <w:tcBorders>
              <w:top w:val="nil"/>
              <w:left w:val="nil"/>
              <w:bottom w:val="nil"/>
              <w:right w:val="nil"/>
            </w:tcBorders>
            <w:noWrap/>
            <w:tcMar>
              <w:top w:w="15" w:type="dxa"/>
              <w:left w:w="15" w:type="dxa"/>
              <w:right w:w="15" w:type="dxa"/>
            </w:tcMar>
            <w:vAlign w:val="center"/>
          </w:tcPr>
          <w:p>
            <w:pPr>
              <w:rPr>
                <w:rFonts w:hint="eastAsia" w:ascii="仿宋_GB2312" w:hAnsi="宋体" w:eastAsia="仿宋_GB2312" w:cs="仿宋_GB2312"/>
                <w:color w:val="auto"/>
                <w:sz w:val="22"/>
              </w:rPr>
            </w:pPr>
          </w:p>
        </w:tc>
        <w:tc>
          <w:tcPr>
            <w:tcW w:w="960" w:type="dxa"/>
            <w:tcBorders>
              <w:top w:val="nil"/>
              <w:left w:val="nil"/>
              <w:bottom w:val="nil"/>
              <w:right w:val="nil"/>
            </w:tcBorders>
            <w:noWrap/>
            <w:tcMar>
              <w:top w:w="15" w:type="dxa"/>
              <w:left w:w="15" w:type="dxa"/>
              <w:right w:w="15" w:type="dxa"/>
            </w:tcMar>
            <w:vAlign w:val="center"/>
          </w:tcPr>
          <w:p>
            <w:pPr>
              <w:rPr>
                <w:rFonts w:hint="eastAsia" w:ascii="仿宋_GB2312" w:hAnsi="宋体" w:eastAsia="仿宋_GB2312" w:cs="仿宋_GB2312"/>
                <w:color w:val="auto"/>
                <w:sz w:val="22"/>
              </w:rPr>
            </w:pPr>
          </w:p>
        </w:tc>
        <w:tc>
          <w:tcPr>
            <w:tcW w:w="1320" w:type="dxa"/>
            <w:tcBorders>
              <w:top w:val="nil"/>
              <w:left w:val="nil"/>
              <w:bottom w:val="nil"/>
              <w:right w:val="nil"/>
            </w:tcBorders>
            <w:noWrap/>
            <w:tcMar>
              <w:top w:w="15" w:type="dxa"/>
              <w:left w:w="15" w:type="dxa"/>
              <w:right w:w="15" w:type="dxa"/>
            </w:tcMar>
            <w:vAlign w:val="center"/>
          </w:tcPr>
          <w:p>
            <w:pPr>
              <w:rPr>
                <w:rFonts w:hint="eastAsia" w:ascii="仿宋_GB2312" w:hAnsi="宋体" w:eastAsia="仿宋_GB2312" w:cs="仿宋_GB2312"/>
                <w:b/>
                <w:color w:val="auto"/>
                <w:sz w:val="22"/>
              </w:rPr>
            </w:pPr>
          </w:p>
        </w:tc>
        <w:tc>
          <w:tcPr>
            <w:tcW w:w="7620" w:type="dxa"/>
            <w:tcBorders>
              <w:top w:val="nil"/>
              <w:left w:val="nil"/>
              <w:bottom w:val="nil"/>
              <w:right w:val="nil"/>
            </w:tcBorders>
            <w:noWrap/>
            <w:tcMar>
              <w:top w:w="15" w:type="dxa"/>
              <w:left w:w="15" w:type="dxa"/>
              <w:right w:w="15" w:type="dxa"/>
            </w:tcMar>
            <w:vAlign w:val="center"/>
          </w:tcPr>
          <w:p>
            <w:pPr>
              <w:rPr>
                <w:rFonts w:hint="eastAsia" w:ascii="仿宋_GB2312" w:hAnsi="宋体" w:eastAsia="仿宋_GB2312" w:cs="仿宋_GB2312"/>
                <w:b/>
                <w:color w:val="auto"/>
                <w:sz w:val="22"/>
              </w:rPr>
            </w:pPr>
          </w:p>
        </w:tc>
        <w:tc>
          <w:tcPr>
            <w:tcW w:w="2130" w:type="dxa"/>
            <w:tcBorders>
              <w:top w:val="nil"/>
              <w:left w:val="nil"/>
              <w:bottom w:val="nil"/>
              <w:right w:val="nil"/>
            </w:tcBorders>
            <w:noWrap/>
            <w:tcMar>
              <w:top w:w="15" w:type="dxa"/>
              <w:left w:w="15" w:type="dxa"/>
              <w:right w:w="15" w:type="dxa"/>
            </w:tcMar>
            <w:vAlign w:val="center"/>
          </w:tcPr>
          <w:p>
            <w:pPr>
              <w:rPr>
                <w:rFonts w:hint="eastAsia" w:ascii="仿宋_GB2312" w:hAnsi="宋体" w:eastAsia="仿宋_GB2312" w:cs="仿宋_GB2312"/>
                <w:b/>
                <w:color w:val="auto"/>
                <w:sz w:val="22"/>
              </w:rPr>
            </w:pPr>
          </w:p>
        </w:tc>
        <w:tc>
          <w:tcPr>
            <w:tcW w:w="2490" w:type="dxa"/>
            <w:tcBorders>
              <w:top w:val="nil"/>
              <w:left w:val="nil"/>
              <w:bottom w:val="nil"/>
              <w:right w:val="nil"/>
            </w:tcBorders>
            <w:noWrap/>
            <w:tcMar>
              <w:top w:w="15" w:type="dxa"/>
              <w:left w:w="15" w:type="dxa"/>
              <w:right w:w="15" w:type="dxa"/>
            </w:tcMar>
            <w:vAlign w:val="center"/>
          </w:tcPr>
          <w:p>
            <w:pPr>
              <w:jc w:val="left"/>
              <w:rPr>
                <w:rFonts w:hint="eastAsia" w:ascii="仿宋_GB2312" w:hAnsi="宋体" w:eastAsia="仿宋_GB2312" w:cs="仿宋_GB2312"/>
                <w:b/>
                <w:color w:val="auto"/>
                <w:sz w:val="22"/>
              </w:rPr>
            </w:pPr>
          </w:p>
        </w:tc>
      </w:tr>
      <w:tr>
        <w:tblPrEx>
          <w:tblCellMar>
            <w:top w:w="0" w:type="dxa"/>
            <w:left w:w="0" w:type="dxa"/>
            <w:bottom w:w="0" w:type="dxa"/>
            <w:right w:w="0" w:type="dxa"/>
          </w:tblCellMar>
        </w:tblPrEx>
        <w:trPr>
          <w:trHeight w:val="270" w:hRule="atLeast"/>
        </w:trPr>
        <w:tc>
          <w:tcPr>
            <w:tcW w:w="660" w:type="dxa"/>
            <w:tcBorders>
              <w:top w:val="nil"/>
              <w:left w:val="nil"/>
              <w:bottom w:val="nil"/>
              <w:right w:val="nil"/>
            </w:tcBorders>
            <w:noWrap/>
            <w:tcMar>
              <w:top w:w="15" w:type="dxa"/>
              <w:left w:w="15" w:type="dxa"/>
              <w:right w:w="15" w:type="dxa"/>
            </w:tcMar>
            <w:vAlign w:val="center"/>
          </w:tcPr>
          <w:p>
            <w:pPr>
              <w:rPr>
                <w:rFonts w:hint="eastAsia" w:ascii="仿宋_GB2312" w:hAnsi="宋体" w:eastAsia="仿宋_GB2312" w:cs="仿宋_GB2312"/>
                <w:color w:val="auto"/>
                <w:sz w:val="22"/>
              </w:rPr>
            </w:pPr>
          </w:p>
        </w:tc>
        <w:tc>
          <w:tcPr>
            <w:tcW w:w="960" w:type="dxa"/>
            <w:tcBorders>
              <w:top w:val="nil"/>
              <w:left w:val="nil"/>
              <w:bottom w:val="nil"/>
              <w:right w:val="nil"/>
            </w:tcBorders>
            <w:noWrap/>
            <w:tcMar>
              <w:top w:w="15" w:type="dxa"/>
              <w:left w:w="15" w:type="dxa"/>
              <w:right w:w="15" w:type="dxa"/>
            </w:tcMar>
            <w:vAlign w:val="center"/>
          </w:tcPr>
          <w:p>
            <w:pPr>
              <w:rPr>
                <w:rFonts w:hint="eastAsia" w:ascii="仿宋_GB2312" w:hAnsi="宋体" w:eastAsia="仿宋_GB2312" w:cs="仿宋_GB2312"/>
                <w:color w:val="auto"/>
                <w:sz w:val="22"/>
              </w:rPr>
            </w:pPr>
          </w:p>
        </w:tc>
        <w:tc>
          <w:tcPr>
            <w:tcW w:w="1320" w:type="dxa"/>
            <w:tcBorders>
              <w:top w:val="nil"/>
              <w:left w:val="nil"/>
              <w:bottom w:val="nil"/>
              <w:right w:val="nil"/>
            </w:tcBorders>
            <w:noWrap/>
            <w:tcMar>
              <w:top w:w="15" w:type="dxa"/>
              <w:left w:w="15" w:type="dxa"/>
              <w:right w:w="15" w:type="dxa"/>
            </w:tcMar>
            <w:vAlign w:val="center"/>
          </w:tcPr>
          <w:p>
            <w:pPr>
              <w:rPr>
                <w:rFonts w:hint="eastAsia" w:ascii="宋体" w:hAnsi="宋体" w:cs="宋体"/>
                <w:color w:val="auto"/>
                <w:sz w:val="22"/>
              </w:rPr>
            </w:pPr>
          </w:p>
        </w:tc>
        <w:tc>
          <w:tcPr>
            <w:tcW w:w="7620" w:type="dxa"/>
            <w:tcBorders>
              <w:top w:val="nil"/>
              <w:left w:val="nil"/>
              <w:bottom w:val="nil"/>
              <w:right w:val="nil"/>
            </w:tcBorders>
            <w:noWrap/>
            <w:tcMar>
              <w:top w:w="15" w:type="dxa"/>
              <w:left w:w="15" w:type="dxa"/>
              <w:right w:w="15" w:type="dxa"/>
            </w:tcMar>
            <w:vAlign w:val="center"/>
          </w:tcPr>
          <w:p>
            <w:pPr>
              <w:rPr>
                <w:rFonts w:hint="eastAsia" w:ascii="宋体" w:hAnsi="宋体" w:cs="宋体"/>
                <w:color w:val="auto"/>
                <w:sz w:val="22"/>
              </w:rPr>
            </w:pPr>
          </w:p>
        </w:tc>
        <w:tc>
          <w:tcPr>
            <w:tcW w:w="2130" w:type="dxa"/>
            <w:tcBorders>
              <w:top w:val="nil"/>
              <w:left w:val="nil"/>
              <w:bottom w:val="nil"/>
              <w:right w:val="nil"/>
            </w:tcBorders>
            <w:noWrap/>
            <w:tcMar>
              <w:top w:w="15" w:type="dxa"/>
              <w:left w:w="15" w:type="dxa"/>
              <w:right w:w="15" w:type="dxa"/>
            </w:tcMar>
            <w:vAlign w:val="center"/>
          </w:tcPr>
          <w:p>
            <w:pPr>
              <w:rPr>
                <w:rFonts w:hint="eastAsia" w:ascii="宋体" w:hAnsi="宋体" w:cs="宋体"/>
                <w:color w:val="auto"/>
                <w:sz w:val="22"/>
              </w:rPr>
            </w:pPr>
          </w:p>
        </w:tc>
        <w:tc>
          <w:tcPr>
            <w:tcW w:w="2490" w:type="dxa"/>
            <w:tcBorders>
              <w:top w:val="nil"/>
              <w:left w:val="nil"/>
              <w:bottom w:val="nil"/>
              <w:right w:val="nil"/>
            </w:tcBorders>
            <w:noWrap/>
            <w:tcMar>
              <w:top w:w="15" w:type="dxa"/>
              <w:left w:w="15" w:type="dxa"/>
              <w:right w:w="15" w:type="dxa"/>
            </w:tcMar>
            <w:vAlign w:val="center"/>
          </w:tcPr>
          <w:p>
            <w:pPr>
              <w:jc w:val="left"/>
              <w:rPr>
                <w:rFonts w:hint="eastAsia" w:ascii="宋体" w:hAnsi="宋体" w:cs="宋体"/>
                <w:color w:val="auto"/>
                <w:sz w:val="22"/>
              </w:rPr>
            </w:pPr>
          </w:p>
        </w:tc>
      </w:tr>
      <w:tr>
        <w:tblPrEx>
          <w:tblCellMar>
            <w:top w:w="0" w:type="dxa"/>
            <w:left w:w="0" w:type="dxa"/>
            <w:bottom w:w="0" w:type="dxa"/>
            <w:right w:w="0" w:type="dxa"/>
          </w:tblCellMar>
        </w:tblPrEx>
        <w:trPr>
          <w:trHeight w:val="270" w:hRule="atLeast"/>
        </w:trPr>
        <w:tc>
          <w:tcPr>
            <w:tcW w:w="660" w:type="dxa"/>
            <w:tcBorders>
              <w:top w:val="nil"/>
              <w:left w:val="nil"/>
              <w:bottom w:val="nil"/>
              <w:right w:val="nil"/>
            </w:tcBorders>
            <w:noWrap/>
            <w:tcMar>
              <w:top w:w="15" w:type="dxa"/>
              <w:left w:w="15" w:type="dxa"/>
              <w:right w:w="15" w:type="dxa"/>
            </w:tcMar>
            <w:vAlign w:val="center"/>
          </w:tcPr>
          <w:p>
            <w:pPr>
              <w:rPr>
                <w:rFonts w:hint="eastAsia" w:ascii="仿宋_GB2312" w:hAnsi="宋体" w:eastAsia="仿宋_GB2312" w:cs="仿宋_GB2312"/>
                <w:color w:val="auto"/>
                <w:sz w:val="22"/>
              </w:rPr>
            </w:pPr>
          </w:p>
        </w:tc>
        <w:tc>
          <w:tcPr>
            <w:tcW w:w="960" w:type="dxa"/>
            <w:tcBorders>
              <w:top w:val="nil"/>
              <w:left w:val="nil"/>
              <w:bottom w:val="nil"/>
              <w:right w:val="nil"/>
            </w:tcBorders>
            <w:noWrap/>
            <w:tcMar>
              <w:top w:w="15" w:type="dxa"/>
              <w:left w:w="15" w:type="dxa"/>
              <w:right w:w="15" w:type="dxa"/>
            </w:tcMar>
            <w:vAlign w:val="center"/>
          </w:tcPr>
          <w:p>
            <w:pPr>
              <w:rPr>
                <w:rFonts w:hint="eastAsia" w:ascii="仿宋_GB2312" w:hAnsi="宋体" w:eastAsia="仿宋_GB2312" w:cs="仿宋_GB2312"/>
                <w:color w:val="auto"/>
                <w:sz w:val="22"/>
              </w:rPr>
            </w:pPr>
          </w:p>
        </w:tc>
        <w:tc>
          <w:tcPr>
            <w:tcW w:w="13560" w:type="dxa"/>
            <w:gridSpan w:val="4"/>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仿宋_GB2312" w:hAnsi="宋体" w:eastAsia="仿宋_GB2312" w:cs="仿宋_GB2312"/>
                <w:b/>
                <w:color w:val="auto"/>
                <w:sz w:val="22"/>
              </w:rPr>
            </w:pPr>
            <w:r>
              <w:rPr>
                <w:rFonts w:hint="eastAsia" w:ascii="仿宋_GB2312" w:hAnsi="宋体" w:eastAsia="仿宋_GB2312" w:cs="仿宋_GB2312"/>
                <w:b/>
                <w:color w:val="auto"/>
                <w:kern w:val="0"/>
                <w:sz w:val="22"/>
                <w:lang w:bidi="ar"/>
              </w:rPr>
              <w:t>验收评价日期：                           年   月   日</w:t>
            </w:r>
          </w:p>
        </w:tc>
      </w:tr>
    </w:tbl>
    <w:p>
      <w:pPr>
        <w:adjustRightInd w:val="0"/>
        <w:snapToGrid w:val="0"/>
        <w:spacing w:line="600" w:lineRule="exact"/>
        <w:rPr>
          <w:rFonts w:hint="eastAsia" w:ascii="仿宋_GB2312" w:eastAsia="仿宋_GB2312"/>
          <w:sz w:val="32"/>
          <w:szCs w:val="32"/>
        </w:rPr>
      </w:pPr>
    </w:p>
    <w:p/>
    <w:sectPr>
      <w:pgSz w:w="16838" w:h="11906" w:orient="landscape"/>
      <w:pgMar w:top="567" w:right="567" w:bottom="567" w:left="567" w:header="851" w:footer="567"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YjM1OTJkNDA4NWYyZjI0ZWYwYWNiYzk4ZTJkNTcifQ=="/>
    <w:docVar w:name="KSO_WPS_MARK_KEY" w:val="6fffb62c-2222-4a75-b0a1-10d4b79520e8"/>
  </w:docVars>
  <w:rsids>
    <w:rsidRoot w:val="14592B43"/>
    <w:rsid w:val="0F577835"/>
    <w:rsid w:val="14592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lock Text"/>
    <w:basedOn w:val="1"/>
    <w:unhideWhenUsed/>
    <w:qFormat/>
    <w:uiPriority w:val="99"/>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page number"/>
    <w:basedOn w:val="5"/>
    <w:qFormat/>
    <w:uiPriority w:val="0"/>
  </w:style>
  <w:style w:type="character" w:customStyle="1" w:styleId="7">
    <w:name w:val="font61"/>
    <w:basedOn w:val="5"/>
    <w:qFormat/>
    <w:uiPriority w:val="0"/>
    <w:rPr>
      <w:rFonts w:hint="eastAsia" w:ascii="仿宋_GB2312" w:eastAsia="仿宋_GB2312" w:cs="仿宋_GB2312"/>
      <w:color w:val="000000"/>
      <w:sz w:val="22"/>
      <w:szCs w:val="22"/>
      <w:u w:val="none"/>
    </w:rPr>
  </w:style>
  <w:style w:type="character" w:customStyle="1" w:styleId="8">
    <w:name w:val="font31"/>
    <w:basedOn w:val="5"/>
    <w:qFormat/>
    <w:uiPriority w:val="0"/>
    <w:rPr>
      <w:rFonts w:hint="eastAsia" w:ascii="仿宋_GB2312" w:eastAsia="仿宋_GB2312" w:cs="仿宋_GB2312"/>
      <w:b/>
      <w:color w:val="000000"/>
      <w:sz w:val="22"/>
      <w:szCs w:val="22"/>
      <w:u w:val="none"/>
    </w:rPr>
  </w:style>
  <w:style w:type="character" w:customStyle="1" w:styleId="9">
    <w:name w:val="font91"/>
    <w:basedOn w:val="5"/>
    <w:qFormat/>
    <w:uiPriority w:val="0"/>
    <w:rPr>
      <w:rFonts w:hint="eastAsia" w:ascii="仿宋_GB2312" w:eastAsia="仿宋_GB2312" w:cs="仿宋_GB2312"/>
      <w:color w:val="000000"/>
      <w:sz w:val="18"/>
      <w:szCs w:val="18"/>
      <w:u w:val="none"/>
    </w:rPr>
  </w:style>
  <w:style w:type="character" w:customStyle="1" w:styleId="10">
    <w:name w:val="font21"/>
    <w:basedOn w:val="5"/>
    <w:qFormat/>
    <w:uiPriority w:val="0"/>
    <w:rPr>
      <w:rFonts w:hint="eastAsia" w:ascii="仿宋_GB2312" w:eastAsia="仿宋_GB2312" w:cs="仿宋_GB2312"/>
      <w:color w:val="000000"/>
      <w:sz w:val="22"/>
      <w:szCs w:val="22"/>
      <w:u w:val="single"/>
    </w:rPr>
  </w:style>
  <w:style w:type="character" w:customStyle="1" w:styleId="11">
    <w:name w:val="font81"/>
    <w:basedOn w:val="5"/>
    <w:qFormat/>
    <w:uiPriority w:val="0"/>
    <w:rPr>
      <w:rFonts w:hint="eastAsia" w:ascii="仿宋_GB2312" w:eastAsia="仿宋_GB2312" w:cs="仿宋_GB2312"/>
      <w:color w:val="FF0000"/>
      <w:sz w:val="22"/>
      <w:szCs w:val="22"/>
      <w:u w:val="none"/>
    </w:rPr>
  </w:style>
  <w:style w:type="character" w:customStyle="1" w:styleId="12">
    <w:name w:val="font11"/>
    <w:basedOn w:val="5"/>
    <w:qFormat/>
    <w:uiPriority w:val="0"/>
    <w:rPr>
      <w:rFonts w:hint="eastAsia" w:ascii="仿宋_GB2312" w:eastAsia="仿宋_GB2312" w:cs="仿宋_GB2312"/>
      <w:color w:val="000000"/>
      <w:sz w:val="22"/>
      <w:szCs w:val="22"/>
      <w:u w:val="none"/>
    </w:rPr>
  </w:style>
  <w:style w:type="character" w:customStyle="1" w:styleId="13">
    <w:name w:val="font141"/>
    <w:basedOn w:val="5"/>
    <w:qFormat/>
    <w:uiPriority w:val="0"/>
    <w:rPr>
      <w:rFonts w:hint="eastAsia" w:ascii="仿宋_GB2312" w:eastAsia="仿宋_GB2312" w:cs="仿宋_GB2312"/>
      <w:color w:val="000000"/>
      <w:sz w:val="22"/>
      <w:szCs w:val="22"/>
      <w:u w:val="none"/>
    </w:rPr>
  </w:style>
  <w:style w:type="character" w:customStyle="1" w:styleId="14">
    <w:name w:val="font131"/>
    <w:basedOn w:val="5"/>
    <w:qFormat/>
    <w:uiPriority w:val="0"/>
    <w:rPr>
      <w:rFonts w:hint="eastAsia" w:ascii="仿宋_GB2312" w:eastAsia="仿宋_GB2312" w:cs="仿宋_GB2312"/>
      <w:b/>
      <w:color w:val="000000"/>
      <w:sz w:val="22"/>
      <w:szCs w:val="22"/>
      <w:u w:val="none"/>
    </w:rPr>
  </w:style>
  <w:style w:type="character" w:customStyle="1" w:styleId="15">
    <w:name w:val="font101"/>
    <w:basedOn w:val="5"/>
    <w:qFormat/>
    <w:uiPriority w:val="0"/>
    <w:rPr>
      <w:rFonts w:hint="eastAsia" w:ascii="仿宋_GB2312" w:eastAsia="仿宋_GB2312" w:cs="仿宋_GB2312"/>
      <w:color w:val="000000"/>
      <w:sz w:val="22"/>
      <w:szCs w:val="22"/>
      <w:u w:val="single"/>
    </w:rPr>
  </w:style>
  <w:style w:type="character" w:customStyle="1" w:styleId="16">
    <w:name w:val="font112"/>
    <w:basedOn w:val="5"/>
    <w:qFormat/>
    <w:uiPriority w:val="0"/>
    <w:rPr>
      <w:rFonts w:hint="eastAsia"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6264</Words>
  <Characters>6499</Characters>
  <Lines>0</Lines>
  <Paragraphs>0</Paragraphs>
  <TotalTime>0</TotalTime>
  <ScaleCrop>false</ScaleCrop>
  <LinksUpToDate>false</LinksUpToDate>
  <CharactersWithSpaces>6754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2020-11-23T02:30:00Z</dcterms:created>
  <dc:creator>秦翠平</dc:creator>
  <cp:lastModifiedBy>（多喝水 。</cp:lastModifiedBy>
  <dcterms:modified xsi:type="dcterms:W3CDTF">2025-02-27T11:55:34Z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2E4866D4B65745F38D4F1F1E524218AA_13</vt:lpwstr>
  </property>
</Properties>
</file>