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ED8648">
      <w:pPr>
        <w:rPr>
          <w:rFonts w:hint="default" w:ascii="黑体" w:hAnsi="黑体" w:eastAsia="黑体" w:cs="黑体"/>
          <w:sz w:val="32"/>
          <w:szCs w:val="32"/>
          <w:lang w:val="en-US" w:eastAsia="zh-CN"/>
        </w:rPr>
      </w:pPr>
    </w:p>
    <w:p w14:paraId="157CCD20">
      <w:pPr>
        <w:pStyle w:val="2"/>
        <w:rPr>
          <w:rFonts w:hint="eastAsia" w:ascii="仿宋_GB2312" w:eastAsia="仿宋_GB2312"/>
          <w:sz w:val="32"/>
          <w:szCs w:val="32"/>
          <w:lang w:val="en-US" w:eastAsia="zh-CN"/>
        </w:rPr>
      </w:pPr>
    </w:p>
    <w:p w14:paraId="09E1E8D9">
      <w:pPr>
        <w:spacing w:line="560" w:lineRule="exact"/>
        <w:jc w:val="center"/>
        <w:rPr>
          <w:bCs/>
          <w:sz w:val="32"/>
          <w:szCs w:val="32"/>
          <w:u w:val="single"/>
        </w:rPr>
      </w:pPr>
    </w:p>
    <w:p w14:paraId="211B5FF3">
      <w:pPr>
        <w:spacing w:line="560" w:lineRule="exact"/>
        <w:jc w:val="center"/>
        <w:rPr>
          <w:b/>
          <w:sz w:val="44"/>
          <w:szCs w:val="44"/>
          <w:u w:val="single"/>
        </w:rPr>
      </w:pPr>
    </w:p>
    <w:p w14:paraId="14C1025B">
      <w:pPr>
        <w:pStyle w:val="2"/>
      </w:pPr>
    </w:p>
    <w:p w14:paraId="09DBDED3"/>
    <w:p w14:paraId="3B06DFBA">
      <w:pPr>
        <w:pStyle w:val="2"/>
      </w:pPr>
    </w:p>
    <w:p w14:paraId="1145B880">
      <w:pPr>
        <w:spacing w:line="560" w:lineRule="exact"/>
        <w:jc w:val="center"/>
        <w:rPr>
          <w:b/>
          <w:sz w:val="44"/>
          <w:szCs w:val="44"/>
          <w:u w:val="single"/>
        </w:rPr>
      </w:pPr>
    </w:p>
    <w:p w14:paraId="55950647">
      <w:pPr>
        <w:spacing w:line="560" w:lineRule="exact"/>
        <w:jc w:val="both"/>
        <w:rPr>
          <w:rFonts w:hint="eastAsia"/>
          <w:b/>
          <w:sz w:val="44"/>
          <w:szCs w:val="44"/>
        </w:rPr>
      </w:pPr>
    </w:p>
    <w:p w14:paraId="19494936">
      <w:pPr>
        <w:spacing w:line="560" w:lineRule="exact"/>
        <w:jc w:val="center"/>
        <w:rPr>
          <w:rFonts w:hint="eastAsia"/>
          <w:b/>
          <w:sz w:val="44"/>
          <w:szCs w:val="44"/>
        </w:rPr>
      </w:pPr>
      <w:r>
        <w:rPr>
          <w:rFonts w:hint="eastAsia"/>
          <w:b/>
          <w:sz w:val="44"/>
          <w:szCs w:val="44"/>
          <w:lang w:eastAsia="zh-CN"/>
        </w:rPr>
        <w:t>盘锦市市场监督管理局2025年</w:t>
      </w:r>
      <w:r>
        <w:rPr>
          <w:rFonts w:hint="eastAsia"/>
          <w:b/>
          <w:sz w:val="44"/>
          <w:szCs w:val="44"/>
          <w:lang w:val="en-US" w:eastAsia="zh-CN"/>
        </w:rPr>
        <w:t>本级</w:t>
      </w:r>
      <w:r>
        <w:rPr>
          <w:rFonts w:hint="eastAsia"/>
          <w:b/>
          <w:sz w:val="44"/>
          <w:szCs w:val="44"/>
          <w:lang w:eastAsia="zh-CN"/>
        </w:rPr>
        <w:t>预算</w:t>
      </w:r>
    </w:p>
    <w:p w14:paraId="5A14A56E">
      <w:pPr>
        <w:spacing w:line="560" w:lineRule="exact"/>
        <w:jc w:val="center"/>
        <w:rPr>
          <w:rFonts w:hint="eastAsia"/>
          <w:b/>
          <w:sz w:val="44"/>
          <w:szCs w:val="44"/>
        </w:rPr>
      </w:pPr>
    </w:p>
    <w:p w14:paraId="0DD507A4">
      <w:pPr>
        <w:spacing w:line="560" w:lineRule="exact"/>
        <w:jc w:val="center"/>
        <w:rPr>
          <w:rFonts w:hint="eastAsia"/>
          <w:b/>
          <w:sz w:val="44"/>
          <w:szCs w:val="44"/>
        </w:rPr>
      </w:pPr>
    </w:p>
    <w:p w14:paraId="540AA0C2">
      <w:pPr>
        <w:spacing w:line="560" w:lineRule="exact"/>
        <w:jc w:val="center"/>
        <w:rPr>
          <w:rFonts w:hint="eastAsia"/>
          <w:b/>
          <w:sz w:val="44"/>
          <w:szCs w:val="44"/>
        </w:rPr>
      </w:pPr>
    </w:p>
    <w:p w14:paraId="6AD92372">
      <w:pPr>
        <w:spacing w:line="560" w:lineRule="exact"/>
        <w:jc w:val="center"/>
        <w:rPr>
          <w:rFonts w:hint="eastAsia"/>
          <w:b/>
          <w:sz w:val="44"/>
          <w:szCs w:val="44"/>
        </w:rPr>
      </w:pPr>
    </w:p>
    <w:p w14:paraId="4C677A75">
      <w:pPr>
        <w:spacing w:line="560" w:lineRule="exact"/>
        <w:jc w:val="center"/>
        <w:rPr>
          <w:rFonts w:hint="eastAsia"/>
          <w:b/>
          <w:sz w:val="44"/>
          <w:szCs w:val="44"/>
        </w:rPr>
      </w:pPr>
    </w:p>
    <w:p w14:paraId="79ED2972">
      <w:pPr>
        <w:spacing w:line="560" w:lineRule="exact"/>
        <w:jc w:val="center"/>
        <w:rPr>
          <w:rFonts w:hint="eastAsia"/>
          <w:b/>
          <w:sz w:val="44"/>
          <w:szCs w:val="44"/>
        </w:rPr>
      </w:pPr>
    </w:p>
    <w:p w14:paraId="0D89A99E">
      <w:pPr>
        <w:spacing w:line="560" w:lineRule="exact"/>
        <w:jc w:val="center"/>
        <w:rPr>
          <w:rFonts w:hint="eastAsia"/>
          <w:b/>
          <w:sz w:val="44"/>
          <w:szCs w:val="44"/>
        </w:rPr>
      </w:pPr>
    </w:p>
    <w:p w14:paraId="3BE10E3E">
      <w:pPr>
        <w:spacing w:line="560" w:lineRule="exact"/>
        <w:jc w:val="center"/>
        <w:rPr>
          <w:rFonts w:hint="eastAsia"/>
          <w:b/>
          <w:sz w:val="44"/>
          <w:szCs w:val="44"/>
        </w:rPr>
      </w:pPr>
    </w:p>
    <w:p w14:paraId="66165127">
      <w:pPr>
        <w:spacing w:line="560" w:lineRule="exact"/>
        <w:jc w:val="center"/>
        <w:rPr>
          <w:rFonts w:hint="eastAsia"/>
          <w:b/>
          <w:sz w:val="44"/>
          <w:szCs w:val="44"/>
        </w:rPr>
      </w:pPr>
    </w:p>
    <w:p w14:paraId="49C48B73">
      <w:pPr>
        <w:spacing w:line="560" w:lineRule="exact"/>
        <w:jc w:val="center"/>
        <w:rPr>
          <w:rFonts w:hint="eastAsia"/>
          <w:b/>
          <w:sz w:val="44"/>
          <w:szCs w:val="44"/>
        </w:rPr>
      </w:pPr>
    </w:p>
    <w:p w14:paraId="6F92F072">
      <w:pPr>
        <w:spacing w:line="560" w:lineRule="exact"/>
        <w:jc w:val="center"/>
        <w:rPr>
          <w:rFonts w:hint="eastAsia"/>
          <w:b/>
          <w:sz w:val="44"/>
          <w:szCs w:val="44"/>
        </w:rPr>
      </w:pPr>
    </w:p>
    <w:p w14:paraId="4FCCC9FC">
      <w:pPr>
        <w:spacing w:line="560" w:lineRule="exact"/>
        <w:jc w:val="center"/>
        <w:rPr>
          <w:rFonts w:hint="eastAsia"/>
          <w:b/>
          <w:sz w:val="44"/>
          <w:szCs w:val="44"/>
        </w:rPr>
      </w:pPr>
    </w:p>
    <w:p w14:paraId="552D7370">
      <w:pPr>
        <w:spacing w:line="560" w:lineRule="exact"/>
        <w:jc w:val="center"/>
        <w:rPr>
          <w:rFonts w:hint="eastAsia"/>
          <w:b/>
          <w:sz w:val="44"/>
          <w:szCs w:val="44"/>
        </w:rPr>
      </w:pPr>
    </w:p>
    <w:p w14:paraId="71529D1F">
      <w:pPr>
        <w:spacing w:line="560" w:lineRule="exact"/>
        <w:jc w:val="center"/>
        <w:rPr>
          <w:rFonts w:hint="eastAsia"/>
          <w:b/>
          <w:sz w:val="44"/>
          <w:szCs w:val="44"/>
        </w:rPr>
      </w:pPr>
    </w:p>
    <w:p w14:paraId="1874F2E6">
      <w:pPr>
        <w:spacing w:line="560" w:lineRule="exact"/>
        <w:jc w:val="center"/>
        <w:rPr>
          <w:b/>
          <w:sz w:val="44"/>
          <w:szCs w:val="44"/>
        </w:rPr>
      </w:pPr>
      <w:r>
        <w:rPr>
          <w:rFonts w:hint="eastAsia"/>
          <w:b/>
          <w:sz w:val="44"/>
          <w:szCs w:val="44"/>
        </w:rPr>
        <w:t>目    录</w:t>
      </w:r>
    </w:p>
    <w:p w14:paraId="76EBD3C9">
      <w:pPr>
        <w:spacing w:line="560" w:lineRule="exact"/>
        <w:rPr>
          <w:b/>
          <w:sz w:val="44"/>
          <w:szCs w:val="44"/>
          <w:u w:val="single"/>
        </w:rPr>
      </w:pPr>
    </w:p>
    <w:p w14:paraId="73AC0E68">
      <w:pPr>
        <w:spacing w:line="560" w:lineRule="exact"/>
        <w:rPr>
          <w:b/>
          <w:sz w:val="44"/>
          <w:szCs w:val="44"/>
          <w:u w:val="single"/>
        </w:rPr>
      </w:pPr>
    </w:p>
    <w:p w14:paraId="45D9726A">
      <w:pPr>
        <w:spacing w:line="560" w:lineRule="exact"/>
        <w:rPr>
          <w:rFonts w:ascii="黑体" w:hAnsi="黑体" w:eastAsia="黑体"/>
          <w:sz w:val="32"/>
          <w:szCs w:val="32"/>
        </w:rPr>
      </w:pPr>
      <w:r>
        <w:rPr>
          <w:rFonts w:hint="eastAsia" w:ascii="黑体" w:hAnsi="黑体" w:eastAsia="黑体"/>
          <w:sz w:val="32"/>
          <w:szCs w:val="32"/>
        </w:rPr>
        <w:t>第一部分　　</w:t>
      </w:r>
      <w:r>
        <w:rPr>
          <w:rFonts w:hint="eastAsia" w:ascii="黑体" w:hAnsi="黑体" w:eastAsia="黑体"/>
          <w:sz w:val="32"/>
          <w:szCs w:val="32"/>
          <w:lang w:val="en-US" w:eastAsia="zh-CN"/>
        </w:rPr>
        <w:t>本级</w:t>
      </w:r>
      <w:r>
        <w:rPr>
          <w:rFonts w:hint="eastAsia" w:ascii="黑体" w:hAnsi="黑体" w:eastAsia="黑体"/>
          <w:sz w:val="32"/>
          <w:szCs w:val="32"/>
        </w:rPr>
        <w:t>预算公开管理文件</w:t>
      </w:r>
    </w:p>
    <w:p w14:paraId="1D083598">
      <w:pPr>
        <w:spacing w:line="560" w:lineRule="exact"/>
        <w:rPr>
          <w:rFonts w:ascii="黑体" w:hAnsi="黑体" w:eastAsia="黑体"/>
          <w:sz w:val="32"/>
          <w:szCs w:val="32"/>
        </w:rPr>
      </w:pPr>
      <w:r>
        <w:rPr>
          <w:rFonts w:hint="eastAsia" w:ascii="黑体" w:hAnsi="黑体" w:eastAsia="黑体"/>
          <w:sz w:val="32"/>
          <w:szCs w:val="32"/>
        </w:rPr>
        <w:t>第二部分    盘锦市市场监督管理局概况</w:t>
      </w:r>
    </w:p>
    <w:p w14:paraId="08821342">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734970F2">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08B0A445">
      <w:pPr>
        <w:spacing w:line="560" w:lineRule="exact"/>
        <w:rPr>
          <w:rFonts w:ascii="黑体" w:hAnsi="黑体" w:eastAsia="黑体"/>
          <w:sz w:val="32"/>
          <w:szCs w:val="32"/>
        </w:rPr>
      </w:pPr>
      <w:r>
        <w:rPr>
          <w:rFonts w:hint="eastAsia" w:ascii="黑体" w:hAnsi="黑体" w:eastAsia="黑体"/>
          <w:sz w:val="32"/>
          <w:szCs w:val="32"/>
        </w:rPr>
        <w:t>第三部分    盘锦市市场监督管理局</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val="en-US" w:eastAsia="zh-CN"/>
        </w:rPr>
        <w:t>本级</w:t>
      </w:r>
      <w:r>
        <w:rPr>
          <w:rFonts w:hint="eastAsia" w:ascii="黑体" w:hAnsi="黑体" w:eastAsia="黑体"/>
          <w:sz w:val="32"/>
          <w:szCs w:val="32"/>
        </w:rPr>
        <w:t>预算情况说明</w:t>
      </w:r>
    </w:p>
    <w:p w14:paraId="0EE248B5">
      <w:pPr>
        <w:spacing w:line="560" w:lineRule="exact"/>
        <w:rPr>
          <w:rFonts w:ascii="黑体" w:hAnsi="黑体" w:eastAsia="黑体"/>
          <w:sz w:val="32"/>
          <w:szCs w:val="32"/>
        </w:rPr>
      </w:pPr>
      <w:r>
        <w:rPr>
          <w:rFonts w:hint="eastAsia" w:ascii="黑体" w:hAnsi="黑体" w:eastAsia="黑体"/>
          <w:sz w:val="32"/>
          <w:szCs w:val="32"/>
        </w:rPr>
        <w:t>第四部分    名词解释</w:t>
      </w:r>
    </w:p>
    <w:p w14:paraId="00D50229">
      <w:pPr>
        <w:spacing w:line="560" w:lineRule="exact"/>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 xml:space="preserve"> </w:t>
      </w:r>
      <w:r>
        <w:rPr>
          <w:rFonts w:hint="eastAsia" w:ascii="黑体" w:hAnsi="黑体" w:eastAsia="黑体"/>
          <w:sz w:val="32"/>
          <w:szCs w:val="32"/>
        </w:rPr>
        <w:t>盘锦市市场监督管理局</w:t>
      </w:r>
      <w:r>
        <w:rPr>
          <w:rFonts w:hint="eastAsia" w:ascii="黑体" w:hAnsi="黑体" w:eastAsia="黑体"/>
          <w:sz w:val="32"/>
          <w:szCs w:val="32"/>
          <w:lang w:val="en-US" w:eastAsia="zh-CN"/>
        </w:rPr>
        <w:t>本级</w:t>
      </w:r>
      <w:r>
        <w:rPr>
          <w:rFonts w:hint="eastAsia" w:ascii="黑体" w:hAnsi="黑体" w:eastAsia="黑体"/>
          <w:sz w:val="32"/>
          <w:szCs w:val="32"/>
        </w:rPr>
        <w:t>预算</w:t>
      </w:r>
      <w:r>
        <w:rPr>
          <w:rFonts w:hint="eastAsia" w:ascii="黑体" w:hAnsi="黑体" w:eastAsia="黑体"/>
          <w:sz w:val="32"/>
          <w:szCs w:val="32"/>
          <w:lang w:eastAsia="zh-CN"/>
        </w:rPr>
        <w:t>公开</w:t>
      </w:r>
      <w:r>
        <w:rPr>
          <w:rFonts w:hint="eastAsia" w:ascii="黑体" w:hAnsi="黑体" w:eastAsia="黑体"/>
          <w:sz w:val="32"/>
          <w:szCs w:val="32"/>
        </w:rPr>
        <w:t>表</w:t>
      </w:r>
    </w:p>
    <w:p w14:paraId="7A5CE4C8">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211BD9C6">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422ED44F">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63DED488">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1EB4FE89">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042E7B0C">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377A169B">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6E0A6859">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4DA7F327">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487C99B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1BD1E33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116E4687">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1E00AEC9">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1E7DAED9">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66DE3704">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68CB0FD6">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29D1AF67">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7A008E4C">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7CE6E3C0">
      <w:pPr>
        <w:spacing w:line="560" w:lineRule="exact"/>
        <w:rPr>
          <w:rFonts w:ascii="黑体" w:hAnsi="黑体" w:eastAsia="黑体"/>
          <w:sz w:val="32"/>
          <w:szCs w:val="32"/>
        </w:rPr>
      </w:pPr>
      <w:r>
        <w:rPr>
          <w:rFonts w:hint="eastAsia" w:ascii="黑体" w:hAnsi="黑体" w:eastAsia="黑体"/>
          <w:sz w:val="32"/>
          <w:szCs w:val="32"/>
        </w:rPr>
        <w:t>　</w:t>
      </w:r>
    </w:p>
    <w:p w14:paraId="13647E27">
      <w:pPr>
        <w:spacing w:line="560" w:lineRule="exact"/>
        <w:rPr>
          <w:rFonts w:ascii="黑体" w:hAnsi="黑体" w:eastAsia="黑体"/>
          <w:sz w:val="32"/>
          <w:szCs w:val="32"/>
        </w:rPr>
      </w:pPr>
    </w:p>
    <w:p w14:paraId="652C1E07">
      <w:pPr>
        <w:spacing w:line="560" w:lineRule="exact"/>
        <w:rPr>
          <w:rFonts w:ascii="黑体" w:hAnsi="黑体" w:eastAsia="黑体"/>
          <w:sz w:val="32"/>
          <w:szCs w:val="32"/>
        </w:rPr>
      </w:pPr>
    </w:p>
    <w:p w14:paraId="29EF3C5E">
      <w:pPr>
        <w:spacing w:line="560" w:lineRule="exact"/>
        <w:rPr>
          <w:rFonts w:ascii="宋体" w:hAnsi="宋体"/>
          <w:b/>
          <w:sz w:val="36"/>
          <w:szCs w:val="36"/>
        </w:rPr>
      </w:pPr>
    </w:p>
    <w:p w14:paraId="627A3C32">
      <w:pPr>
        <w:spacing w:line="560" w:lineRule="exact"/>
        <w:rPr>
          <w:rFonts w:ascii="宋体" w:hAnsi="宋体"/>
          <w:b/>
          <w:sz w:val="36"/>
          <w:szCs w:val="36"/>
        </w:rPr>
      </w:pPr>
    </w:p>
    <w:p w14:paraId="01DEAC0A">
      <w:pPr>
        <w:spacing w:line="560" w:lineRule="exact"/>
        <w:jc w:val="center"/>
        <w:rPr>
          <w:rFonts w:ascii="宋体" w:hAnsi="宋体"/>
          <w:b/>
          <w:sz w:val="36"/>
          <w:szCs w:val="36"/>
        </w:rPr>
      </w:pPr>
    </w:p>
    <w:p w14:paraId="6FFE1AD3">
      <w:pPr>
        <w:spacing w:line="560" w:lineRule="exact"/>
        <w:jc w:val="center"/>
        <w:rPr>
          <w:rFonts w:ascii="宋体" w:hAnsi="宋体"/>
          <w:b/>
          <w:sz w:val="36"/>
          <w:szCs w:val="36"/>
        </w:rPr>
      </w:pPr>
    </w:p>
    <w:p w14:paraId="591F2162">
      <w:pPr>
        <w:spacing w:line="560" w:lineRule="exact"/>
        <w:jc w:val="center"/>
        <w:rPr>
          <w:rFonts w:ascii="宋体" w:hAnsi="宋体"/>
          <w:b/>
          <w:sz w:val="36"/>
          <w:szCs w:val="36"/>
        </w:rPr>
      </w:pPr>
    </w:p>
    <w:p w14:paraId="473C5942">
      <w:pPr>
        <w:spacing w:line="560" w:lineRule="exact"/>
        <w:jc w:val="center"/>
        <w:rPr>
          <w:rFonts w:ascii="宋体" w:hAnsi="宋体"/>
          <w:b/>
          <w:sz w:val="36"/>
          <w:szCs w:val="36"/>
        </w:rPr>
      </w:pPr>
    </w:p>
    <w:p w14:paraId="53B4A08E">
      <w:pPr>
        <w:spacing w:line="560" w:lineRule="exact"/>
        <w:jc w:val="center"/>
        <w:rPr>
          <w:rFonts w:ascii="宋体" w:hAnsi="宋体"/>
          <w:b/>
          <w:sz w:val="36"/>
          <w:szCs w:val="36"/>
        </w:rPr>
      </w:pPr>
    </w:p>
    <w:p w14:paraId="61942A4E">
      <w:pPr>
        <w:spacing w:line="560" w:lineRule="exact"/>
        <w:jc w:val="center"/>
        <w:rPr>
          <w:rFonts w:ascii="宋体" w:hAnsi="宋体"/>
          <w:b/>
          <w:sz w:val="36"/>
          <w:szCs w:val="36"/>
        </w:rPr>
      </w:pPr>
    </w:p>
    <w:p w14:paraId="30F72DAA">
      <w:pPr>
        <w:spacing w:line="560" w:lineRule="exact"/>
        <w:jc w:val="center"/>
        <w:rPr>
          <w:rFonts w:ascii="宋体" w:hAnsi="宋体"/>
          <w:b/>
          <w:sz w:val="36"/>
          <w:szCs w:val="36"/>
        </w:rPr>
      </w:pPr>
    </w:p>
    <w:p w14:paraId="7F1E831B">
      <w:pPr>
        <w:spacing w:line="560" w:lineRule="exact"/>
        <w:jc w:val="center"/>
        <w:rPr>
          <w:rFonts w:ascii="宋体" w:hAnsi="宋体"/>
          <w:b/>
          <w:sz w:val="36"/>
          <w:szCs w:val="36"/>
        </w:rPr>
      </w:pPr>
    </w:p>
    <w:p w14:paraId="251D2D38">
      <w:pPr>
        <w:spacing w:line="560" w:lineRule="exact"/>
        <w:jc w:val="center"/>
        <w:rPr>
          <w:rFonts w:ascii="宋体" w:hAnsi="宋体"/>
          <w:b/>
          <w:sz w:val="36"/>
          <w:szCs w:val="36"/>
        </w:rPr>
      </w:pPr>
    </w:p>
    <w:p w14:paraId="1162DF0B">
      <w:pPr>
        <w:spacing w:line="560" w:lineRule="exact"/>
        <w:jc w:val="center"/>
        <w:rPr>
          <w:rFonts w:ascii="宋体" w:hAnsi="宋体"/>
          <w:b/>
          <w:sz w:val="36"/>
          <w:szCs w:val="36"/>
        </w:rPr>
      </w:pPr>
    </w:p>
    <w:p w14:paraId="292D7BAD">
      <w:pPr>
        <w:spacing w:line="560" w:lineRule="exact"/>
        <w:jc w:val="center"/>
        <w:rPr>
          <w:rFonts w:ascii="宋体" w:hAnsi="宋体"/>
          <w:b/>
          <w:sz w:val="36"/>
          <w:szCs w:val="36"/>
        </w:rPr>
      </w:pPr>
    </w:p>
    <w:p w14:paraId="61966FA1">
      <w:pPr>
        <w:spacing w:line="560" w:lineRule="exact"/>
        <w:jc w:val="center"/>
        <w:rPr>
          <w:rFonts w:ascii="宋体" w:hAnsi="宋体"/>
          <w:b/>
          <w:sz w:val="36"/>
          <w:szCs w:val="36"/>
        </w:rPr>
      </w:pPr>
    </w:p>
    <w:p w14:paraId="16859BEA">
      <w:pPr>
        <w:spacing w:line="560" w:lineRule="exact"/>
        <w:jc w:val="both"/>
        <w:rPr>
          <w:rFonts w:ascii="宋体" w:hAnsi="宋体"/>
          <w:b/>
          <w:sz w:val="36"/>
          <w:szCs w:val="36"/>
        </w:rPr>
      </w:pPr>
    </w:p>
    <w:p w14:paraId="58C6885E">
      <w:pPr>
        <w:pStyle w:val="2"/>
      </w:pPr>
    </w:p>
    <w:p w14:paraId="0337EA46">
      <w:pPr>
        <w:spacing w:line="560" w:lineRule="exact"/>
        <w:jc w:val="center"/>
        <w:rPr>
          <w:rFonts w:ascii="宋体" w:hAnsi="宋体"/>
          <w:b/>
          <w:sz w:val="36"/>
          <w:szCs w:val="36"/>
        </w:rPr>
      </w:pPr>
      <w:r>
        <w:rPr>
          <w:rFonts w:hint="eastAsia" w:ascii="宋体" w:hAnsi="宋体"/>
          <w:b/>
          <w:sz w:val="36"/>
          <w:szCs w:val="36"/>
        </w:rPr>
        <w:t>第一部分　　部门预算公开管理文件</w:t>
      </w:r>
    </w:p>
    <w:p w14:paraId="76B96190">
      <w:pPr>
        <w:spacing w:line="560" w:lineRule="exact"/>
        <w:jc w:val="center"/>
        <w:rPr>
          <w:rFonts w:ascii="宋体" w:hAnsi="宋体"/>
          <w:b/>
          <w:sz w:val="36"/>
          <w:szCs w:val="36"/>
        </w:rPr>
      </w:pPr>
    </w:p>
    <w:p w14:paraId="54377851">
      <w:pPr>
        <w:spacing w:line="540" w:lineRule="exact"/>
        <w:ind w:firstLine="620" w:firstLineChars="200"/>
        <w:jc w:val="left"/>
        <w:rPr>
          <w:rFonts w:hint="eastAsia" w:ascii="仿宋_GB2312" w:hAnsi="仿宋_GB2312" w:eastAsia="仿宋_GB2312" w:cs="仿宋_GB2312"/>
          <w:b w:val="0"/>
          <w:bCs/>
          <w:w w:val="96"/>
          <w:sz w:val="32"/>
          <w:szCs w:val="32"/>
        </w:rPr>
      </w:pPr>
      <w:r>
        <w:rPr>
          <w:rFonts w:hint="eastAsia" w:ascii="仿宋_GB2312" w:hAnsi="仿宋_GB2312" w:eastAsia="仿宋_GB2312" w:cs="仿宋_GB2312"/>
          <w:b w:val="0"/>
          <w:bCs/>
          <w:w w:val="96"/>
          <w:sz w:val="32"/>
          <w:szCs w:val="32"/>
        </w:rPr>
        <w:t>1.《关于切实做好2025年市县预算公开</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b w:val="0"/>
          <w:bCs/>
          <w:w w:val="96"/>
          <w:sz w:val="32"/>
          <w:szCs w:val="32"/>
        </w:rPr>
        <w:t>的通知》（辽财预〔2025〕1号）</w:t>
      </w:r>
    </w:p>
    <w:p w14:paraId="1BB6BE74">
      <w:pPr>
        <w:ind w:firstLine="620" w:firstLineChars="200"/>
        <w:rPr>
          <w:rFonts w:hint="eastAsia" w:ascii="仿宋_GB2312" w:hAnsi="仿宋_GB2312" w:eastAsia="仿宋_GB2312" w:cs="仿宋_GB2312"/>
          <w:b w:val="0"/>
          <w:bCs/>
          <w:w w:val="96"/>
          <w:sz w:val="32"/>
          <w:szCs w:val="32"/>
        </w:rPr>
      </w:pPr>
      <w:r>
        <w:rPr>
          <w:rFonts w:hint="eastAsia" w:ascii="仿宋_GB2312" w:hAnsi="仿宋_GB2312" w:eastAsia="仿宋_GB2312" w:cs="仿宋_GB2312"/>
          <w:b w:val="0"/>
          <w:bCs/>
          <w:w w:val="96"/>
          <w:sz w:val="32"/>
          <w:szCs w:val="32"/>
        </w:rPr>
        <w:t>2.《关于印发盘锦市财政预决算领域基层政务公开标准指引的通知》（盘财预〔2021〕253号）</w:t>
      </w:r>
    </w:p>
    <w:p w14:paraId="32CA2ECC">
      <w:pPr>
        <w:spacing w:line="560" w:lineRule="exact"/>
        <w:rPr>
          <w:rFonts w:ascii="宋体" w:hAnsi="宋体"/>
          <w:b/>
          <w:sz w:val="36"/>
          <w:szCs w:val="36"/>
        </w:rPr>
      </w:pPr>
    </w:p>
    <w:p w14:paraId="753B3DE5">
      <w:pPr>
        <w:spacing w:line="560" w:lineRule="exact"/>
        <w:rPr>
          <w:rFonts w:ascii="宋体" w:hAnsi="宋体"/>
          <w:b/>
          <w:sz w:val="36"/>
          <w:szCs w:val="36"/>
        </w:rPr>
      </w:pPr>
    </w:p>
    <w:p w14:paraId="6298E1A4">
      <w:pPr>
        <w:spacing w:line="560" w:lineRule="exact"/>
        <w:jc w:val="center"/>
        <w:rPr>
          <w:rFonts w:ascii="宋体" w:hAnsi="宋体"/>
          <w:b/>
          <w:sz w:val="36"/>
          <w:szCs w:val="36"/>
        </w:rPr>
      </w:pPr>
      <w:r>
        <w:rPr>
          <w:rFonts w:hint="eastAsia" w:ascii="宋体" w:hAnsi="宋体"/>
          <w:b/>
          <w:sz w:val="36"/>
          <w:szCs w:val="36"/>
        </w:rPr>
        <w:t xml:space="preserve">第二部分 </w:t>
      </w:r>
      <w:r>
        <w:rPr>
          <w:rFonts w:hint="eastAsia" w:ascii="宋体" w:hAnsi="宋体"/>
          <w:b/>
          <w:sz w:val="36"/>
          <w:szCs w:val="36"/>
          <w:lang w:val="en-US" w:eastAsia="zh-CN"/>
        </w:rPr>
        <w:t>盘锦市市场监督管理局</w:t>
      </w:r>
      <w:r>
        <w:rPr>
          <w:rFonts w:hint="eastAsia" w:ascii="宋体" w:hAnsi="宋体"/>
          <w:b/>
          <w:sz w:val="36"/>
          <w:szCs w:val="36"/>
        </w:rPr>
        <w:t>概况</w:t>
      </w:r>
    </w:p>
    <w:p w14:paraId="5F63F64A">
      <w:pPr>
        <w:spacing w:line="560" w:lineRule="exact"/>
        <w:ind w:firstLine="646" w:firstLineChars="200"/>
        <w:jc w:val="left"/>
        <w:rPr>
          <w:rFonts w:ascii="黑体" w:eastAsia="黑体"/>
          <w:sz w:val="32"/>
          <w:szCs w:val="32"/>
        </w:rPr>
      </w:pPr>
    </w:p>
    <w:p w14:paraId="0966C95A">
      <w:pPr>
        <w:spacing w:line="560" w:lineRule="exact"/>
        <w:ind w:firstLine="646" w:firstLineChars="200"/>
        <w:jc w:val="left"/>
        <w:rPr>
          <w:rFonts w:ascii="黑体" w:eastAsia="黑体"/>
          <w:sz w:val="32"/>
          <w:szCs w:val="32"/>
        </w:rPr>
      </w:pPr>
      <w:r>
        <w:rPr>
          <w:rFonts w:hint="eastAsia" w:ascii="黑体" w:eastAsia="黑体"/>
          <w:sz w:val="32"/>
          <w:szCs w:val="32"/>
        </w:rPr>
        <w:t>一、部门职责</w:t>
      </w:r>
    </w:p>
    <w:p w14:paraId="32704A77">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一)负责市场综合监督管理。贯彻执行国家、省市场监督管理、知识产权工作的方针、政策和有关法律法规,组织实施质量强市、食品安全和标准化等战略,拟订并组织实施有关规划,规范和维护市场秩序,营造诚实守信、公平竞争的市场环境。</w:t>
      </w:r>
    </w:p>
    <w:p w14:paraId="0CE5CCE3">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二)负责市场主体统一登记注册。负责全市各类企业、农民专业合作社和从事经营活动的单位、个体工商户以及外国(地区)企业、常驻代表机构等市场主体的登记注册和监督管理工作。建立市场主体信息公示和共享机制,依法公示和共享有关信息,加强信用监管,推动市场主体信用体系建设。</w:t>
      </w:r>
    </w:p>
    <w:p w14:paraId="6B76CFD9">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(三)负责组织和指导市场监管综合执法工作。指导各县区市场监管综合执法队伍整合和建设,推动实行统一的市场监管。组织查处和督办大案要案和疑难案件。规范市场监管行政执法行为。</w:t>
      </w:r>
    </w:p>
    <w:p w14:paraId="7ACA606D">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(四)承担监督管理质量责任,组织开展服务领域消费维权工作,查处假冒伪劣等违法行为,负责对消费者咨询、投诉、举报的受理和处理及消费维权网络体系建设等工作,依法保护生产者、经营者、消费者合法权益。</w:t>
      </w:r>
    </w:p>
    <w:p w14:paraId="495EA820">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(五)负责反垄断统一执法。统筹推进竞争政策实施,组织实施公平竞争审查制度。负责垄断协议、滥用市场支配地位和滥用行政权力排除、限制竞争等反垄断执法工作。</w:t>
      </w:r>
    </w:p>
    <w:p w14:paraId="1DBF42F2">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六)负责监督管理市场秩序。依法监督管理市场交易、网络商品交易及有关服务的行为。组织指导查处价格收费违法违规、不正当竞争、违法直销、传销、侵犯商标专利知识产权和制售假冒伪劣行为。指导广告业的发展,监督管理广告活动。承担依法查处无照生产经营和相关无证生产经营行为。负责组织、指导和监督管理行政审批中介服务机构。</w:t>
      </w:r>
    </w:p>
    <w:p w14:paraId="4F2DB230">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(七)负责宏观质量管理。拟订并组织实施质量发展的制度措施,会同有关部门组织实施重大工程设备质量监理制度,组织重大产品质量事故调查,贯彻实施缺陷产品召回制度,监督管理产品防伪工作。</w:t>
      </w:r>
    </w:p>
    <w:p w14:paraId="12ADAF84">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(八)负责产品质量安全监督管理。负责产品质量监督抽查和风险监控工作,组织实施质量分级制度、质量安全追溯制度。负责工业产品生产许可管理。负责纤维质量监督工作。</w:t>
      </w:r>
    </w:p>
    <w:p w14:paraId="165E74BF">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(九)负责特种设备安全监督管理。综合管理特种设备安全监察、监督工作,监督检查高耗能特种设备节能标准和锅炉环境保护标准的执行情况。</w:t>
      </w:r>
    </w:p>
    <w:p w14:paraId="16C0E49B">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(十)负责食品安全监督管理综合协调。负责食品安全应急体系建设,组织指导重大食品安全事件应急处置和调查处理工作。建立健全食品安全重要信息直报制度。承担市政府食品安全委员会日常工作。</w:t>
      </w:r>
    </w:p>
    <w:p w14:paraId="116834BF">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十一)负责食品安全监督管理。建立覆盖食品生产、流通、消费全过程的监督检查制度和隐患排查治理机制并组织实施,防范区域性、系统性食品安全风险。负责食盐生产、经营质量安全监管。推动建立食品生产经营者落实主体责任的机制,健全食品安全追溯体系。组织开展食品安全监督抽检、风险监测、核查处置和风险预警、风险交流工作。</w:t>
      </w:r>
    </w:p>
    <w:p w14:paraId="60272E3C">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组织实施特殊食品备案和监督管理。</w:t>
      </w:r>
    </w:p>
    <w:p w14:paraId="34ED92BD">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(十二)负责统一管理计量工作。推行国家法定计量单位,执行国家计量制度,管理计量器具及量值传递和比对工作。规范、监督商品量和市场计量行为。</w:t>
      </w:r>
    </w:p>
    <w:p w14:paraId="336414E5">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(十三)负责统一管理标准化工作。依法承担地方标准立项、编号和发布等工作,依法协调指导市级地方标准、团体标准制定工作。</w:t>
      </w:r>
    </w:p>
    <w:p w14:paraId="7F1A9EE8">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(十四)负责全市认证活动的监督管理工作,负责对产品、服务、管理体系认证和强制性产品认证的监管工作;实</w:t>
      </w:r>
    </w:p>
    <w:p w14:paraId="6F6A5226">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施对全市相关实验室、检验机构资质认定的申报和监管工作;实施对机动车安全技术检验机构的监管工作。</w:t>
      </w:r>
    </w:p>
    <w:p w14:paraId="73CE7AFF">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(十五)负责统一管理检验检测工作。规范检验检测市场,完善检验检测体系,指导协调检验检测行业发展。</w:t>
      </w:r>
    </w:p>
    <w:p w14:paraId="0DE35779">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(十六)负责市场监督管理科技和信息化建设、新闻宣传。按规定承担技术性贸易措施有关工作。</w:t>
      </w:r>
    </w:p>
    <w:p w14:paraId="0FD37664">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十七)负责促进知识产权运用。贯彻执行国家知识产权运用和规范交易的政策,促进知识产权转移转化。规范知识产权无形资产评估工作。指导知识产权中介服务机构工作。贯彻执行国家知识产权确权、侵权判断标准,依授权负责知识产权申请相关管理工作。负责建立知识产权公共服务体系。推动商标、专利等知识产权信息的传播利用。负责拟订全市知识产权信息网络发展规划并组织实施,指导全市专利信息利用和服务工作。组织指导查处侵犯商标专利知识产权行为。</w:t>
      </w:r>
    </w:p>
    <w:p w14:paraId="4552C737">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十八)研究拟订鼓励药品、医疗器械和化妆品新技术新产品的管理与服务政策,负责药品、医疗器械和化妆品标准管理。监督实施药品、医疗器械、化妆品标准和分类管理制度,配合有关部门实施国家基本药物制度。</w:t>
      </w:r>
    </w:p>
    <w:p w14:paraId="0C7E4772">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(十九)负责医疗器械注册、药品经营许可和备案管理及非特殊用途化妆品省局备案后现场核查。负责药品经营和使用环节的监督管理,负责医疗器械、化妆品生产、经营和使用环节的监督管理。</w:t>
      </w:r>
    </w:p>
    <w:p w14:paraId="7895BE12">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(二十)负责药品、医疗器械和化妆品质量管理。组织开展药品、医疗器械和化妆品安全监督抽检、风险监测、核查处置和风险预警、风险交流工作。监督实施药品零售企业经营质量管理规范。</w:t>
      </w:r>
    </w:p>
    <w:p w14:paraId="37F8ED8A">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(二十一)负责药品、医疗器械和化妆品上市后风险管理。组织开展药品、化妆品不良反应收集、报告、监测等工作;指导县级药品、化妆品不良反应监测机构的技术工作;</w:t>
      </w:r>
    </w:p>
    <w:p w14:paraId="5F120654">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负责医疗器械不良事件收集、报告、监测等工作;依法承担药品、医疗器械和化妆品安全应急管理工作。</w:t>
      </w:r>
    </w:p>
    <w:p w14:paraId="2E0190F0">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二十二)负责组织实施药品、医疗器械和化妆品监督检查。制定检查制度,依法查处药品、医疗器械和化妆品经营和使用环节违法行为,监督实施问题产品召回和处置制度,依职责组织指导查处经营和使用环节的违法行为。</w:t>
      </w:r>
    </w:p>
    <w:p w14:paraId="5CA4B7F5">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(二十三)完成市委、市政府交办的其他任务。</w:t>
      </w:r>
    </w:p>
    <w:p w14:paraId="74DE655E">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(二十四)职能转变。</w:t>
      </w:r>
    </w:p>
    <w:p w14:paraId="0841B1C0">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32C84C25">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纳入</w:t>
      </w:r>
      <w:r>
        <w:rPr>
          <w:rFonts w:hint="eastAsia" w:ascii="仿宋_GB2312" w:eastAsia="仿宋_GB2312"/>
          <w:b/>
          <w:sz w:val="32"/>
          <w:szCs w:val="32"/>
          <w:lang w:val="en-US" w:eastAsia="zh-CN"/>
        </w:rPr>
        <w:t>盘锦市市场监督管理局2025</w:t>
      </w:r>
      <w:r>
        <w:rPr>
          <w:rFonts w:hint="eastAsia" w:ascii="仿宋_GB2312" w:eastAsia="仿宋_GB2312"/>
          <w:b/>
          <w:sz w:val="32"/>
          <w:szCs w:val="32"/>
        </w:rPr>
        <w:t>年</w:t>
      </w:r>
      <w:r>
        <w:rPr>
          <w:rFonts w:hint="eastAsia" w:ascii="仿宋_GB2312" w:eastAsia="仿宋_GB2312"/>
          <w:b/>
          <w:sz w:val="32"/>
          <w:szCs w:val="32"/>
          <w:lang w:val="en-US" w:eastAsia="zh-CN"/>
        </w:rPr>
        <w:t>本级</w:t>
      </w:r>
      <w:r>
        <w:rPr>
          <w:rFonts w:hint="eastAsia" w:ascii="仿宋_GB2312" w:eastAsia="仿宋_GB2312"/>
          <w:b/>
          <w:sz w:val="32"/>
          <w:szCs w:val="32"/>
        </w:rPr>
        <w:t>预算编制范围的二级预算单位包括：</w:t>
      </w:r>
    </w:p>
    <w:p w14:paraId="480C8825">
      <w:pPr>
        <w:spacing w:line="560" w:lineRule="exact"/>
        <w:ind w:firstLine="646" w:firstLineChars="200"/>
        <w:jc w:val="left"/>
        <w:rPr>
          <w:rFonts w:ascii="黑体" w:eastAsia="黑体"/>
          <w:sz w:val="36"/>
          <w:szCs w:val="36"/>
        </w:rPr>
      </w:pPr>
      <w:r>
        <w:rPr>
          <w:rFonts w:hint="eastAsia" w:ascii="仿宋_GB2312" w:eastAsia="仿宋_GB2312"/>
          <w:sz w:val="32"/>
          <w:szCs w:val="32"/>
        </w:rPr>
        <w:t>1. 盘锦市市场监督管理局本级</w:t>
      </w:r>
    </w:p>
    <w:p w14:paraId="41D91579">
      <w:pPr>
        <w:spacing w:line="560" w:lineRule="exact"/>
        <w:jc w:val="both"/>
        <w:rPr>
          <w:rFonts w:ascii="宋体" w:hAnsi="宋体"/>
          <w:b/>
          <w:sz w:val="36"/>
          <w:szCs w:val="36"/>
        </w:rPr>
      </w:pPr>
    </w:p>
    <w:p w14:paraId="481C7AD5">
      <w:pPr>
        <w:numPr>
          <w:ilvl w:val="0"/>
          <w:numId w:val="2"/>
        </w:numPr>
        <w:spacing w:line="560" w:lineRule="exact"/>
        <w:jc w:val="center"/>
        <w:rPr>
          <w:rFonts w:ascii="宋体" w:hAnsi="宋体"/>
          <w:b/>
          <w:sz w:val="36"/>
          <w:szCs w:val="36"/>
        </w:rPr>
      </w:pPr>
      <w:r>
        <w:rPr>
          <w:rFonts w:hint="eastAsia" w:ascii="宋体" w:hAnsi="宋体"/>
          <w:b/>
          <w:sz w:val="36"/>
          <w:szCs w:val="36"/>
          <w:lang w:val="en-US" w:eastAsia="zh-CN"/>
        </w:rPr>
        <w:t>盘锦市市场监督管理局2025</w:t>
      </w:r>
      <w:r>
        <w:rPr>
          <w:rFonts w:hint="eastAsia" w:ascii="宋体" w:hAnsi="宋体"/>
          <w:b/>
          <w:sz w:val="36"/>
          <w:szCs w:val="36"/>
        </w:rPr>
        <w:t>年部门预算</w:t>
      </w:r>
      <w:r>
        <w:rPr>
          <w:rFonts w:hint="eastAsia" w:ascii="宋体" w:hAnsi="宋体"/>
          <w:b/>
          <w:sz w:val="36"/>
          <w:szCs w:val="36"/>
          <w:lang w:val="en-US" w:eastAsia="zh-CN"/>
        </w:rPr>
        <w:t xml:space="preserve"> </w:t>
      </w:r>
      <w:r>
        <w:rPr>
          <w:rFonts w:hint="eastAsia" w:ascii="宋体" w:hAnsi="宋体"/>
          <w:b/>
          <w:sz w:val="36"/>
          <w:szCs w:val="36"/>
        </w:rPr>
        <w:t>情况说明</w:t>
      </w:r>
    </w:p>
    <w:p w14:paraId="6220F5A5">
      <w:pPr>
        <w:spacing w:line="560" w:lineRule="exact"/>
        <w:jc w:val="center"/>
        <w:rPr>
          <w:rFonts w:ascii="宋体" w:hAnsi="宋体"/>
          <w:b/>
          <w:sz w:val="36"/>
          <w:szCs w:val="36"/>
        </w:rPr>
      </w:pPr>
    </w:p>
    <w:p w14:paraId="0AA78943">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6C5D936C">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2730.95</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1911E9A0">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Theme="minorEastAsia" w:hAnsiTheme="minorEastAsia" w:cstheme="minorEastAsia"/>
          <w:color w:val="333333"/>
          <w:sz w:val="32"/>
          <w:szCs w:val="32"/>
          <w:lang w:val="en-US" w:eastAsia="zh-CN"/>
        </w:rPr>
        <w:t>2730.95</w:t>
      </w:r>
      <w:r>
        <w:rPr>
          <w:rFonts w:hint="eastAsia" w:ascii="仿宋_GB2312" w:hAnsi="宋体" w:eastAsia="仿宋_GB2312"/>
          <w:sz w:val="32"/>
          <w:szCs w:val="32"/>
          <w:highlight w:val="none"/>
        </w:rPr>
        <w:t>万元；</w:t>
      </w:r>
    </w:p>
    <w:p w14:paraId="2B923D80">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64955D3E">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714508E5">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1EFF9AE5">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Theme="minorEastAsia" w:hAnsiTheme="minorEastAsia" w:cstheme="minorEastAsia"/>
          <w:color w:val="333333"/>
          <w:sz w:val="32"/>
          <w:szCs w:val="32"/>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eastAsia" w:asciiTheme="minorEastAsia" w:hAnsiTheme="minorEastAsia" w:cstheme="minorEastAsia"/>
          <w:color w:val="333333"/>
          <w:sz w:val="32"/>
          <w:szCs w:val="32"/>
          <w:lang w:val="en-US" w:eastAsia="zh-CN"/>
        </w:rPr>
        <w:t>0</w:t>
      </w:r>
      <w:r>
        <w:rPr>
          <w:rFonts w:hint="eastAsia" w:ascii="仿宋_GB2312" w:eastAsia="仿宋_GB2312" w:cs="仿宋_GB2312"/>
          <w:sz w:val="32"/>
          <w:szCs w:val="32"/>
          <w:highlight w:val="none"/>
        </w:rPr>
        <w:t>万元，上级补助收入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万元，附属单位上缴收入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万元，其他收入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p>
    <w:p w14:paraId="7EB6D639">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eastAsia" w:ascii="仿宋_GB2312" w:hAnsi="宋体" w:eastAsia="仿宋_GB2312"/>
          <w:sz w:val="32"/>
          <w:szCs w:val="32"/>
          <w:highlight w:val="none"/>
          <w:lang w:val="en-US" w:eastAsia="zh-CN"/>
        </w:rPr>
        <w:t>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14:paraId="1D04DF82">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2730.95</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3E72FE09">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Theme="minorEastAsia" w:hAnsiTheme="minorEastAsia" w:cstheme="minorEastAsia"/>
          <w:color w:val="333333"/>
          <w:sz w:val="32"/>
          <w:szCs w:val="32"/>
          <w:lang w:val="en-US" w:eastAsia="zh-CN"/>
        </w:rPr>
        <w:t>2195.15</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1969D448">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Theme="minorEastAsia" w:hAnsiTheme="minorEastAsia" w:cstheme="minorEastAsia"/>
          <w:color w:val="333333"/>
          <w:sz w:val="32"/>
          <w:szCs w:val="32"/>
          <w:lang w:val="en-US" w:eastAsia="zh-CN"/>
        </w:rPr>
        <w:t>535.8</w:t>
      </w:r>
      <w:r>
        <w:rPr>
          <w:rFonts w:hint="eastAsia" w:ascii="仿宋_GB2312" w:eastAsia="仿宋_GB2312"/>
          <w:sz w:val="32"/>
          <w:szCs w:val="32"/>
          <w:highlight w:val="none"/>
        </w:rPr>
        <w:t>万元。</w:t>
      </w:r>
    </w:p>
    <w:p w14:paraId="4BB418B9">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万元；政府采购支出</w:t>
      </w:r>
    </w:p>
    <w:p w14:paraId="084F94E3">
      <w:pPr>
        <w:spacing w:line="560" w:lineRule="exact"/>
        <w:rPr>
          <w:rFonts w:ascii="仿宋_GB2312" w:eastAsia="仿宋_GB2312" w:cs="仿宋_GB2312"/>
          <w:sz w:val="32"/>
          <w:szCs w:val="32"/>
          <w:highlight w:val="none"/>
        </w:rPr>
      </w:pPr>
      <w:r>
        <w:rPr>
          <w:rFonts w:hint="eastAsia" w:eastAsia="仿宋_GB2312" w:asciiTheme="minorEastAsia" w:hAnsiTheme="minorEastAsia" w:cstheme="minorEastAsia"/>
          <w:color w:val="333333"/>
          <w:sz w:val="32"/>
          <w:szCs w:val="32"/>
          <w:lang w:val="en-US" w:eastAsia="zh-CN"/>
        </w:rPr>
        <w:t>315.5</w:t>
      </w:r>
      <w:r>
        <w:rPr>
          <w:rFonts w:hint="eastAsia" w:ascii="仿宋_GB2312" w:eastAsia="仿宋_GB2312" w:cs="仿宋_GB2312"/>
          <w:sz w:val="32"/>
          <w:szCs w:val="32"/>
          <w:highlight w:val="none"/>
        </w:rPr>
        <w:t>万元；政府购买服务支出</w:t>
      </w:r>
      <w:r>
        <w:rPr>
          <w:rFonts w:hint="eastAsia" w:asciiTheme="minorEastAsia" w:hAnsiTheme="minorEastAsia" w:cstheme="minorEastAsia"/>
          <w:color w:val="333333"/>
          <w:sz w:val="32"/>
          <w:szCs w:val="32"/>
        </w:rPr>
        <w:t>373.5</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color w:val="auto"/>
          <w:sz w:val="32"/>
          <w:szCs w:val="32"/>
          <w:highlight w:val="none"/>
          <w:lang w:val="en-US" w:eastAsia="zh-CN"/>
        </w:rPr>
        <w:t>11</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Theme="minorEastAsia" w:hAnsiTheme="minorEastAsia" w:cstheme="minorEastAsia"/>
          <w:color w:val="333333"/>
          <w:sz w:val="32"/>
          <w:szCs w:val="32"/>
          <w:lang w:val="en-US" w:eastAsia="zh-CN"/>
        </w:rPr>
        <w:t>535.8</w:t>
      </w:r>
      <w:r>
        <w:rPr>
          <w:rFonts w:hint="eastAsia" w:ascii="仿宋_GB2312" w:eastAsia="仿宋_GB2312" w:cs="仿宋_GB2312"/>
          <w:sz w:val="32"/>
          <w:szCs w:val="32"/>
          <w:highlight w:val="none"/>
        </w:rPr>
        <w:t xml:space="preserve">万元。 </w:t>
      </w:r>
    </w:p>
    <w:p w14:paraId="375B805E">
      <w:pPr>
        <w:spacing w:line="560" w:lineRule="exact"/>
        <w:ind w:firstLine="646"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2025</w:t>
      </w:r>
      <w:r>
        <w:rPr>
          <w:rFonts w:hint="eastAsia" w:ascii="仿宋_GB2312" w:hAnsi="仿宋_GB2312" w:eastAsia="仿宋_GB2312" w:cs="仿宋_GB2312"/>
          <w:sz w:val="32"/>
          <w:szCs w:val="32"/>
          <w:highlight w:val="none"/>
        </w:rPr>
        <w:t>年预算收支比</w:t>
      </w:r>
      <w:r>
        <w:rPr>
          <w:rFonts w:hint="eastAsia" w:ascii="仿宋_GB2312" w:hAnsi="仿宋_GB2312" w:eastAsia="仿宋_GB2312" w:cs="仿宋_GB2312"/>
          <w:sz w:val="32"/>
          <w:szCs w:val="32"/>
          <w:highlight w:val="none"/>
          <w:lang w:eastAsia="zh-CN"/>
        </w:rPr>
        <w:t>上</w:t>
      </w:r>
      <w:r>
        <w:rPr>
          <w:rFonts w:hint="eastAsia" w:ascii="仿宋_GB2312" w:hAnsi="仿宋_GB2312" w:eastAsia="仿宋_GB2312" w:cs="仿宋_GB2312"/>
          <w:sz w:val="32"/>
          <w:szCs w:val="32"/>
          <w:highlight w:val="none"/>
        </w:rPr>
        <w:t>年减少</w:t>
      </w:r>
      <w:r>
        <w:rPr>
          <w:rFonts w:hint="eastAsia" w:ascii="仿宋_GB2312" w:hAnsi="仿宋_GB2312" w:eastAsia="仿宋_GB2312" w:cs="仿宋_GB2312"/>
          <w:sz w:val="32"/>
          <w:szCs w:val="32"/>
          <w:highlight w:val="none"/>
          <w:lang w:val="en-US" w:eastAsia="zh-CN"/>
        </w:rPr>
        <w:t>782.24</w:t>
      </w:r>
      <w:r>
        <w:rPr>
          <w:rFonts w:hint="eastAsia" w:ascii="仿宋_GB2312" w:hAnsi="仿宋_GB2312" w:eastAsia="仿宋_GB2312" w:cs="仿宋_GB2312"/>
          <w:sz w:val="32"/>
          <w:szCs w:val="32"/>
          <w:highlight w:val="none"/>
        </w:rPr>
        <w:t>万元，增减变化的主要原因为项目支出减少</w:t>
      </w:r>
      <w:r>
        <w:rPr>
          <w:rFonts w:hint="eastAsia" w:ascii="仿宋_GB2312" w:hAnsi="仿宋_GB2312" w:eastAsia="仿宋_GB2312" w:cs="仿宋_GB2312"/>
          <w:sz w:val="32"/>
          <w:szCs w:val="32"/>
          <w:highlight w:val="none"/>
          <w:lang w:val="en-US" w:eastAsia="zh-CN"/>
        </w:rPr>
        <w:t>和基本支出人员经费减少</w:t>
      </w:r>
      <w:r>
        <w:rPr>
          <w:rFonts w:hint="eastAsia" w:ascii="仿宋_GB2312" w:hAnsi="仿宋_GB2312" w:eastAsia="仿宋_GB2312" w:cs="仿宋_GB2312"/>
          <w:sz w:val="32"/>
          <w:szCs w:val="32"/>
          <w:highlight w:val="none"/>
        </w:rPr>
        <w:t>。</w:t>
      </w:r>
    </w:p>
    <w:p w14:paraId="1EBC30B4">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1E18148C">
      <w:pPr>
        <w:spacing w:line="560" w:lineRule="exact"/>
        <w:ind w:firstLine="646"/>
        <w:rPr>
          <w:rFonts w:ascii="黑体" w:hAnsi="黑体" w:eastAsia="黑体" w:cs="黑体"/>
          <w:spacing w:val="-2"/>
          <w:kern w:val="0"/>
          <w:sz w:val="32"/>
          <w:szCs w:val="32"/>
          <w:highlight w:val="gree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年，盘锦市市场监督管理局管理专项资金共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lang w:val="en-US" w:eastAsia="zh-CN"/>
        </w:rPr>
        <w:t>0</w:t>
      </w:r>
      <w:r>
        <w:rPr>
          <w:rFonts w:hint="eastAsia" w:ascii="仿宋_GB2312" w:hAnsi="仿宋_GB2312" w:eastAsia="仿宋_GB2312"/>
          <w:spacing w:val="-2"/>
          <w:kern w:val="0"/>
          <w:sz w:val="32"/>
          <w:szCs w:val="32"/>
        </w:rPr>
        <w:t>万元。其中：</w:t>
      </w:r>
      <w:r>
        <w:rPr>
          <w:rFonts w:hint="eastAsia" w:ascii="仿宋_GB2312" w:hAnsi="宋体" w:eastAsia="仿宋_GB2312"/>
          <w:sz w:val="32"/>
          <w:szCs w:val="32"/>
          <w:lang w:val="en-US" w:eastAsia="zh-CN"/>
        </w:rPr>
        <w:t>0</w:t>
      </w:r>
      <w:r>
        <w:rPr>
          <w:rFonts w:hint="eastAsia" w:ascii="仿宋_GB2312" w:hAnsi="仿宋_GB2312" w:eastAsia="仿宋_GB2312"/>
          <w:spacing w:val="-2"/>
          <w:kern w:val="0"/>
          <w:sz w:val="32"/>
          <w:szCs w:val="32"/>
        </w:rPr>
        <w:t>项目</w:t>
      </w:r>
      <w:r>
        <w:rPr>
          <w:rFonts w:hint="eastAsia" w:ascii="仿宋_GB2312" w:hAnsi="宋体" w:eastAsia="仿宋_GB2312"/>
          <w:sz w:val="32"/>
          <w:szCs w:val="32"/>
          <w:lang w:val="en-US" w:eastAsia="zh-CN"/>
        </w:rPr>
        <w:t>0</w:t>
      </w:r>
      <w:r>
        <w:rPr>
          <w:rFonts w:hint="eastAsia" w:ascii="仿宋_GB2312" w:hAnsi="仿宋_GB2312" w:eastAsia="仿宋_GB2312"/>
          <w:spacing w:val="-2"/>
          <w:kern w:val="0"/>
          <w:sz w:val="32"/>
          <w:szCs w:val="32"/>
        </w:rPr>
        <w:t>万元；</w:t>
      </w:r>
      <w:r>
        <w:rPr>
          <w:rFonts w:hint="eastAsia" w:ascii="仿宋_GB2312" w:hAnsi="宋体" w:eastAsia="仿宋_GB2312"/>
          <w:sz w:val="32"/>
          <w:szCs w:val="32"/>
          <w:lang w:val="en-US" w:eastAsia="zh-CN"/>
        </w:rPr>
        <w:t>0</w:t>
      </w:r>
      <w:r>
        <w:rPr>
          <w:rFonts w:hint="eastAsia" w:ascii="仿宋_GB2312" w:hAnsi="仿宋_GB2312" w:eastAsia="仿宋_GB2312"/>
          <w:spacing w:val="-2"/>
          <w:kern w:val="0"/>
          <w:sz w:val="32"/>
          <w:szCs w:val="32"/>
        </w:rPr>
        <w:t>项目</w:t>
      </w:r>
      <w:r>
        <w:rPr>
          <w:rFonts w:hint="eastAsia" w:ascii="仿宋_GB2312" w:hAnsi="宋体" w:eastAsia="仿宋_GB2312"/>
          <w:sz w:val="32"/>
          <w:szCs w:val="32"/>
          <w:lang w:val="en-US" w:eastAsia="zh-CN"/>
        </w:rPr>
        <w:t>0</w:t>
      </w:r>
      <w:r>
        <w:rPr>
          <w:rFonts w:hint="eastAsia" w:ascii="仿宋_GB2312" w:hAnsi="仿宋_GB2312" w:eastAsia="仿宋_GB2312"/>
          <w:spacing w:val="-2"/>
          <w:kern w:val="0"/>
          <w:sz w:val="32"/>
          <w:szCs w:val="32"/>
        </w:rPr>
        <w:t>万元。</w:t>
      </w:r>
    </w:p>
    <w:p w14:paraId="053FC19A">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10E801C2">
      <w:pPr>
        <w:spacing w:line="560" w:lineRule="exact"/>
        <w:ind w:firstLine="660"/>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2025年盘锦市市场监督管理局机关运行经费预算为231.5万元，主要包括办公费27.44万元、印刷费3万元、手续费0.2万元、水费0.83万元、电费13.39万元、邮电费8万元、取暖费13.33万元、差旅费10万元、维修（护）费4万元、会议费1万元、培训费2万元、公务接待费1万元、劳务费9万元、委托业务费2万元、工会经费19.15万元、福利费1.67万元、公务用车运行维护费103.5万元、其他商品和服务支出11.99万元。</w:t>
      </w:r>
    </w:p>
    <w:p w14:paraId="461B9ABE">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6FFB3A0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w:t>
      </w:r>
      <w:r>
        <w:rPr>
          <w:rFonts w:hint="eastAsia" w:ascii="仿宋_GB2312" w:hAnsi="宋体" w:eastAsia="仿宋_GB2312"/>
          <w:sz w:val="32"/>
          <w:szCs w:val="32"/>
        </w:rPr>
        <w:t>盘锦市市场监督管理局</w:t>
      </w:r>
      <w:r>
        <w:rPr>
          <w:rFonts w:hint="eastAsia" w:ascii="仿宋_GB2312" w:hAnsi="仿宋_GB2312" w:eastAsia="仿宋_GB2312" w:cs="仿宋_GB2312"/>
          <w:sz w:val="32"/>
          <w:szCs w:val="32"/>
          <w:lang w:val="en-US" w:eastAsia="zh-CN"/>
        </w:rPr>
        <w:t>安排政府采购预算</w:t>
      </w:r>
      <w:r>
        <w:rPr>
          <w:rFonts w:hint="eastAsia" w:eastAsia="仿宋_GB2312" w:asciiTheme="minorEastAsia" w:hAnsiTheme="minorEastAsia" w:cstheme="minorEastAsia"/>
          <w:color w:val="333333"/>
          <w:sz w:val="32"/>
          <w:szCs w:val="32"/>
          <w:lang w:val="en-US" w:eastAsia="zh-CN"/>
        </w:rPr>
        <w:t>315.5</w:t>
      </w:r>
      <w:r>
        <w:rPr>
          <w:rFonts w:hint="eastAsia" w:ascii="仿宋_GB2312" w:hAnsi="仿宋_GB2312" w:eastAsia="仿宋_GB2312" w:cs="仿宋_GB2312"/>
          <w:sz w:val="32"/>
          <w:szCs w:val="32"/>
          <w:lang w:val="en-US" w:eastAsia="zh-CN"/>
        </w:rPr>
        <w:t>万元，具体为货物0万元，服务</w:t>
      </w:r>
      <w:r>
        <w:rPr>
          <w:rFonts w:hint="eastAsia" w:eastAsia="仿宋_GB2312" w:asciiTheme="minorEastAsia" w:hAnsiTheme="minorEastAsia" w:cstheme="minorEastAsia"/>
          <w:color w:val="333333"/>
          <w:sz w:val="32"/>
          <w:szCs w:val="32"/>
          <w:lang w:val="en-US" w:eastAsia="zh-CN"/>
        </w:rPr>
        <w:t>315.5</w:t>
      </w:r>
      <w:r>
        <w:rPr>
          <w:rFonts w:hint="eastAsia" w:ascii="仿宋_GB2312" w:hAnsi="仿宋_GB2312" w:eastAsia="仿宋_GB2312" w:cs="仿宋_GB2312"/>
          <w:sz w:val="32"/>
          <w:szCs w:val="32"/>
          <w:lang w:val="en-US" w:eastAsia="zh-CN"/>
        </w:rPr>
        <w:t>万元，工程0万元；预留面向中小企业采购份额0万元，其中预留给小微企业0万元。</w:t>
      </w:r>
    </w:p>
    <w:p w14:paraId="170455EE">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53BFE4C9">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hAnsi="宋体" w:eastAsia="仿宋_GB2312"/>
          <w:sz w:val="32"/>
          <w:szCs w:val="32"/>
        </w:rPr>
        <w:t>盘锦市市场监督管理局</w:t>
      </w:r>
      <w:r>
        <w:rPr>
          <w:rFonts w:hint="eastAsia" w:ascii="仿宋_GB2312" w:eastAsia="仿宋_GB2312"/>
          <w:sz w:val="32"/>
          <w:szCs w:val="32"/>
          <w:lang w:eastAsia="zh-CN"/>
        </w:rPr>
        <w:t>财政拨款</w:t>
      </w:r>
      <w:r>
        <w:rPr>
          <w:rFonts w:hint="eastAsia" w:ascii="仿宋_GB2312" w:eastAsia="仿宋_GB2312"/>
          <w:sz w:val="32"/>
          <w:szCs w:val="32"/>
        </w:rPr>
        <w:t>预算安排的 “三公”经费预算为</w:t>
      </w:r>
      <w:r>
        <w:rPr>
          <w:rFonts w:hint="eastAsia" w:asciiTheme="minorEastAsia" w:hAnsiTheme="minorEastAsia" w:cstheme="minorEastAsia"/>
          <w:color w:val="333333"/>
          <w:sz w:val="32"/>
          <w:szCs w:val="32"/>
          <w:lang w:val="en-US" w:eastAsia="zh-CN"/>
        </w:rPr>
        <w:t>104.5</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年增加</w:t>
      </w:r>
      <w:r>
        <w:rPr>
          <w:rFonts w:hint="eastAsia" w:ascii="仿宋_GB2312" w:eastAsia="仿宋_GB2312"/>
          <w:sz w:val="32"/>
          <w:szCs w:val="32"/>
          <w:lang w:val="en-US" w:eastAsia="zh-CN"/>
        </w:rPr>
        <w:t>1</w:t>
      </w:r>
      <w:r>
        <w:rPr>
          <w:rFonts w:hint="eastAsia" w:ascii="仿宋_GB2312" w:eastAsia="仿宋_GB2312"/>
          <w:sz w:val="32"/>
          <w:szCs w:val="32"/>
        </w:rPr>
        <w:t>万元，增长0.</w:t>
      </w:r>
      <w:r>
        <w:rPr>
          <w:rFonts w:hint="eastAsia" w:ascii="仿宋_GB2312" w:eastAsia="仿宋_GB2312"/>
          <w:sz w:val="32"/>
          <w:szCs w:val="32"/>
          <w:lang w:val="en-US" w:eastAsia="zh-CN"/>
        </w:rPr>
        <w:t>97</w:t>
      </w:r>
      <w:r>
        <w:rPr>
          <w:rFonts w:hint="eastAsia" w:ascii="仿宋_GB2312" w:eastAsia="仿宋_GB2312"/>
          <w:sz w:val="32"/>
          <w:szCs w:val="32"/>
        </w:rPr>
        <w:t>%。其中：</w:t>
      </w:r>
    </w:p>
    <w:p w14:paraId="04777AF2">
      <w:pPr>
        <w:spacing w:line="560" w:lineRule="exact"/>
        <w:ind w:firstLine="660"/>
        <w:rPr>
          <w:rFonts w:ascii="仿宋_GB2312" w:eastAsia="仿宋_GB2312"/>
          <w:sz w:val="32"/>
          <w:szCs w:val="32"/>
        </w:rPr>
      </w:pPr>
      <w:r>
        <w:rPr>
          <w:rFonts w:hint="eastAsia" w:ascii="仿宋_GB2312" w:eastAsia="仿宋_GB2312"/>
          <w:sz w:val="32"/>
          <w:szCs w:val="32"/>
        </w:rPr>
        <w:t>1.因公出国（境）费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Theme="minorEastAsia" w:hAnsiTheme="minorEastAsia" w:cstheme="minorEastAsia"/>
          <w:color w:val="333333"/>
          <w:sz w:val="32"/>
          <w:szCs w:val="32"/>
        </w:rPr>
        <w:t>与</w:t>
      </w:r>
      <w:r>
        <w:rPr>
          <w:rFonts w:hint="eastAsia" w:asciiTheme="minorEastAsia" w:hAnsiTheme="minorEastAsia" w:cstheme="minorEastAsia"/>
          <w:color w:val="333333"/>
          <w:sz w:val="32"/>
          <w:szCs w:val="32"/>
          <w:lang w:eastAsia="zh-CN"/>
        </w:rPr>
        <w:t>202</w:t>
      </w:r>
      <w:r>
        <w:rPr>
          <w:rFonts w:hint="eastAsia" w:asciiTheme="minorEastAsia" w:hAnsiTheme="minorEastAsia" w:cstheme="minorEastAsia"/>
          <w:color w:val="333333"/>
          <w:sz w:val="32"/>
          <w:szCs w:val="32"/>
          <w:lang w:val="en-US" w:eastAsia="zh-CN"/>
        </w:rPr>
        <w:t>4</w:t>
      </w:r>
      <w:r>
        <w:rPr>
          <w:rFonts w:hint="eastAsia" w:asciiTheme="minorEastAsia" w:hAnsiTheme="minorEastAsia" w:cstheme="minorEastAsia"/>
          <w:color w:val="333333"/>
          <w:sz w:val="32"/>
          <w:szCs w:val="32"/>
        </w:rPr>
        <w:t>年持平</w:t>
      </w:r>
      <w:r>
        <w:rPr>
          <w:rFonts w:hint="eastAsia" w:ascii="仿宋_GB2312" w:eastAsia="仿宋_GB2312"/>
          <w:sz w:val="32"/>
          <w:szCs w:val="32"/>
        </w:rPr>
        <w:t>。</w:t>
      </w:r>
    </w:p>
    <w:p w14:paraId="62792461">
      <w:pPr>
        <w:spacing w:line="560" w:lineRule="exact"/>
        <w:ind w:firstLine="66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1</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年增加</w:t>
      </w:r>
      <w:r>
        <w:rPr>
          <w:rFonts w:hint="eastAsia" w:ascii="仿宋_GB2312" w:eastAsia="仿宋_GB2312"/>
          <w:sz w:val="32"/>
          <w:szCs w:val="32"/>
          <w:lang w:val="en-US" w:eastAsia="zh-CN"/>
        </w:rPr>
        <w:t>1</w:t>
      </w:r>
      <w:r>
        <w:rPr>
          <w:rFonts w:hint="eastAsia" w:ascii="仿宋_GB2312" w:eastAsia="仿宋_GB2312"/>
          <w:sz w:val="32"/>
          <w:szCs w:val="32"/>
        </w:rPr>
        <w:t>万元。主要原因为</w:t>
      </w:r>
      <w:r>
        <w:rPr>
          <w:rFonts w:hint="eastAsia" w:ascii="仿宋_GB2312" w:eastAsia="仿宋_GB2312"/>
          <w:sz w:val="32"/>
          <w:szCs w:val="32"/>
          <w:lang w:val="en-US" w:eastAsia="zh-CN"/>
        </w:rPr>
        <w:t>增加公务接待需求</w:t>
      </w:r>
      <w:r>
        <w:rPr>
          <w:rFonts w:hint="eastAsia" w:ascii="仿宋_GB2312" w:eastAsia="仿宋_GB2312"/>
          <w:sz w:val="32"/>
          <w:szCs w:val="32"/>
        </w:rPr>
        <w:t>。</w:t>
      </w:r>
    </w:p>
    <w:p w14:paraId="1A86971B">
      <w:pPr>
        <w:spacing w:line="560" w:lineRule="exact"/>
        <w:ind w:firstLine="660"/>
        <w:rPr>
          <w:rFonts w:ascii="仿宋_GB2312" w:eastAsia="仿宋_GB2312"/>
          <w:sz w:val="32"/>
          <w:szCs w:val="32"/>
        </w:rPr>
      </w:pPr>
      <w:r>
        <w:rPr>
          <w:rFonts w:hint="eastAsia" w:ascii="仿宋_GB2312" w:eastAsia="仿宋_GB2312"/>
          <w:sz w:val="32"/>
          <w:szCs w:val="32"/>
        </w:rPr>
        <w:t>3.公务用车购置及运行费</w:t>
      </w:r>
      <w:r>
        <w:rPr>
          <w:rFonts w:hint="eastAsia" w:asciiTheme="minorEastAsia" w:hAnsiTheme="minorEastAsia" w:cstheme="minorEastAsia"/>
          <w:color w:val="333333"/>
          <w:sz w:val="32"/>
          <w:szCs w:val="32"/>
          <w:lang w:val="en-US" w:eastAsia="zh-CN"/>
        </w:rPr>
        <w:t>103.5</w:t>
      </w:r>
      <w:r>
        <w:rPr>
          <w:rFonts w:hint="eastAsia" w:ascii="仿宋_GB2312" w:eastAsia="仿宋_GB2312"/>
          <w:sz w:val="32"/>
          <w:szCs w:val="32"/>
        </w:rPr>
        <w:t>万元（其中：公务用车购置费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Theme="minorEastAsia" w:hAnsiTheme="minorEastAsia" w:cstheme="minorEastAsia"/>
          <w:color w:val="333333"/>
          <w:sz w:val="32"/>
          <w:szCs w:val="32"/>
        </w:rPr>
        <w:t>与</w:t>
      </w:r>
      <w:r>
        <w:rPr>
          <w:rFonts w:hint="eastAsia" w:asciiTheme="minorEastAsia" w:hAnsiTheme="minorEastAsia" w:cstheme="minorEastAsia"/>
          <w:color w:val="333333"/>
          <w:sz w:val="32"/>
          <w:szCs w:val="32"/>
          <w:lang w:eastAsia="zh-CN"/>
        </w:rPr>
        <w:t>202</w:t>
      </w:r>
      <w:r>
        <w:rPr>
          <w:rFonts w:hint="eastAsia" w:asciiTheme="minorEastAsia" w:hAnsiTheme="minorEastAsia" w:cstheme="minorEastAsia"/>
          <w:color w:val="333333"/>
          <w:sz w:val="32"/>
          <w:szCs w:val="32"/>
          <w:lang w:val="en-US" w:eastAsia="zh-CN"/>
        </w:rPr>
        <w:t>4</w:t>
      </w:r>
      <w:r>
        <w:rPr>
          <w:rFonts w:hint="eastAsia" w:asciiTheme="minorEastAsia" w:hAnsiTheme="minorEastAsia" w:cstheme="minorEastAsia"/>
          <w:color w:val="333333"/>
          <w:sz w:val="32"/>
          <w:szCs w:val="32"/>
        </w:rPr>
        <w:t>年持平</w:t>
      </w:r>
      <w:r>
        <w:rPr>
          <w:rFonts w:hint="eastAsia" w:ascii="仿宋_GB2312" w:eastAsia="仿宋_GB2312"/>
          <w:sz w:val="32"/>
          <w:szCs w:val="32"/>
        </w:rPr>
        <w:t>；公务用车运行费</w:t>
      </w:r>
      <w:r>
        <w:rPr>
          <w:rFonts w:hint="eastAsia" w:asciiTheme="minorEastAsia" w:hAnsiTheme="minorEastAsia" w:cstheme="minorEastAsia"/>
          <w:color w:val="333333"/>
          <w:sz w:val="32"/>
          <w:szCs w:val="32"/>
          <w:lang w:val="en-US" w:eastAsia="zh-CN"/>
        </w:rPr>
        <w:t>103.5</w:t>
      </w:r>
      <w:r>
        <w:rPr>
          <w:rFonts w:hint="eastAsia" w:ascii="仿宋_GB2312" w:eastAsia="仿宋_GB2312"/>
          <w:sz w:val="32"/>
          <w:szCs w:val="32"/>
        </w:rPr>
        <w:t>万元，</w:t>
      </w:r>
      <w:r>
        <w:rPr>
          <w:rFonts w:hint="eastAsia" w:asciiTheme="minorEastAsia" w:hAnsiTheme="minorEastAsia" w:cstheme="minorEastAsia"/>
          <w:color w:val="333333"/>
          <w:sz w:val="32"/>
          <w:szCs w:val="32"/>
        </w:rPr>
        <w:t>与</w:t>
      </w:r>
      <w:r>
        <w:rPr>
          <w:rFonts w:hint="eastAsia" w:asciiTheme="minorEastAsia" w:hAnsiTheme="minorEastAsia" w:cstheme="minorEastAsia"/>
          <w:color w:val="333333"/>
          <w:sz w:val="32"/>
          <w:szCs w:val="32"/>
          <w:lang w:eastAsia="zh-CN"/>
        </w:rPr>
        <w:t>202</w:t>
      </w:r>
      <w:r>
        <w:rPr>
          <w:rFonts w:hint="eastAsia" w:asciiTheme="minorEastAsia" w:hAnsiTheme="minorEastAsia" w:cstheme="minorEastAsia"/>
          <w:color w:val="333333"/>
          <w:sz w:val="32"/>
          <w:szCs w:val="32"/>
          <w:lang w:val="en-US" w:eastAsia="zh-CN"/>
        </w:rPr>
        <w:t>4</w:t>
      </w:r>
      <w:r>
        <w:rPr>
          <w:rFonts w:hint="eastAsia" w:asciiTheme="minorEastAsia" w:hAnsiTheme="minorEastAsia" w:cstheme="minorEastAsia"/>
          <w:color w:val="333333"/>
          <w:sz w:val="32"/>
          <w:szCs w:val="32"/>
        </w:rPr>
        <w:t>年持平</w:t>
      </w:r>
      <w:r>
        <w:rPr>
          <w:rFonts w:hint="eastAsia" w:ascii="仿宋_GB2312" w:eastAsia="仿宋_GB2312"/>
          <w:sz w:val="32"/>
          <w:szCs w:val="32"/>
        </w:rPr>
        <w:t>。</w:t>
      </w:r>
    </w:p>
    <w:tbl>
      <w:tblPr>
        <w:tblStyle w:val="7"/>
        <w:tblpPr w:leftFromText="180" w:rightFromText="180" w:vertAnchor="text" w:horzAnchor="page" w:tblpX="1812" w:tblpY="389"/>
        <w:tblOverlap w:val="never"/>
        <w:tblW w:w="8835" w:type="dxa"/>
        <w:tblInd w:w="0" w:type="dxa"/>
        <w:tblLayout w:type="fixed"/>
        <w:tblCellMar>
          <w:top w:w="15" w:type="dxa"/>
          <w:left w:w="108" w:type="dxa"/>
          <w:bottom w:w="15" w:type="dxa"/>
          <w:right w:w="108" w:type="dxa"/>
        </w:tblCellMar>
      </w:tblPr>
      <w:tblGrid>
        <w:gridCol w:w="3423"/>
        <w:gridCol w:w="2026"/>
        <w:gridCol w:w="803"/>
        <w:gridCol w:w="2583"/>
      </w:tblGrid>
      <w:tr w14:paraId="3712A581">
        <w:tblPrEx>
          <w:tblCellMar>
            <w:top w:w="15" w:type="dxa"/>
            <w:left w:w="108" w:type="dxa"/>
            <w:bottom w:w="15" w:type="dxa"/>
            <w:right w:w="108" w:type="dxa"/>
          </w:tblCellMar>
        </w:tblPrEx>
        <w:trPr>
          <w:trHeight w:val="570" w:hRule="atLeast"/>
        </w:trPr>
        <w:tc>
          <w:tcPr>
            <w:tcW w:w="8835" w:type="dxa"/>
            <w:gridSpan w:val="4"/>
            <w:vAlign w:val="center"/>
          </w:tcPr>
          <w:p w14:paraId="2FFC3DF8">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03BE4C01">
        <w:tblPrEx>
          <w:tblCellMar>
            <w:top w:w="15" w:type="dxa"/>
            <w:left w:w="108" w:type="dxa"/>
            <w:bottom w:w="15" w:type="dxa"/>
            <w:right w:w="108" w:type="dxa"/>
          </w:tblCellMar>
        </w:tblPrEx>
        <w:trPr>
          <w:trHeight w:val="480" w:hRule="atLeast"/>
        </w:trPr>
        <w:tc>
          <w:tcPr>
            <w:tcW w:w="3423" w:type="dxa"/>
            <w:vAlign w:val="center"/>
          </w:tcPr>
          <w:p w14:paraId="2596A3F3">
            <w:pPr>
              <w:widowControl/>
              <w:spacing w:line="560" w:lineRule="exact"/>
              <w:jc w:val="left"/>
              <w:rPr>
                <w:rFonts w:ascii="宋体" w:hAnsi="宋体" w:cs="宋体"/>
                <w:color w:val="000000"/>
                <w:kern w:val="0"/>
                <w:sz w:val="24"/>
              </w:rPr>
            </w:pPr>
          </w:p>
        </w:tc>
        <w:tc>
          <w:tcPr>
            <w:tcW w:w="2026" w:type="dxa"/>
            <w:vAlign w:val="center"/>
          </w:tcPr>
          <w:p w14:paraId="67CBB3BC">
            <w:pPr>
              <w:widowControl/>
              <w:spacing w:line="560" w:lineRule="exact"/>
              <w:jc w:val="left"/>
              <w:rPr>
                <w:rFonts w:ascii="宋体" w:hAnsi="宋体" w:cs="宋体"/>
                <w:color w:val="000000"/>
                <w:kern w:val="0"/>
                <w:sz w:val="24"/>
              </w:rPr>
            </w:pPr>
          </w:p>
        </w:tc>
        <w:tc>
          <w:tcPr>
            <w:tcW w:w="3386" w:type="dxa"/>
            <w:gridSpan w:val="2"/>
            <w:vAlign w:val="center"/>
          </w:tcPr>
          <w:p w14:paraId="5AAB1AC8">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47992C5F">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57CFD532">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518C6E1F">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52D9E150">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4D7B1009">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5C1D397">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5930B1C9">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4D1BDB5E">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4D5BD1B7">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6EF0E91">
            <w:pPr>
              <w:widowControl/>
              <w:spacing w:line="560" w:lineRule="exact"/>
              <w:jc w:val="center"/>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103.5</w:t>
            </w:r>
          </w:p>
        </w:tc>
        <w:tc>
          <w:tcPr>
            <w:tcW w:w="2583" w:type="dxa"/>
            <w:tcBorders>
              <w:top w:val="single" w:color="000000" w:sz="4" w:space="0"/>
              <w:left w:val="single" w:color="000000" w:sz="4" w:space="0"/>
              <w:bottom w:val="single" w:color="000000" w:sz="4" w:space="0"/>
              <w:right w:val="single" w:color="000000" w:sz="4" w:space="0"/>
            </w:tcBorders>
            <w:vAlign w:val="center"/>
          </w:tcPr>
          <w:p w14:paraId="59507406">
            <w:pPr>
              <w:widowControl/>
              <w:spacing w:line="560" w:lineRule="exact"/>
              <w:jc w:val="center"/>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104.5</w:t>
            </w:r>
          </w:p>
        </w:tc>
      </w:tr>
      <w:tr w14:paraId="46D3590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618D822C">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252E6BD">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4825E199">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611C3B3A">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4746A39A">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6D02437">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0E4E430C">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1</w:t>
            </w:r>
          </w:p>
        </w:tc>
      </w:tr>
      <w:tr w14:paraId="327DADED">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787E2146">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D2DE2E0">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103.5</w:t>
            </w:r>
          </w:p>
        </w:tc>
        <w:tc>
          <w:tcPr>
            <w:tcW w:w="2583" w:type="dxa"/>
            <w:tcBorders>
              <w:top w:val="single" w:color="000000" w:sz="4" w:space="0"/>
              <w:left w:val="single" w:color="000000" w:sz="4" w:space="0"/>
              <w:bottom w:val="single" w:color="000000" w:sz="4" w:space="0"/>
              <w:right w:val="single" w:color="000000" w:sz="4" w:space="0"/>
            </w:tcBorders>
            <w:vAlign w:val="center"/>
          </w:tcPr>
          <w:p w14:paraId="32D216F0">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103.5</w:t>
            </w:r>
          </w:p>
        </w:tc>
      </w:tr>
      <w:tr w14:paraId="31DB82DC">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BC4A39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A5D6430">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5F675C14">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2AB165BB">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D93DB9A">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AE8BFE6">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103.5</w:t>
            </w:r>
          </w:p>
        </w:tc>
        <w:tc>
          <w:tcPr>
            <w:tcW w:w="2583" w:type="dxa"/>
            <w:tcBorders>
              <w:top w:val="single" w:color="000000" w:sz="4" w:space="0"/>
              <w:left w:val="single" w:color="000000" w:sz="4" w:space="0"/>
              <w:bottom w:val="single" w:color="000000" w:sz="4" w:space="0"/>
              <w:right w:val="single" w:color="000000" w:sz="4" w:space="0"/>
            </w:tcBorders>
            <w:vAlign w:val="center"/>
          </w:tcPr>
          <w:p w14:paraId="61014C47">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103.5</w:t>
            </w:r>
          </w:p>
        </w:tc>
      </w:tr>
    </w:tbl>
    <w:p w14:paraId="6F4BC970">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648EF6A3">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rPr>
        <w:t>盘锦市市场监督管理局</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val="en-US" w:eastAsia="zh-CN"/>
        </w:rPr>
        <w:t>1</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14:paraId="5DFA907B">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0255E2D9">
      <w:pPr>
        <w:spacing w:line="560" w:lineRule="exact"/>
        <w:ind w:firstLine="632" w:firstLineChars="196"/>
        <w:rPr>
          <w:rFonts w:hint="eastAsia" w:ascii="宋体" w:hAnsi="宋体"/>
          <w:b/>
          <w:sz w:val="36"/>
          <w:szCs w:val="36"/>
        </w:rPr>
      </w:pPr>
      <w:r>
        <w:rPr>
          <w:rFonts w:hint="eastAsia" w:ascii="仿宋_GB2312" w:hAnsi="宋体" w:eastAsia="仿宋_GB2312"/>
          <w:sz w:val="32"/>
          <w:szCs w:val="32"/>
        </w:rPr>
        <w:t>根据预算绩效管理要求，盘锦市市场监督管理局</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年应编制部门（单位）整体绩效目标共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个，实际编制部门（单位）整体绩效目标共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个，编制部门（单位）整体绩效目标覆盖率（实际编制绩效目标的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11</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11</w:t>
      </w:r>
      <w:r>
        <w:rPr>
          <w:rFonts w:hint="eastAsia" w:ascii="仿宋_GB2312" w:hAnsi="宋体" w:eastAsia="仿宋_GB2312"/>
          <w:color w:val="auto"/>
          <w:sz w:val="32"/>
          <w:szCs w:val="32"/>
          <w:highlight w:val="none"/>
        </w:rPr>
        <w:t>个，涉及资金</w:t>
      </w:r>
      <w:r>
        <w:rPr>
          <w:rFonts w:hint="eastAsia" w:asciiTheme="minorEastAsia" w:hAnsiTheme="minorEastAsia" w:cstheme="minorEastAsia"/>
          <w:color w:val="333333"/>
          <w:sz w:val="32"/>
          <w:szCs w:val="32"/>
          <w:lang w:val="en-US" w:eastAsia="zh-CN"/>
        </w:rPr>
        <w:t>535.8</w:t>
      </w:r>
      <w:bookmarkStart w:id="0" w:name="_GoBack"/>
      <w:bookmarkEnd w:id="0"/>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14:paraId="57FC8079">
      <w:pPr>
        <w:spacing w:line="560" w:lineRule="exact"/>
        <w:jc w:val="center"/>
        <w:rPr>
          <w:rFonts w:hint="eastAsia" w:ascii="宋体" w:hAnsi="宋体"/>
          <w:b/>
          <w:sz w:val="36"/>
          <w:szCs w:val="36"/>
        </w:rPr>
      </w:pPr>
    </w:p>
    <w:p w14:paraId="1AE5B690">
      <w:pPr>
        <w:spacing w:line="560" w:lineRule="exact"/>
        <w:jc w:val="center"/>
        <w:rPr>
          <w:rFonts w:hint="eastAsia" w:ascii="宋体" w:hAnsi="宋体"/>
          <w:b/>
          <w:sz w:val="36"/>
          <w:szCs w:val="36"/>
        </w:rPr>
      </w:pPr>
    </w:p>
    <w:p w14:paraId="1D3F9D72">
      <w:pPr>
        <w:spacing w:line="560" w:lineRule="exact"/>
        <w:jc w:val="center"/>
        <w:rPr>
          <w:rFonts w:hint="eastAsia" w:ascii="宋体" w:hAnsi="宋体"/>
          <w:b/>
          <w:sz w:val="36"/>
          <w:szCs w:val="36"/>
        </w:rPr>
      </w:pPr>
    </w:p>
    <w:p w14:paraId="72C23A3B">
      <w:pPr>
        <w:spacing w:line="560" w:lineRule="exact"/>
        <w:jc w:val="center"/>
        <w:rPr>
          <w:rFonts w:ascii="宋体" w:hAnsi="宋体"/>
          <w:b/>
          <w:sz w:val="36"/>
          <w:szCs w:val="36"/>
        </w:rPr>
      </w:pPr>
      <w:r>
        <w:rPr>
          <w:rFonts w:hint="eastAsia" w:ascii="宋体" w:hAnsi="宋体"/>
          <w:b/>
          <w:sz w:val="36"/>
          <w:szCs w:val="36"/>
        </w:rPr>
        <w:t>第四部分 名词解释</w:t>
      </w:r>
    </w:p>
    <w:p w14:paraId="7AEA46E0">
      <w:pPr>
        <w:spacing w:line="560" w:lineRule="exact"/>
        <w:jc w:val="center"/>
        <w:rPr>
          <w:rFonts w:ascii="仿宋_GB2312" w:eastAsia="仿宋_GB2312"/>
          <w:sz w:val="32"/>
          <w:szCs w:val="32"/>
        </w:rPr>
      </w:pPr>
    </w:p>
    <w:p w14:paraId="63CDA972">
      <w:pPr>
        <w:spacing w:line="560" w:lineRule="exact"/>
        <w:ind w:firstLine="646" w:firstLineChars="200"/>
        <w:jc w:val="left"/>
        <w:rPr>
          <w:rFonts w:hint="eastAsia" w:ascii="仿宋_GB2312" w:eastAsia="仿宋_GB2312"/>
          <w:sz w:val="32"/>
          <w:szCs w:val="32"/>
        </w:rPr>
      </w:pPr>
      <w:r>
        <w:rPr>
          <w:rFonts w:hint="eastAsia" w:ascii="仿宋_GB2312" w:eastAsia="仿宋_GB2312"/>
          <w:b/>
          <w:sz w:val="32"/>
          <w:szCs w:val="32"/>
        </w:rPr>
        <w:t>1.一般公共预算收入：</w:t>
      </w:r>
      <w:r>
        <w:rPr>
          <w:rFonts w:hint="eastAsia" w:ascii="仿宋_GB2312" w:eastAsia="仿宋_GB2312"/>
          <w:sz w:val="32"/>
          <w:szCs w:val="32"/>
        </w:rPr>
        <w:t>指市级财政当年拨付的一般公共预算资金。</w:t>
      </w:r>
    </w:p>
    <w:p w14:paraId="02F25DB3">
      <w:pPr>
        <w:spacing w:line="560" w:lineRule="exact"/>
        <w:ind w:firstLine="646" w:firstLineChars="200"/>
        <w:jc w:val="left"/>
        <w:rPr>
          <w:rFonts w:hint="eastAsia" w:ascii="仿宋_GB2312" w:eastAsia="仿宋_GB2312"/>
          <w:b/>
          <w:sz w:val="32"/>
          <w:szCs w:val="32"/>
        </w:rPr>
      </w:pPr>
      <w:r>
        <w:rPr>
          <w:rFonts w:hint="eastAsia" w:ascii="仿宋_GB2312" w:eastAsia="仿宋_GB2312"/>
          <w:b/>
          <w:sz w:val="32"/>
          <w:szCs w:val="32"/>
        </w:rPr>
        <w:t>2.基本支出：</w:t>
      </w:r>
      <w:r>
        <w:rPr>
          <w:rFonts w:hint="eastAsia" w:ascii="仿宋_GB2312" w:eastAsia="仿宋_GB2312"/>
          <w:sz w:val="32"/>
          <w:szCs w:val="32"/>
        </w:rPr>
        <w:t>指保障机构正常运转、完成日常工作任务而发生的人员支出和公用支出。</w:t>
      </w:r>
    </w:p>
    <w:p w14:paraId="6E14B24C">
      <w:pPr>
        <w:spacing w:line="560" w:lineRule="exact"/>
        <w:ind w:firstLine="646" w:firstLineChars="200"/>
        <w:jc w:val="left"/>
        <w:rPr>
          <w:rFonts w:hint="eastAsia" w:ascii="仿宋_GB2312" w:eastAsia="仿宋_GB2312"/>
          <w:b w:val="0"/>
          <w:bCs/>
          <w:sz w:val="32"/>
          <w:szCs w:val="32"/>
        </w:rPr>
      </w:pPr>
      <w:r>
        <w:rPr>
          <w:rFonts w:hint="eastAsia" w:ascii="仿宋_GB2312" w:eastAsia="仿宋_GB2312"/>
          <w:b/>
          <w:sz w:val="32"/>
          <w:szCs w:val="32"/>
        </w:rPr>
        <w:t>3.项目支出：</w:t>
      </w:r>
      <w:r>
        <w:rPr>
          <w:rFonts w:hint="eastAsia" w:ascii="仿宋_GB2312" w:eastAsia="仿宋_GB2312"/>
          <w:b w:val="0"/>
          <w:bCs/>
          <w:sz w:val="32"/>
          <w:szCs w:val="32"/>
        </w:rPr>
        <w:t>指在基本支出之外为完成特定行政任务和事业发展目标所发生的支出。</w:t>
      </w:r>
    </w:p>
    <w:p w14:paraId="60E62E95">
      <w:pPr>
        <w:spacing w:line="560" w:lineRule="exact"/>
        <w:ind w:firstLine="646" w:firstLineChars="200"/>
        <w:jc w:val="left"/>
        <w:rPr>
          <w:rFonts w:hint="eastAsia" w:ascii="仿宋_GB2312" w:eastAsia="仿宋_GB2312"/>
          <w:b w:val="0"/>
          <w:bCs/>
          <w:sz w:val="32"/>
          <w:szCs w:val="32"/>
        </w:rPr>
      </w:pPr>
      <w:r>
        <w:rPr>
          <w:rFonts w:hint="eastAsia" w:ascii="仿宋_GB2312" w:eastAsia="仿宋_GB2312"/>
          <w:b/>
          <w:sz w:val="32"/>
          <w:szCs w:val="32"/>
        </w:rPr>
        <w:t>4.机关运行经费：</w:t>
      </w:r>
      <w:r>
        <w:rPr>
          <w:rFonts w:hint="eastAsia" w:ascii="仿宋_GB2312" w:eastAsia="仿宋_GB2312"/>
          <w:b w:val="0"/>
          <w:bCs/>
          <w:sz w:val="32"/>
          <w:szCs w:val="32"/>
        </w:rPr>
        <w:t>是指各部门的公用经费，包括办公及印刷费、邮电费、差旅费、会议费、福利费、日常维护费、专用材料及一般设备购置费、办公用房水电费、办公用房取暖费、办公用房物业管理费、办公用车运行维护费以及其他费用。</w:t>
      </w:r>
    </w:p>
    <w:p w14:paraId="6F1733BB">
      <w:pPr>
        <w:spacing w:line="560" w:lineRule="exact"/>
        <w:ind w:firstLine="646" w:firstLineChars="200"/>
        <w:jc w:val="left"/>
        <w:rPr>
          <w:rFonts w:hint="eastAsia" w:ascii="仿宋_GB2312" w:eastAsia="仿宋_GB2312"/>
          <w:b w:val="0"/>
          <w:bCs/>
          <w:sz w:val="32"/>
          <w:szCs w:val="32"/>
        </w:rPr>
      </w:pPr>
      <w:r>
        <w:rPr>
          <w:rFonts w:hint="eastAsia" w:ascii="仿宋_GB2312" w:eastAsia="仿宋_GB2312"/>
          <w:b/>
          <w:sz w:val="32"/>
          <w:szCs w:val="32"/>
        </w:rPr>
        <w:t>5.“三公”经费：</w:t>
      </w:r>
      <w:r>
        <w:rPr>
          <w:rFonts w:hint="eastAsia" w:ascii="仿宋_GB2312" w:eastAsia="仿宋_GB2312"/>
          <w:b w:val="0"/>
          <w:bCs/>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3D0EFB29">
      <w:pPr>
        <w:spacing w:line="560" w:lineRule="exact"/>
        <w:ind w:firstLine="646" w:firstLineChars="200"/>
        <w:jc w:val="left"/>
        <w:rPr>
          <w:rFonts w:hint="eastAsia" w:ascii="仿宋_GB2312" w:eastAsia="仿宋_GB2312"/>
          <w:b w:val="0"/>
          <w:bCs/>
          <w:sz w:val="32"/>
          <w:szCs w:val="32"/>
        </w:rPr>
      </w:pPr>
      <w:r>
        <w:rPr>
          <w:rFonts w:hint="eastAsia" w:ascii="仿宋_GB2312" w:eastAsia="仿宋_GB2312"/>
          <w:b/>
          <w:sz w:val="32"/>
          <w:szCs w:val="32"/>
        </w:rPr>
        <w:t>6.一般公共服务（类）纪检监察事务（款）派驻派出机构（项）：</w:t>
      </w:r>
      <w:r>
        <w:rPr>
          <w:rFonts w:hint="eastAsia" w:ascii="仿宋_GB2312" w:eastAsia="仿宋_GB2312"/>
          <w:b w:val="0"/>
          <w:bCs/>
          <w:sz w:val="32"/>
          <w:szCs w:val="32"/>
        </w:rPr>
        <w:t>反映纪检监察部门负担的派驻各部门和单位的纪检监察人员的专项业务支出。</w:t>
      </w:r>
    </w:p>
    <w:p w14:paraId="1E1B5F66">
      <w:pPr>
        <w:spacing w:line="560" w:lineRule="exact"/>
        <w:ind w:firstLine="646" w:firstLineChars="200"/>
        <w:jc w:val="left"/>
        <w:rPr>
          <w:rFonts w:hint="eastAsia" w:ascii="仿宋_GB2312" w:eastAsia="仿宋_GB2312"/>
          <w:b w:val="0"/>
          <w:bCs/>
          <w:sz w:val="32"/>
          <w:szCs w:val="32"/>
        </w:rPr>
      </w:pPr>
      <w:r>
        <w:rPr>
          <w:rFonts w:hint="eastAsia" w:ascii="仿宋_GB2312" w:eastAsia="仿宋_GB2312"/>
          <w:b/>
          <w:sz w:val="32"/>
          <w:szCs w:val="32"/>
        </w:rPr>
        <w:t>7.一般公共服务（类）市场监督管理事务（款）行政运行（项）：</w:t>
      </w:r>
      <w:r>
        <w:rPr>
          <w:rFonts w:hint="eastAsia" w:ascii="仿宋_GB2312" w:eastAsia="仿宋_GB2312"/>
          <w:b w:val="0"/>
          <w:bCs/>
          <w:sz w:val="32"/>
          <w:szCs w:val="32"/>
        </w:rPr>
        <w:t>反映行政单位（包括实行公务员管理的事业单位）的基本支出。</w:t>
      </w:r>
    </w:p>
    <w:p w14:paraId="705A4924">
      <w:pPr>
        <w:spacing w:line="560" w:lineRule="exact"/>
        <w:ind w:firstLine="646" w:firstLineChars="200"/>
        <w:jc w:val="left"/>
        <w:rPr>
          <w:rFonts w:hint="eastAsia" w:ascii="仿宋_GB2312" w:eastAsia="仿宋_GB2312"/>
          <w:b w:val="0"/>
          <w:bCs/>
          <w:sz w:val="32"/>
          <w:szCs w:val="32"/>
        </w:rPr>
      </w:pPr>
      <w:r>
        <w:rPr>
          <w:rFonts w:hint="eastAsia" w:ascii="仿宋_GB2312" w:eastAsia="仿宋_GB2312"/>
          <w:b/>
          <w:sz w:val="32"/>
          <w:szCs w:val="32"/>
        </w:rPr>
        <w:t>8.一般公共服务（类）市场监督管理事务（款）一般行政管理事务（项）：</w:t>
      </w:r>
      <w:r>
        <w:rPr>
          <w:rFonts w:hint="eastAsia" w:ascii="仿宋_GB2312" w:eastAsia="仿宋_GB2312"/>
          <w:b w:val="0"/>
          <w:bCs/>
          <w:sz w:val="32"/>
          <w:szCs w:val="32"/>
        </w:rPr>
        <w:t>反映行政单位（包括实行公务员管理的事业单位）未单独设置项级科目的其他项目支出。</w:t>
      </w:r>
    </w:p>
    <w:p w14:paraId="3B9916A6">
      <w:pPr>
        <w:spacing w:line="560" w:lineRule="exact"/>
        <w:ind w:firstLine="646" w:firstLineChars="200"/>
        <w:jc w:val="left"/>
        <w:rPr>
          <w:rFonts w:hint="eastAsia" w:ascii="仿宋_GB2312" w:eastAsia="仿宋_GB2312"/>
          <w:b/>
          <w:sz w:val="32"/>
          <w:szCs w:val="32"/>
        </w:rPr>
      </w:pPr>
      <w:r>
        <w:rPr>
          <w:rFonts w:hint="eastAsia" w:ascii="仿宋_GB2312" w:eastAsia="仿宋_GB2312"/>
          <w:b/>
          <w:sz w:val="32"/>
          <w:szCs w:val="32"/>
        </w:rPr>
        <w:t>9.一般公共服务（类）市场监督管理事务（款）市场主体管理（项）：</w:t>
      </w:r>
      <w:r>
        <w:rPr>
          <w:rFonts w:hint="eastAsia" w:ascii="仿宋_GB2312" w:eastAsia="仿宋_GB2312"/>
          <w:b w:val="0"/>
          <w:bCs/>
          <w:sz w:val="32"/>
          <w:szCs w:val="32"/>
        </w:rPr>
        <w:t>反映市场准入、许可审批、信用监管等市场主体管理专项工作支出。</w:t>
      </w:r>
    </w:p>
    <w:p w14:paraId="2375C188">
      <w:pPr>
        <w:spacing w:line="560" w:lineRule="exact"/>
        <w:ind w:firstLine="646" w:firstLineChars="200"/>
        <w:jc w:val="left"/>
        <w:rPr>
          <w:rFonts w:hint="eastAsia" w:ascii="仿宋_GB2312" w:eastAsia="仿宋_GB2312"/>
          <w:b/>
          <w:sz w:val="32"/>
          <w:szCs w:val="32"/>
        </w:rPr>
      </w:pPr>
      <w:r>
        <w:rPr>
          <w:rFonts w:hint="eastAsia" w:ascii="仿宋_GB2312" w:eastAsia="仿宋_GB2312"/>
          <w:b/>
          <w:sz w:val="32"/>
          <w:szCs w:val="32"/>
        </w:rPr>
        <w:t>10.一般公共服务（类）市场监督管理事务（款）市场秩序执法（项）：</w:t>
      </w:r>
      <w:r>
        <w:rPr>
          <w:rFonts w:hint="eastAsia" w:ascii="仿宋_GB2312" w:eastAsia="仿宋_GB2312"/>
          <w:b w:val="0"/>
          <w:bCs/>
          <w:sz w:val="32"/>
          <w:szCs w:val="32"/>
        </w:rPr>
        <w:t>反映反垄断、价格监督、反不正当竞争、规范直销与打击传销、网络交易监管、广告监管、消费者权益保护、综合执法等市场秩序执法专项工作支出。</w:t>
      </w:r>
    </w:p>
    <w:p w14:paraId="0E51CEA4">
      <w:pPr>
        <w:spacing w:line="560" w:lineRule="exact"/>
        <w:ind w:firstLine="646" w:firstLineChars="200"/>
        <w:jc w:val="left"/>
        <w:rPr>
          <w:rFonts w:hint="eastAsia" w:ascii="仿宋_GB2312" w:eastAsia="仿宋_GB2312"/>
          <w:b w:val="0"/>
          <w:bCs/>
          <w:sz w:val="32"/>
          <w:szCs w:val="32"/>
        </w:rPr>
      </w:pPr>
      <w:r>
        <w:rPr>
          <w:rFonts w:hint="eastAsia" w:ascii="仿宋_GB2312" w:eastAsia="仿宋_GB2312"/>
          <w:b/>
          <w:sz w:val="32"/>
          <w:szCs w:val="32"/>
        </w:rPr>
        <w:t>11.一般公共服务（类）市场监督管理事务（款）质量基础（项）：</w:t>
      </w:r>
      <w:r>
        <w:rPr>
          <w:rFonts w:hint="eastAsia" w:ascii="仿宋_GB2312" w:eastAsia="仿宋_GB2312"/>
          <w:b w:val="0"/>
          <w:bCs/>
          <w:sz w:val="32"/>
          <w:szCs w:val="32"/>
        </w:rPr>
        <w:t>反映计量、标准、认证认可、检验检测等质量基础专项工作支出。</w:t>
      </w:r>
    </w:p>
    <w:p w14:paraId="4884CE2E">
      <w:pPr>
        <w:spacing w:line="560" w:lineRule="exact"/>
        <w:ind w:firstLine="646" w:firstLineChars="200"/>
        <w:jc w:val="left"/>
        <w:rPr>
          <w:rFonts w:hint="eastAsia" w:ascii="仿宋_GB2312" w:eastAsia="仿宋_GB2312"/>
          <w:b w:val="0"/>
          <w:bCs/>
          <w:sz w:val="32"/>
          <w:szCs w:val="32"/>
        </w:rPr>
      </w:pPr>
      <w:r>
        <w:rPr>
          <w:rFonts w:hint="eastAsia" w:ascii="仿宋_GB2312" w:eastAsia="仿宋_GB2312"/>
          <w:b/>
          <w:sz w:val="32"/>
          <w:szCs w:val="32"/>
        </w:rPr>
        <w:t>12.一般公共服务（类）市场监督管理事务（款）药品事务（项）：</w:t>
      </w:r>
      <w:r>
        <w:rPr>
          <w:rFonts w:hint="eastAsia" w:ascii="仿宋_GB2312" w:eastAsia="仿宋_GB2312"/>
          <w:b w:val="0"/>
          <w:bCs/>
          <w:sz w:val="32"/>
          <w:szCs w:val="32"/>
        </w:rPr>
        <w:t>反映用于药品（含中药、民族药）监督管理方面的支出。</w:t>
      </w:r>
    </w:p>
    <w:p w14:paraId="31B0CA54">
      <w:pPr>
        <w:spacing w:line="560" w:lineRule="exact"/>
        <w:ind w:firstLine="646" w:firstLineChars="200"/>
        <w:jc w:val="left"/>
        <w:rPr>
          <w:rFonts w:hint="eastAsia" w:ascii="仿宋_GB2312" w:eastAsia="仿宋_GB2312"/>
          <w:b w:val="0"/>
          <w:bCs/>
          <w:sz w:val="32"/>
          <w:szCs w:val="32"/>
        </w:rPr>
      </w:pPr>
      <w:r>
        <w:rPr>
          <w:rFonts w:hint="eastAsia" w:ascii="仿宋_GB2312" w:eastAsia="仿宋_GB2312"/>
          <w:b/>
          <w:sz w:val="32"/>
          <w:szCs w:val="32"/>
        </w:rPr>
        <w:t>13.一般公共服务（类）市场监督管理事务（款）化妆品事务（项）：</w:t>
      </w:r>
      <w:r>
        <w:rPr>
          <w:rFonts w:hint="eastAsia" w:ascii="仿宋_GB2312" w:eastAsia="仿宋_GB2312"/>
          <w:b w:val="0"/>
          <w:bCs/>
          <w:sz w:val="32"/>
          <w:szCs w:val="32"/>
        </w:rPr>
        <w:t>反映用于化妆品监督管理方面的支出。</w:t>
      </w:r>
    </w:p>
    <w:p w14:paraId="12255F0D">
      <w:pPr>
        <w:spacing w:line="560" w:lineRule="exact"/>
        <w:ind w:firstLine="646" w:firstLineChars="200"/>
        <w:jc w:val="left"/>
        <w:rPr>
          <w:rFonts w:hint="eastAsia" w:ascii="仿宋_GB2312" w:eastAsia="仿宋_GB2312"/>
          <w:b/>
          <w:sz w:val="32"/>
          <w:szCs w:val="32"/>
        </w:rPr>
      </w:pPr>
      <w:r>
        <w:rPr>
          <w:rFonts w:hint="eastAsia" w:ascii="仿宋_GB2312" w:eastAsia="仿宋_GB2312"/>
          <w:b/>
          <w:sz w:val="32"/>
          <w:szCs w:val="32"/>
        </w:rPr>
        <w:t>14.一般公共服务（类）市场监督管理事务（款）质量安全监管（项）：</w:t>
      </w:r>
      <w:r>
        <w:rPr>
          <w:rFonts w:hint="eastAsia" w:ascii="仿宋_GB2312" w:eastAsia="仿宋_GB2312"/>
          <w:b w:val="0"/>
          <w:bCs/>
          <w:sz w:val="32"/>
          <w:szCs w:val="32"/>
        </w:rPr>
        <w:t>反映产品质量安全监管、特种设备安全监管等质量监管专项工作支出。</w:t>
      </w:r>
    </w:p>
    <w:p w14:paraId="1A6DFE77">
      <w:pPr>
        <w:spacing w:line="560" w:lineRule="exact"/>
        <w:ind w:firstLine="646" w:firstLineChars="200"/>
        <w:jc w:val="left"/>
        <w:rPr>
          <w:rFonts w:hint="eastAsia" w:ascii="仿宋_GB2312" w:eastAsia="仿宋_GB2312"/>
          <w:b/>
          <w:sz w:val="32"/>
          <w:szCs w:val="32"/>
        </w:rPr>
      </w:pPr>
      <w:r>
        <w:rPr>
          <w:rFonts w:hint="eastAsia" w:ascii="仿宋_GB2312" w:eastAsia="仿宋_GB2312"/>
          <w:b/>
          <w:sz w:val="32"/>
          <w:szCs w:val="32"/>
        </w:rPr>
        <w:t>15.一般公共服务（类）市场监督管理事务（款）食品安全监管（项）：</w:t>
      </w:r>
      <w:r>
        <w:rPr>
          <w:rFonts w:hint="eastAsia" w:ascii="仿宋_GB2312" w:eastAsia="仿宋_GB2312"/>
          <w:b w:val="0"/>
          <w:bCs/>
          <w:sz w:val="32"/>
          <w:szCs w:val="32"/>
        </w:rPr>
        <w:t>反映食品安全监管等专项工作支出。</w:t>
      </w:r>
    </w:p>
    <w:p w14:paraId="248E9DC8">
      <w:pPr>
        <w:spacing w:line="560" w:lineRule="exact"/>
        <w:ind w:firstLine="646" w:firstLineChars="200"/>
        <w:jc w:val="left"/>
        <w:rPr>
          <w:rFonts w:hint="eastAsia" w:ascii="仿宋_GB2312" w:eastAsia="仿宋_GB2312"/>
          <w:b w:val="0"/>
          <w:bCs/>
          <w:sz w:val="32"/>
          <w:szCs w:val="32"/>
        </w:rPr>
      </w:pPr>
      <w:r>
        <w:rPr>
          <w:rFonts w:hint="eastAsia" w:ascii="仿宋_GB2312" w:eastAsia="仿宋_GB2312"/>
          <w:b/>
          <w:sz w:val="32"/>
          <w:szCs w:val="32"/>
        </w:rPr>
        <w:t>16.一般公共服务（类）市场监督管理事务（款）事业运行（项）：</w:t>
      </w:r>
      <w:r>
        <w:rPr>
          <w:rFonts w:hint="eastAsia" w:ascii="仿宋_GB2312" w:eastAsia="仿宋_GB2312"/>
          <w:b w:val="0"/>
          <w:bCs/>
          <w:sz w:val="32"/>
          <w:szCs w:val="32"/>
        </w:rPr>
        <w:t>反映事业单位的基本支出，不包括行政单位（包括实行公务员管理的事业单位）后勤服务中心、医务室等附属事业单位。</w:t>
      </w:r>
    </w:p>
    <w:p w14:paraId="719E30BC">
      <w:pPr>
        <w:spacing w:line="560" w:lineRule="exact"/>
        <w:ind w:firstLine="646" w:firstLineChars="200"/>
        <w:jc w:val="left"/>
        <w:rPr>
          <w:rFonts w:hint="eastAsia" w:ascii="仿宋_GB2312" w:eastAsia="仿宋_GB2312"/>
          <w:b w:val="0"/>
          <w:bCs/>
          <w:sz w:val="32"/>
          <w:szCs w:val="32"/>
        </w:rPr>
      </w:pPr>
      <w:r>
        <w:rPr>
          <w:rFonts w:hint="eastAsia" w:ascii="仿宋_GB2312" w:eastAsia="仿宋_GB2312"/>
          <w:b/>
          <w:sz w:val="32"/>
          <w:szCs w:val="32"/>
        </w:rPr>
        <w:t>17.一般公共服务（类）市场监督管理事务（款）其他市场监督管理事务（项）：</w:t>
      </w:r>
      <w:r>
        <w:rPr>
          <w:rFonts w:hint="eastAsia" w:ascii="仿宋_GB2312" w:eastAsia="仿宋_GB2312"/>
          <w:b w:val="0"/>
          <w:bCs/>
          <w:sz w:val="32"/>
          <w:szCs w:val="32"/>
        </w:rPr>
        <w:t>反映用于除上述项目以外其他市场监督管理事务方面的支出。</w:t>
      </w:r>
    </w:p>
    <w:p w14:paraId="51552954">
      <w:pPr>
        <w:spacing w:line="560" w:lineRule="exact"/>
        <w:ind w:firstLine="646" w:firstLineChars="200"/>
        <w:jc w:val="left"/>
        <w:rPr>
          <w:rFonts w:hint="eastAsia" w:ascii="仿宋_GB2312" w:eastAsia="仿宋_GB2312"/>
          <w:b w:val="0"/>
          <w:bCs/>
          <w:sz w:val="32"/>
          <w:szCs w:val="32"/>
        </w:rPr>
      </w:pPr>
      <w:r>
        <w:rPr>
          <w:rFonts w:hint="eastAsia" w:ascii="仿宋_GB2312" w:eastAsia="仿宋_GB2312"/>
          <w:b/>
          <w:sz w:val="32"/>
          <w:szCs w:val="32"/>
        </w:rPr>
        <w:t>18.社会保障和就业（类）行政事业单位离退休（款）行政单位离退休（项）：</w:t>
      </w:r>
      <w:r>
        <w:rPr>
          <w:rFonts w:hint="eastAsia" w:ascii="仿宋_GB2312" w:eastAsia="仿宋_GB2312"/>
          <w:b w:val="0"/>
          <w:bCs/>
          <w:sz w:val="32"/>
          <w:szCs w:val="32"/>
        </w:rPr>
        <w:t>反映行政单位（包括实行公务员管理的事业单位）开支的离退休经费。</w:t>
      </w:r>
    </w:p>
    <w:p w14:paraId="43DB55A7">
      <w:pPr>
        <w:spacing w:line="560" w:lineRule="exact"/>
        <w:ind w:firstLine="646" w:firstLineChars="200"/>
        <w:jc w:val="left"/>
        <w:rPr>
          <w:rFonts w:hint="eastAsia" w:ascii="仿宋_GB2312" w:eastAsia="仿宋_GB2312"/>
          <w:b/>
          <w:sz w:val="32"/>
          <w:szCs w:val="32"/>
        </w:rPr>
      </w:pPr>
      <w:r>
        <w:rPr>
          <w:rFonts w:hint="eastAsia" w:ascii="仿宋_GB2312" w:eastAsia="仿宋_GB2312"/>
          <w:b/>
          <w:sz w:val="32"/>
          <w:szCs w:val="32"/>
        </w:rPr>
        <w:t>19.社会保障和就业（类）行政事业单位离退休（款）机关事业单位基本养老保险缴费支出（项）：</w:t>
      </w:r>
      <w:r>
        <w:rPr>
          <w:rFonts w:hint="eastAsia" w:ascii="仿宋_GB2312" w:eastAsia="仿宋_GB2312"/>
          <w:b w:val="0"/>
          <w:bCs/>
          <w:sz w:val="32"/>
          <w:szCs w:val="32"/>
        </w:rPr>
        <w:t>反映机关事业单位实施养老保险制度由单位缴纳的基本养老保险费支出。</w:t>
      </w:r>
    </w:p>
    <w:p w14:paraId="4A9CFB27">
      <w:pPr>
        <w:spacing w:line="560" w:lineRule="exact"/>
        <w:ind w:firstLine="646" w:firstLineChars="200"/>
        <w:jc w:val="left"/>
        <w:rPr>
          <w:rFonts w:hint="eastAsia" w:ascii="仿宋_GB2312" w:eastAsia="仿宋_GB2312"/>
          <w:b/>
          <w:sz w:val="32"/>
          <w:szCs w:val="32"/>
        </w:rPr>
      </w:pPr>
      <w:r>
        <w:rPr>
          <w:rFonts w:hint="eastAsia" w:ascii="仿宋_GB2312" w:eastAsia="仿宋_GB2312"/>
          <w:b/>
          <w:sz w:val="32"/>
          <w:szCs w:val="32"/>
        </w:rPr>
        <w:t>20.社会保障和就业（类）行政事业单位离退休（款）事业单位离退休（项）：</w:t>
      </w:r>
      <w:r>
        <w:rPr>
          <w:rFonts w:hint="eastAsia" w:ascii="仿宋_GB2312" w:eastAsia="仿宋_GB2312"/>
          <w:b w:val="0"/>
          <w:bCs/>
          <w:sz w:val="32"/>
          <w:szCs w:val="32"/>
        </w:rPr>
        <w:t>反映事业单位开支的离退休经费。</w:t>
      </w:r>
    </w:p>
    <w:p w14:paraId="7454253D">
      <w:pPr>
        <w:spacing w:line="560" w:lineRule="exact"/>
        <w:ind w:firstLine="646" w:firstLineChars="200"/>
        <w:jc w:val="left"/>
        <w:rPr>
          <w:rFonts w:hint="eastAsia" w:ascii="仿宋_GB2312" w:eastAsia="仿宋_GB2312"/>
          <w:b w:val="0"/>
          <w:bCs/>
          <w:sz w:val="32"/>
          <w:szCs w:val="32"/>
        </w:rPr>
      </w:pPr>
      <w:r>
        <w:rPr>
          <w:rFonts w:hint="eastAsia" w:ascii="仿宋_GB2312" w:eastAsia="仿宋_GB2312"/>
          <w:b/>
          <w:sz w:val="32"/>
          <w:szCs w:val="32"/>
        </w:rPr>
        <w:t>21.卫生健康类（类）行政事业单位医疗（款）行政单位医疗（项）：</w:t>
      </w:r>
      <w:r>
        <w:rPr>
          <w:rFonts w:hint="eastAsia" w:ascii="仿宋_GB2312" w:eastAsia="仿宋_GB2312"/>
          <w:b w:val="0"/>
          <w:bCs/>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p>
    <w:p w14:paraId="465B5E60">
      <w:pPr>
        <w:spacing w:line="560" w:lineRule="exact"/>
        <w:ind w:firstLine="646" w:firstLineChars="200"/>
        <w:jc w:val="left"/>
        <w:rPr>
          <w:rFonts w:hint="eastAsia" w:ascii="仿宋_GB2312" w:eastAsia="仿宋_GB2312"/>
          <w:b w:val="0"/>
          <w:bCs/>
          <w:sz w:val="32"/>
          <w:szCs w:val="32"/>
        </w:rPr>
      </w:pPr>
      <w:r>
        <w:rPr>
          <w:rFonts w:hint="eastAsia" w:ascii="仿宋_GB2312" w:eastAsia="仿宋_GB2312"/>
          <w:b/>
          <w:sz w:val="32"/>
          <w:szCs w:val="32"/>
        </w:rPr>
        <w:t>22.卫生健康类（类）行政事业单位医疗（款）事业单位医疗（项）：</w:t>
      </w:r>
      <w:r>
        <w:rPr>
          <w:rFonts w:hint="eastAsia" w:ascii="仿宋_GB2312" w:eastAsia="仿宋_GB2312"/>
          <w:b w:val="0"/>
          <w:bCs/>
          <w:sz w:val="32"/>
          <w:szCs w:val="32"/>
        </w:rPr>
        <w:t>反映财政部门安排的事业单位基本医疗保险缴费经费，未参加医疗保险的事业单位的公费医疗经费，按国家规定享受离休人员待遇人员的医疗经费。</w:t>
      </w:r>
    </w:p>
    <w:p w14:paraId="3B0651CF">
      <w:pPr>
        <w:spacing w:line="560" w:lineRule="exact"/>
        <w:ind w:firstLine="646" w:firstLineChars="200"/>
        <w:jc w:val="left"/>
        <w:rPr>
          <w:rFonts w:hint="eastAsia" w:ascii="仿宋_GB2312" w:eastAsia="仿宋_GB2312"/>
          <w:b w:val="0"/>
          <w:bCs/>
          <w:sz w:val="32"/>
          <w:szCs w:val="32"/>
        </w:rPr>
      </w:pPr>
      <w:r>
        <w:rPr>
          <w:rFonts w:hint="eastAsia" w:ascii="仿宋_GB2312" w:eastAsia="仿宋_GB2312"/>
          <w:b/>
          <w:sz w:val="32"/>
          <w:szCs w:val="32"/>
        </w:rPr>
        <w:t>23.卫生健康类（类）行政事业单位医疗（款）其他行政事业单位医疗支出（项）：</w:t>
      </w:r>
      <w:r>
        <w:rPr>
          <w:rFonts w:hint="eastAsia" w:ascii="仿宋_GB2312" w:eastAsia="仿宋_GB2312"/>
          <w:b w:val="0"/>
          <w:bCs/>
          <w:sz w:val="32"/>
          <w:szCs w:val="32"/>
        </w:rPr>
        <w:t>反映除上述项目以外的其他用于行政事业单位医疗方面的支出。</w:t>
      </w:r>
    </w:p>
    <w:p w14:paraId="34C0EE11">
      <w:pPr>
        <w:spacing w:line="560" w:lineRule="exact"/>
        <w:ind w:firstLine="646" w:firstLineChars="200"/>
        <w:jc w:val="left"/>
        <w:rPr>
          <w:rFonts w:hint="eastAsia" w:ascii="仿宋_GB2312" w:eastAsia="仿宋_GB2312"/>
          <w:b/>
          <w:sz w:val="32"/>
          <w:szCs w:val="32"/>
        </w:rPr>
      </w:pPr>
      <w:r>
        <w:rPr>
          <w:rFonts w:hint="eastAsia" w:ascii="仿宋_GB2312" w:eastAsia="仿宋_GB2312"/>
          <w:b/>
          <w:sz w:val="32"/>
          <w:szCs w:val="32"/>
        </w:rPr>
        <w:t>24.住房保障（类）住房改革（款）住房公积金（项）：</w:t>
      </w:r>
      <w:r>
        <w:rPr>
          <w:rFonts w:hint="eastAsia" w:ascii="仿宋_GB2312" w:eastAsia="仿宋_GB2312"/>
          <w:b w:val="0"/>
          <w:bCs/>
          <w:sz w:val="32"/>
          <w:szCs w:val="32"/>
        </w:rPr>
        <w:t>反映行政事业单位按人力资源和社会保障部、财政部规定的基本工资和津贴补贴以及规定比例为职工缴纳的住房公积金。</w:t>
      </w:r>
    </w:p>
    <w:p w14:paraId="15663840">
      <w:pPr>
        <w:pStyle w:val="2"/>
        <w:rPr>
          <w:rFonts w:ascii="宋体" w:hAnsi="宋体"/>
          <w:b/>
          <w:sz w:val="36"/>
          <w:szCs w:val="36"/>
        </w:rPr>
      </w:pPr>
    </w:p>
    <w:p w14:paraId="2EF074AF">
      <w:pPr>
        <w:pStyle w:val="2"/>
        <w:rPr>
          <w:rFonts w:ascii="宋体" w:hAnsi="宋体"/>
          <w:b/>
          <w:sz w:val="36"/>
          <w:szCs w:val="36"/>
        </w:rPr>
      </w:pPr>
    </w:p>
    <w:p w14:paraId="5B63CE48">
      <w:pPr>
        <w:tabs>
          <w:tab w:val="left" w:pos="2343"/>
        </w:tabs>
        <w:spacing w:line="560" w:lineRule="exact"/>
        <w:jc w:val="center"/>
        <w:rPr>
          <w:rFonts w:ascii="仿宋_GB2312" w:eastAsia="仿宋_GB2312"/>
          <w:sz w:val="32"/>
          <w:szCs w:val="32"/>
        </w:rPr>
      </w:pPr>
      <w:r>
        <w:rPr>
          <w:rFonts w:hint="eastAsia" w:ascii="宋体" w:hAnsi="宋体"/>
          <w:b/>
          <w:sz w:val="36"/>
          <w:szCs w:val="36"/>
        </w:rPr>
        <w:t xml:space="preserve">第五部分 </w:t>
      </w:r>
      <w:r>
        <w:rPr>
          <w:rFonts w:hint="eastAsia" w:ascii="宋体" w:hAnsi="宋体"/>
          <w:b/>
          <w:sz w:val="36"/>
          <w:szCs w:val="36"/>
          <w:lang w:val="en-US" w:eastAsia="zh-CN"/>
        </w:rPr>
        <w:t>2025</w:t>
      </w:r>
      <w:r>
        <w:rPr>
          <w:rFonts w:hint="eastAsia" w:ascii="宋体" w:hAnsi="宋体"/>
          <w:b/>
          <w:sz w:val="36"/>
          <w:szCs w:val="36"/>
        </w:rPr>
        <w:t>年</w:t>
      </w:r>
      <w:r>
        <w:rPr>
          <w:rFonts w:hint="eastAsia" w:ascii="宋体" w:hAnsi="宋体"/>
          <w:b/>
          <w:sz w:val="36"/>
          <w:szCs w:val="36"/>
          <w:lang w:val="en-US" w:eastAsia="zh-CN"/>
        </w:rPr>
        <w:t>盘锦市市场监督管理局</w:t>
      </w:r>
      <w:r>
        <w:rPr>
          <w:rFonts w:hint="eastAsia" w:ascii="宋体" w:hAnsi="宋体"/>
          <w:b/>
          <w:sz w:val="36"/>
          <w:szCs w:val="36"/>
        </w:rPr>
        <w:t>部门预算</w:t>
      </w:r>
      <w:r>
        <w:rPr>
          <w:rFonts w:hint="eastAsia" w:ascii="宋体" w:hAnsi="宋体"/>
          <w:b/>
          <w:sz w:val="36"/>
          <w:szCs w:val="36"/>
          <w:lang w:val="en-US" w:eastAsia="zh-CN"/>
        </w:rPr>
        <w:t>公开</w:t>
      </w:r>
      <w:r>
        <w:rPr>
          <w:rFonts w:hint="eastAsia" w:ascii="宋体" w:hAnsi="宋体"/>
          <w:b/>
          <w:sz w:val="36"/>
          <w:szCs w:val="36"/>
        </w:rPr>
        <w:t>表</w:t>
      </w:r>
    </w:p>
    <w:p w14:paraId="5AF72B17">
      <w:pPr>
        <w:spacing w:line="560" w:lineRule="exact"/>
        <w:jc w:val="both"/>
        <w:rPr>
          <w:rFonts w:hint="eastAsia" w:ascii="宋体" w:hAnsi="宋体"/>
          <w:b/>
          <w:sz w:val="36"/>
          <w:szCs w:val="36"/>
        </w:rPr>
      </w:pPr>
    </w:p>
    <w:p w14:paraId="071ACEB4">
      <w:pPr>
        <w:spacing w:line="560" w:lineRule="exact"/>
        <w:jc w:val="both"/>
        <w:rPr>
          <w:rFonts w:hint="eastAsia" w:ascii="宋体" w:hAnsi="宋体"/>
          <w:b/>
          <w:sz w:val="36"/>
          <w:szCs w:val="36"/>
        </w:rPr>
      </w:pPr>
    </w:p>
    <w:p w14:paraId="03DC0F37">
      <w:pPr>
        <w:ind w:firstLine="2261" w:firstLineChars="700"/>
        <w:rPr>
          <w:rFonts w:hint="eastAsia" w:ascii="仿宋_GB2312" w:hAnsi="仿宋_GB2312" w:eastAsia="仿宋_GB2312" w:cs="仿宋_GB2312"/>
          <w:b w:val="0"/>
          <w:bCs/>
          <w:w w:val="96"/>
          <w:sz w:val="32"/>
          <w:szCs w:val="32"/>
        </w:rPr>
      </w:pPr>
      <w:r>
        <w:rPr>
          <w:rFonts w:hint="eastAsia" w:ascii="仿宋_GB2312" w:hAnsi="仿宋_GB2312" w:eastAsia="仿宋_GB2312" w:cs="仿宋_GB2312"/>
          <w:b w:val="0"/>
          <w:bCs/>
          <w:sz w:val="32"/>
          <w:szCs w:val="32"/>
        </w:rPr>
        <w:t>（该部分内容详见附件）</w:t>
      </w:r>
    </w:p>
    <w:sectPr>
      <w:footerReference r:id="rId3" w:type="default"/>
      <w:pgSz w:w="11906" w:h="16838"/>
      <w:pgMar w:top="1440" w:right="1797" w:bottom="1440" w:left="1797"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A50C0">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7</w:t>
    </w:r>
    <w:r>
      <w:rPr>
        <w:rStyle w:val="9"/>
      </w:rPr>
      <w:fldChar w:fldCharType="end"/>
    </w:r>
  </w:p>
  <w:p w14:paraId="54F2258B">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628AF4"/>
    <w:multiLevelType w:val="singleLevel"/>
    <w:tmpl w:val="2C628AF4"/>
    <w:lvl w:ilvl="0" w:tentative="0">
      <w:start w:val="3"/>
      <w:numFmt w:val="chineseCounting"/>
      <w:suff w:val="space"/>
      <w:lvlText w:val="第%1部分"/>
      <w:lvlJc w:val="left"/>
      <w:rPr>
        <w:rFonts w:hint="eastAsia"/>
      </w:rPr>
    </w:lvl>
  </w:abstractNum>
  <w:abstractNum w:abstractNumId="1">
    <w:nsid w:val="601769EA"/>
    <w:multiLevelType w:val="singleLevel"/>
    <w:tmpl w:val="601769EA"/>
    <w:lvl w:ilvl="0" w:tentative="0">
      <w:start w:val="8"/>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6852A0"/>
    <w:rsid w:val="017D3C08"/>
    <w:rsid w:val="01A746F3"/>
    <w:rsid w:val="02C51D20"/>
    <w:rsid w:val="03930692"/>
    <w:rsid w:val="03D4408D"/>
    <w:rsid w:val="04C92FF4"/>
    <w:rsid w:val="05590D97"/>
    <w:rsid w:val="069B1278"/>
    <w:rsid w:val="06B84EC6"/>
    <w:rsid w:val="06F26EF4"/>
    <w:rsid w:val="07000E37"/>
    <w:rsid w:val="076641DD"/>
    <w:rsid w:val="077A6D35"/>
    <w:rsid w:val="078D0595"/>
    <w:rsid w:val="07FB97D1"/>
    <w:rsid w:val="080D4122"/>
    <w:rsid w:val="085B1DF0"/>
    <w:rsid w:val="08D65034"/>
    <w:rsid w:val="09236A9D"/>
    <w:rsid w:val="09B35DC1"/>
    <w:rsid w:val="0A7E50A7"/>
    <w:rsid w:val="0AD42FF7"/>
    <w:rsid w:val="0B053EC8"/>
    <w:rsid w:val="0B642054"/>
    <w:rsid w:val="0BB208C5"/>
    <w:rsid w:val="0C423125"/>
    <w:rsid w:val="0D2427C1"/>
    <w:rsid w:val="0E5D2B9E"/>
    <w:rsid w:val="0E6D4386"/>
    <w:rsid w:val="0F2A085F"/>
    <w:rsid w:val="0F7349CC"/>
    <w:rsid w:val="106E56DE"/>
    <w:rsid w:val="11B20219"/>
    <w:rsid w:val="126B66EF"/>
    <w:rsid w:val="127267ED"/>
    <w:rsid w:val="130D280B"/>
    <w:rsid w:val="132428BF"/>
    <w:rsid w:val="17676F00"/>
    <w:rsid w:val="17B616E5"/>
    <w:rsid w:val="17F07D94"/>
    <w:rsid w:val="1877372F"/>
    <w:rsid w:val="189B1ADC"/>
    <w:rsid w:val="18C33AC7"/>
    <w:rsid w:val="18DB79D7"/>
    <w:rsid w:val="18DF049C"/>
    <w:rsid w:val="18EC27B3"/>
    <w:rsid w:val="19027D91"/>
    <w:rsid w:val="19455480"/>
    <w:rsid w:val="1A0F73A5"/>
    <w:rsid w:val="1AFF79D0"/>
    <w:rsid w:val="1B2059B8"/>
    <w:rsid w:val="1B4E181C"/>
    <w:rsid w:val="1B6601DF"/>
    <w:rsid w:val="1B8F6A9A"/>
    <w:rsid w:val="1BAB328C"/>
    <w:rsid w:val="1BCE367C"/>
    <w:rsid w:val="1BDE2B69"/>
    <w:rsid w:val="1BF84BC7"/>
    <w:rsid w:val="1C4A0633"/>
    <w:rsid w:val="1D462851"/>
    <w:rsid w:val="1D667501"/>
    <w:rsid w:val="1DF602FB"/>
    <w:rsid w:val="1E0F132C"/>
    <w:rsid w:val="1F212A66"/>
    <w:rsid w:val="1F315D3A"/>
    <w:rsid w:val="1FFF5969"/>
    <w:rsid w:val="200D6146"/>
    <w:rsid w:val="20834E08"/>
    <w:rsid w:val="215A4D90"/>
    <w:rsid w:val="225F55CE"/>
    <w:rsid w:val="23E13ABE"/>
    <w:rsid w:val="24D3660E"/>
    <w:rsid w:val="24DB746F"/>
    <w:rsid w:val="25061E11"/>
    <w:rsid w:val="260E190B"/>
    <w:rsid w:val="266A177F"/>
    <w:rsid w:val="270615B9"/>
    <w:rsid w:val="270B1A4A"/>
    <w:rsid w:val="27727FFE"/>
    <w:rsid w:val="27773A27"/>
    <w:rsid w:val="298C6232"/>
    <w:rsid w:val="29990502"/>
    <w:rsid w:val="29E6061F"/>
    <w:rsid w:val="2A3E5AEE"/>
    <w:rsid w:val="2B7DC5E7"/>
    <w:rsid w:val="2BF47C3E"/>
    <w:rsid w:val="2D2449BD"/>
    <w:rsid w:val="2EB3162C"/>
    <w:rsid w:val="2EE465A5"/>
    <w:rsid w:val="2F142285"/>
    <w:rsid w:val="2F3DE142"/>
    <w:rsid w:val="2FAC4B1B"/>
    <w:rsid w:val="313E7D46"/>
    <w:rsid w:val="316C7C8A"/>
    <w:rsid w:val="31EE3102"/>
    <w:rsid w:val="31FB3A39"/>
    <w:rsid w:val="34190834"/>
    <w:rsid w:val="3505415D"/>
    <w:rsid w:val="35BE487C"/>
    <w:rsid w:val="365A03F2"/>
    <w:rsid w:val="36F6584D"/>
    <w:rsid w:val="3757F7CA"/>
    <w:rsid w:val="385D4246"/>
    <w:rsid w:val="396661E0"/>
    <w:rsid w:val="39D46840"/>
    <w:rsid w:val="39FC9D6E"/>
    <w:rsid w:val="3ADF145F"/>
    <w:rsid w:val="3AE4639A"/>
    <w:rsid w:val="3B697A90"/>
    <w:rsid w:val="3C1C2BDE"/>
    <w:rsid w:val="3CA073AF"/>
    <w:rsid w:val="3CE3375A"/>
    <w:rsid w:val="3DBF7571"/>
    <w:rsid w:val="3DC668D9"/>
    <w:rsid w:val="3EB7A014"/>
    <w:rsid w:val="3EC14D35"/>
    <w:rsid w:val="3F732F2F"/>
    <w:rsid w:val="3FBF7077"/>
    <w:rsid w:val="3FBFDA26"/>
    <w:rsid w:val="3FF3C106"/>
    <w:rsid w:val="3FFF4FC7"/>
    <w:rsid w:val="40353DED"/>
    <w:rsid w:val="40D02D3C"/>
    <w:rsid w:val="412D01AD"/>
    <w:rsid w:val="41852724"/>
    <w:rsid w:val="419C619B"/>
    <w:rsid w:val="42296E75"/>
    <w:rsid w:val="43243DE7"/>
    <w:rsid w:val="43F97ACA"/>
    <w:rsid w:val="45EA380F"/>
    <w:rsid w:val="4602561E"/>
    <w:rsid w:val="46460D56"/>
    <w:rsid w:val="46E13712"/>
    <w:rsid w:val="470E1B72"/>
    <w:rsid w:val="4792414F"/>
    <w:rsid w:val="479A5FB8"/>
    <w:rsid w:val="47B807F3"/>
    <w:rsid w:val="47E81BB1"/>
    <w:rsid w:val="47FC6910"/>
    <w:rsid w:val="48AD5966"/>
    <w:rsid w:val="4A623313"/>
    <w:rsid w:val="4A726690"/>
    <w:rsid w:val="4B1B6C71"/>
    <w:rsid w:val="4C281EF3"/>
    <w:rsid w:val="4CDD4B47"/>
    <w:rsid w:val="4CE12E15"/>
    <w:rsid w:val="4D312DA7"/>
    <w:rsid w:val="4D69924D"/>
    <w:rsid w:val="4F055FF2"/>
    <w:rsid w:val="4F77935B"/>
    <w:rsid w:val="4FC53A84"/>
    <w:rsid w:val="50CD3132"/>
    <w:rsid w:val="51993F9E"/>
    <w:rsid w:val="51D11D27"/>
    <w:rsid w:val="52184D14"/>
    <w:rsid w:val="525D300E"/>
    <w:rsid w:val="53681604"/>
    <w:rsid w:val="536979A6"/>
    <w:rsid w:val="55DFA0A0"/>
    <w:rsid w:val="561435A7"/>
    <w:rsid w:val="569F3D76"/>
    <w:rsid w:val="576818B0"/>
    <w:rsid w:val="57ED2858"/>
    <w:rsid w:val="57FA6D49"/>
    <w:rsid w:val="59143D47"/>
    <w:rsid w:val="593D44F2"/>
    <w:rsid w:val="59A71EE5"/>
    <w:rsid w:val="59CE51A9"/>
    <w:rsid w:val="59FF1B90"/>
    <w:rsid w:val="5A474332"/>
    <w:rsid w:val="5AD05F1E"/>
    <w:rsid w:val="5B152E64"/>
    <w:rsid w:val="5B7340B8"/>
    <w:rsid w:val="5BDFAB0E"/>
    <w:rsid w:val="5C32682B"/>
    <w:rsid w:val="5CDEEC0A"/>
    <w:rsid w:val="5D5F6243"/>
    <w:rsid w:val="5D7C6005"/>
    <w:rsid w:val="5DC77D97"/>
    <w:rsid w:val="5DD22168"/>
    <w:rsid w:val="5FE2B437"/>
    <w:rsid w:val="5FEF5520"/>
    <w:rsid w:val="5FF71960"/>
    <w:rsid w:val="60147D4F"/>
    <w:rsid w:val="60B34342"/>
    <w:rsid w:val="616B3E01"/>
    <w:rsid w:val="61DE4A37"/>
    <w:rsid w:val="62066B73"/>
    <w:rsid w:val="628C5B80"/>
    <w:rsid w:val="638C42D9"/>
    <w:rsid w:val="63D97827"/>
    <w:rsid w:val="64B45E83"/>
    <w:rsid w:val="651152FC"/>
    <w:rsid w:val="65324317"/>
    <w:rsid w:val="65593F66"/>
    <w:rsid w:val="65FEE4FC"/>
    <w:rsid w:val="66F40245"/>
    <w:rsid w:val="69221657"/>
    <w:rsid w:val="6A6715B2"/>
    <w:rsid w:val="6A726147"/>
    <w:rsid w:val="6B300A25"/>
    <w:rsid w:val="6B535F74"/>
    <w:rsid w:val="6B7A4DE0"/>
    <w:rsid w:val="6BDDE3A2"/>
    <w:rsid w:val="6C163263"/>
    <w:rsid w:val="6C264620"/>
    <w:rsid w:val="6CFECA5E"/>
    <w:rsid w:val="6D7E1522"/>
    <w:rsid w:val="6D95125A"/>
    <w:rsid w:val="6ED06DC1"/>
    <w:rsid w:val="6EFB2B5A"/>
    <w:rsid w:val="6EFD1050"/>
    <w:rsid w:val="6F3C07B7"/>
    <w:rsid w:val="6F474F0B"/>
    <w:rsid w:val="6F565074"/>
    <w:rsid w:val="6F6F6081"/>
    <w:rsid w:val="6F7F96C5"/>
    <w:rsid w:val="6FD5E3EE"/>
    <w:rsid w:val="6FFFA188"/>
    <w:rsid w:val="701934AE"/>
    <w:rsid w:val="714B2ECB"/>
    <w:rsid w:val="71D7CD63"/>
    <w:rsid w:val="72385629"/>
    <w:rsid w:val="731F0A75"/>
    <w:rsid w:val="73351169"/>
    <w:rsid w:val="73C30320"/>
    <w:rsid w:val="741831B5"/>
    <w:rsid w:val="758B557A"/>
    <w:rsid w:val="75C80649"/>
    <w:rsid w:val="762F7860"/>
    <w:rsid w:val="76D6577B"/>
    <w:rsid w:val="77CB17F7"/>
    <w:rsid w:val="77EF22B1"/>
    <w:rsid w:val="79BF61C2"/>
    <w:rsid w:val="79FC7325"/>
    <w:rsid w:val="7A6B5CE7"/>
    <w:rsid w:val="7AE7FB34"/>
    <w:rsid w:val="7AFF2F06"/>
    <w:rsid w:val="7B767570"/>
    <w:rsid w:val="7B778066"/>
    <w:rsid w:val="7BAF23D3"/>
    <w:rsid w:val="7BDA3581"/>
    <w:rsid w:val="7C7C68B8"/>
    <w:rsid w:val="7CADD60F"/>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EA38B2"/>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page number"/>
    <w:basedOn w:val="8"/>
    <w:qFormat/>
    <w:uiPriority w:val="0"/>
  </w:style>
  <w:style w:type="paragraph" w:customStyle="1" w:styleId="10">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15</Pages>
  <Words>5671</Words>
  <Characters>5940</Characters>
  <Lines>22</Lines>
  <Paragraphs>6</Paragraphs>
  <TotalTime>11</TotalTime>
  <ScaleCrop>false</ScaleCrop>
  <LinksUpToDate>false</LinksUpToDate>
  <CharactersWithSpaces>5982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银河</cp:lastModifiedBy>
  <cp:lastPrinted>2022-02-17T12:01:00Z</cp:lastPrinted>
  <dcterms:modified xsi:type="dcterms:W3CDTF">2025-02-25T06:40:25Z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eyJoZGlkIjoiNjUzYTRiNmRlN2E3OTUzY2I3YzViY2FiMTczODllZTAiLCJ1c2VySWQiOiI1OTY2NDg1MTIifQ==</vt:lpwstr>
  </property>
  <property fmtid="{D5CDD505-2E9C-101B-9397-08002B2CF9AE}" pid="4" name="ICV">
    <vt:lpwstr>65C0A0240C824AD28C206E5F46EB3A50_13</vt:lpwstr>
  </property>
</Properties>
</file>