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lang w:val="en-US" w:eastAsia="zh-CN"/>
        </w:rPr>
      </w:pPr>
      <w:r>
        <w:rPr>
          <w:rFonts w:hint="eastAsia"/>
          <w:b/>
          <w:sz w:val="44"/>
          <w:szCs w:val="44"/>
          <w:lang w:eastAsia="zh-CN"/>
        </w:rPr>
        <w:t>盘锦市</w:t>
      </w:r>
      <w:r>
        <w:rPr>
          <w:rFonts w:hint="eastAsia"/>
          <w:b/>
          <w:sz w:val="44"/>
          <w:szCs w:val="44"/>
          <w:lang w:val="en-US" w:eastAsia="zh-CN"/>
        </w:rPr>
        <w:t>机关事务中心2025年度</w:t>
      </w:r>
    </w:p>
    <w:p>
      <w:pPr>
        <w:spacing w:line="560" w:lineRule="exact"/>
        <w:jc w:val="center"/>
        <w:rPr>
          <w:rFonts w:hint="default" w:eastAsia="宋体"/>
          <w:b/>
          <w:sz w:val="44"/>
          <w:szCs w:val="44"/>
          <w:lang w:val="en-US" w:eastAsia="zh-CN"/>
        </w:rPr>
      </w:pPr>
      <w:r>
        <w:rPr>
          <w:rFonts w:hint="eastAsia"/>
          <w:b/>
          <w:sz w:val="44"/>
          <w:szCs w:val="44"/>
          <w:lang w:val="en-US" w:eastAsia="zh-CN"/>
        </w:rPr>
        <w:t>部门预算</w:t>
      </w: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both"/>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jc w:val="center"/>
        <w:rPr>
          <w:rFonts w:hint="eastAsia"/>
          <w:b/>
          <w:sz w:val="44"/>
          <w:szCs w:val="44"/>
        </w:rPr>
      </w:pPr>
    </w:p>
    <w:p>
      <w:pPr>
        <w:spacing w:line="560" w:lineRule="exact"/>
        <w:ind w:firstLine="3101" w:firstLineChars="700"/>
        <w:jc w:val="both"/>
        <w:rPr>
          <w:b/>
          <w:sz w:val="44"/>
          <w:szCs w:val="44"/>
        </w:rPr>
      </w:pPr>
      <w:r>
        <w:rPr>
          <w:rFonts w:hint="eastAsia"/>
          <w:b/>
          <w:sz w:val="44"/>
          <w:szCs w:val="44"/>
        </w:rPr>
        <w:t>目    录</w:t>
      </w:r>
    </w:p>
    <w:p>
      <w:pPr>
        <w:spacing w:line="560" w:lineRule="exact"/>
        <w:rPr>
          <w:b/>
          <w:sz w:val="44"/>
          <w:szCs w:val="44"/>
          <w:u w:val="single"/>
        </w:rPr>
      </w:pPr>
    </w:p>
    <w:p>
      <w:pPr>
        <w:spacing w:line="560" w:lineRule="exact"/>
        <w:rPr>
          <w:b/>
          <w:sz w:val="44"/>
          <w:szCs w:val="44"/>
          <w:u w:val="single"/>
        </w:rPr>
      </w:pPr>
    </w:p>
    <w:p>
      <w:pPr>
        <w:spacing w:line="560" w:lineRule="exact"/>
        <w:rPr>
          <w:rFonts w:ascii="黑体" w:hAnsi="黑体" w:eastAsia="黑体"/>
          <w:sz w:val="32"/>
          <w:szCs w:val="32"/>
        </w:rPr>
      </w:pPr>
      <w:r>
        <w:rPr>
          <w:rFonts w:hint="eastAsia" w:ascii="黑体" w:hAnsi="黑体" w:eastAsia="黑体"/>
          <w:sz w:val="32"/>
          <w:szCs w:val="32"/>
        </w:rPr>
        <w:t>第一部分</w:t>
      </w:r>
      <w:r>
        <w:rPr>
          <w:rFonts w:hint="eastAsia" w:ascii="黑体" w:hAnsi="黑体" w:eastAsia="黑体"/>
          <w:sz w:val="32"/>
          <w:szCs w:val="32"/>
          <w:lang w:val="en-US" w:eastAsia="zh-CN"/>
        </w:rPr>
        <w:t xml:space="preserve">  </w:t>
      </w:r>
      <w:r>
        <w:rPr>
          <w:rFonts w:hint="eastAsia" w:ascii="黑体" w:hAnsi="黑体" w:eastAsia="黑体"/>
          <w:sz w:val="32"/>
          <w:szCs w:val="32"/>
        </w:rPr>
        <w:t>部门预算公开管理文件</w:t>
      </w:r>
    </w:p>
    <w:p>
      <w:pPr>
        <w:spacing w:line="560" w:lineRule="exact"/>
        <w:rPr>
          <w:rFonts w:ascii="黑体" w:hAnsi="黑体" w:eastAsia="黑体"/>
          <w:sz w:val="32"/>
          <w:szCs w:val="32"/>
        </w:rPr>
      </w:pPr>
      <w:r>
        <w:rPr>
          <w:rFonts w:hint="eastAsia" w:ascii="黑体" w:hAnsi="黑体" w:eastAsia="黑体"/>
          <w:sz w:val="32"/>
          <w:szCs w:val="32"/>
        </w:rPr>
        <w:t xml:space="preserve">第二部分  </w:t>
      </w:r>
      <w:r>
        <w:rPr>
          <w:rFonts w:hint="eastAsia" w:ascii="黑体" w:hAnsi="黑体" w:eastAsia="黑体"/>
          <w:sz w:val="32"/>
          <w:szCs w:val="32"/>
          <w:lang w:eastAsia="zh-CN"/>
        </w:rPr>
        <w:t>盘锦市机关事务中心</w:t>
      </w:r>
      <w:r>
        <w:rPr>
          <w:rFonts w:hint="eastAsia" w:ascii="黑体" w:hAnsi="黑体" w:eastAsia="黑体"/>
          <w:sz w:val="32"/>
          <w:szCs w:val="32"/>
        </w:rPr>
        <w:t>概况</w:t>
      </w:r>
    </w:p>
    <w:p>
      <w:pPr>
        <w:spacing w:line="560" w:lineRule="exact"/>
        <w:ind w:firstLine="646" w:firstLineChars="200"/>
        <w:rPr>
          <w:rFonts w:ascii="仿宋_GB2312" w:hAnsi="黑体" w:eastAsia="仿宋_GB2312"/>
          <w:sz w:val="32"/>
          <w:szCs w:val="32"/>
        </w:rPr>
      </w:pPr>
      <w:r>
        <w:rPr>
          <w:rFonts w:hint="eastAsia" w:ascii="仿宋_GB2312" w:hAnsi="黑体" w:eastAsia="仿宋_GB2312"/>
          <w:sz w:val="32"/>
          <w:szCs w:val="32"/>
        </w:rPr>
        <w:t>一、</w:t>
      </w:r>
      <w:r>
        <w:rPr>
          <w:rFonts w:hint="eastAsia" w:ascii="仿宋_GB2312" w:hAnsi="黑体" w:eastAsia="仿宋_GB2312"/>
          <w:sz w:val="32"/>
          <w:szCs w:val="32"/>
          <w:lang w:eastAsia="zh-CN"/>
        </w:rPr>
        <w:t>部门</w:t>
      </w:r>
      <w:r>
        <w:rPr>
          <w:rFonts w:hint="eastAsia" w:ascii="仿宋_GB2312" w:hAnsi="黑体" w:eastAsia="仿宋_GB2312"/>
          <w:sz w:val="32"/>
          <w:szCs w:val="32"/>
        </w:rPr>
        <w:t>职责</w:t>
      </w:r>
    </w:p>
    <w:p>
      <w:pPr>
        <w:spacing w:line="560" w:lineRule="exact"/>
        <w:ind w:firstLine="646" w:firstLineChars="200"/>
        <w:rPr>
          <w:rFonts w:ascii="仿宋_GB2312" w:hAnsi="黑体" w:eastAsia="仿宋_GB2312"/>
          <w:sz w:val="32"/>
          <w:szCs w:val="32"/>
        </w:rPr>
      </w:pPr>
      <w:r>
        <w:rPr>
          <w:rFonts w:hint="eastAsia" w:ascii="仿宋_GB2312" w:hAnsi="黑体" w:eastAsia="仿宋_GB2312"/>
          <w:sz w:val="32"/>
          <w:szCs w:val="32"/>
        </w:rPr>
        <w:t>二、机构设置</w:t>
      </w:r>
    </w:p>
    <w:p>
      <w:pPr>
        <w:spacing w:line="560" w:lineRule="exact"/>
        <w:rPr>
          <w:rFonts w:ascii="黑体" w:hAnsi="黑体" w:eastAsia="黑体"/>
          <w:sz w:val="32"/>
          <w:szCs w:val="32"/>
        </w:rPr>
      </w:pPr>
      <w:r>
        <w:rPr>
          <w:rFonts w:hint="eastAsia" w:ascii="黑体" w:hAnsi="黑体" w:eastAsia="黑体"/>
          <w:sz w:val="32"/>
          <w:szCs w:val="32"/>
        </w:rPr>
        <w:t xml:space="preserve">第三部分  </w:t>
      </w:r>
      <w:r>
        <w:rPr>
          <w:rFonts w:hint="eastAsia" w:ascii="黑体" w:hAnsi="黑体" w:eastAsia="黑体"/>
          <w:sz w:val="32"/>
          <w:szCs w:val="32"/>
          <w:lang w:eastAsia="zh-CN"/>
        </w:rPr>
        <w:t>盘锦市机关事务中心</w:t>
      </w:r>
      <w:r>
        <w:rPr>
          <w:rFonts w:hint="eastAsia" w:ascii="黑体" w:hAnsi="黑体" w:eastAsia="黑体"/>
          <w:sz w:val="32"/>
          <w:szCs w:val="32"/>
          <w:lang w:val="en-US" w:eastAsia="zh-CN"/>
        </w:rPr>
        <w:t>2025</w:t>
      </w:r>
      <w:r>
        <w:rPr>
          <w:rFonts w:hint="eastAsia" w:ascii="黑体" w:hAnsi="黑体" w:eastAsia="黑体"/>
          <w:sz w:val="32"/>
          <w:szCs w:val="32"/>
        </w:rPr>
        <w:t>年部门预算情况说明</w:t>
      </w:r>
    </w:p>
    <w:p>
      <w:pPr>
        <w:spacing w:line="560" w:lineRule="exact"/>
        <w:rPr>
          <w:rFonts w:ascii="黑体" w:hAnsi="黑体" w:eastAsia="黑体"/>
          <w:sz w:val="32"/>
          <w:szCs w:val="32"/>
        </w:rPr>
      </w:pPr>
      <w:r>
        <w:rPr>
          <w:rFonts w:hint="eastAsia" w:ascii="黑体" w:hAnsi="黑体" w:eastAsia="黑体"/>
          <w:sz w:val="32"/>
          <w:szCs w:val="32"/>
        </w:rPr>
        <w:t>第四部分  名词解释</w:t>
      </w:r>
    </w:p>
    <w:p>
      <w:pPr>
        <w:spacing w:line="560" w:lineRule="exact"/>
        <w:rPr>
          <w:rFonts w:ascii="黑体" w:hAnsi="黑体" w:eastAsia="黑体"/>
          <w:sz w:val="32"/>
          <w:szCs w:val="32"/>
        </w:rPr>
      </w:pPr>
      <w:r>
        <w:rPr>
          <w:rFonts w:hint="eastAsia" w:ascii="黑体" w:hAnsi="黑体" w:eastAsia="黑体"/>
          <w:sz w:val="32"/>
          <w:szCs w:val="32"/>
        </w:rPr>
        <w:t xml:space="preserve">第五部分  </w:t>
      </w:r>
      <w:r>
        <w:rPr>
          <w:rFonts w:hint="eastAsia" w:ascii="黑体" w:hAnsi="黑体" w:eastAsia="黑体"/>
          <w:sz w:val="32"/>
          <w:szCs w:val="32"/>
          <w:lang w:val="en-US" w:eastAsia="zh-CN"/>
        </w:rPr>
        <w:t>2025</w:t>
      </w:r>
      <w:r>
        <w:rPr>
          <w:rFonts w:hint="eastAsia" w:ascii="黑体" w:hAnsi="黑体" w:eastAsia="黑体"/>
          <w:sz w:val="32"/>
          <w:szCs w:val="32"/>
        </w:rPr>
        <w:t>年</w:t>
      </w:r>
      <w:r>
        <w:rPr>
          <w:rFonts w:hint="eastAsia" w:ascii="黑体" w:hAnsi="黑体" w:eastAsia="黑体"/>
          <w:sz w:val="32"/>
          <w:szCs w:val="32"/>
          <w:lang w:eastAsia="zh-CN"/>
        </w:rPr>
        <w:t>盘锦市机关事务中心</w:t>
      </w:r>
      <w:r>
        <w:rPr>
          <w:rFonts w:hint="eastAsia" w:ascii="黑体" w:hAnsi="黑体" w:eastAsia="黑体"/>
          <w:sz w:val="32"/>
          <w:szCs w:val="32"/>
        </w:rPr>
        <w:t>部门预算</w:t>
      </w:r>
      <w:r>
        <w:rPr>
          <w:rFonts w:hint="eastAsia" w:ascii="黑体" w:hAnsi="黑体" w:eastAsia="黑体"/>
          <w:sz w:val="32"/>
          <w:szCs w:val="32"/>
          <w:lang w:eastAsia="zh-CN"/>
        </w:rPr>
        <w:t>公开</w:t>
      </w:r>
      <w:r>
        <w:rPr>
          <w:rFonts w:hint="eastAsia" w:ascii="黑体" w:hAnsi="黑体" w:eastAsia="黑体"/>
          <w:sz w:val="32"/>
          <w:szCs w:val="32"/>
        </w:rPr>
        <w:t>表</w:t>
      </w:r>
    </w:p>
    <w:p>
      <w:pPr>
        <w:numPr>
          <w:ilvl w:val="0"/>
          <w:numId w:val="0"/>
        </w:numPr>
        <w:spacing w:line="560" w:lineRule="exact"/>
        <w:ind w:left="540" w:leftChars="0"/>
        <w:rPr>
          <w:rFonts w:ascii="仿宋_GB2312" w:hAnsi="黑体" w:eastAsia="仿宋_GB2312"/>
          <w:sz w:val="32"/>
          <w:szCs w:val="32"/>
        </w:rPr>
      </w:pPr>
      <w:r>
        <w:rPr>
          <w:rFonts w:hint="eastAsia" w:ascii="仿宋_GB2312" w:hAnsi="黑体" w:eastAsia="仿宋_GB2312"/>
          <w:sz w:val="32"/>
          <w:szCs w:val="32"/>
          <w:lang w:eastAsia="zh-CN"/>
        </w:rPr>
        <w:t>一、</w:t>
      </w:r>
      <w:r>
        <w:rPr>
          <w:rFonts w:hint="eastAsia" w:ascii="仿宋_GB2312" w:hAnsi="黑体" w:eastAsia="仿宋_GB2312"/>
          <w:sz w:val="32"/>
          <w:szCs w:val="32"/>
        </w:rPr>
        <w:t>收支预算总表</w:t>
      </w:r>
    </w:p>
    <w:p>
      <w:pPr>
        <w:numPr>
          <w:ilvl w:val="0"/>
          <w:numId w:val="0"/>
        </w:numPr>
        <w:spacing w:line="560" w:lineRule="exact"/>
        <w:ind w:left="540" w:leftChars="0"/>
        <w:rPr>
          <w:rFonts w:ascii="仿宋_GB2312" w:hAnsi="黑体" w:eastAsia="仿宋_GB2312"/>
          <w:sz w:val="32"/>
          <w:szCs w:val="32"/>
        </w:rPr>
      </w:pPr>
      <w:r>
        <w:rPr>
          <w:rFonts w:hint="eastAsia" w:ascii="仿宋_GB2312" w:hAnsi="黑体" w:eastAsia="仿宋_GB2312"/>
          <w:sz w:val="32"/>
          <w:szCs w:val="32"/>
          <w:lang w:eastAsia="zh-CN"/>
        </w:rPr>
        <w:t>二、</w:t>
      </w:r>
      <w:r>
        <w:rPr>
          <w:rFonts w:hint="eastAsia" w:ascii="仿宋_GB2312" w:hAnsi="黑体" w:eastAsia="仿宋_GB2312"/>
          <w:sz w:val="32"/>
          <w:szCs w:val="32"/>
        </w:rPr>
        <w:t>收入预算总表</w:t>
      </w:r>
    </w:p>
    <w:p>
      <w:pPr>
        <w:numPr>
          <w:ilvl w:val="0"/>
          <w:numId w:val="0"/>
        </w:numPr>
        <w:spacing w:line="560" w:lineRule="exact"/>
        <w:ind w:left="540" w:leftChars="0"/>
        <w:rPr>
          <w:rFonts w:ascii="仿宋_GB2312" w:hAnsi="黑体" w:eastAsia="仿宋_GB2312"/>
          <w:sz w:val="32"/>
          <w:szCs w:val="32"/>
        </w:rPr>
      </w:pPr>
      <w:r>
        <w:rPr>
          <w:rFonts w:hint="eastAsia" w:ascii="仿宋_GB2312" w:hAnsi="黑体" w:eastAsia="仿宋_GB2312"/>
          <w:sz w:val="32"/>
          <w:szCs w:val="32"/>
          <w:lang w:eastAsia="zh-CN"/>
        </w:rPr>
        <w:t>三、</w:t>
      </w:r>
      <w:r>
        <w:rPr>
          <w:rFonts w:hint="eastAsia" w:ascii="仿宋_GB2312" w:hAnsi="黑体" w:eastAsia="仿宋_GB2312"/>
          <w:sz w:val="32"/>
          <w:szCs w:val="32"/>
        </w:rPr>
        <w:t>支出预算总表</w:t>
      </w:r>
    </w:p>
    <w:p>
      <w:pPr>
        <w:numPr>
          <w:ilvl w:val="0"/>
          <w:numId w:val="0"/>
        </w:numPr>
        <w:spacing w:line="560" w:lineRule="exact"/>
        <w:ind w:left="540" w:leftChars="0"/>
        <w:rPr>
          <w:rFonts w:ascii="仿宋_GB2312" w:hAnsi="黑体" w:eastAsia="仿宋_GB2312"/>
          <w:sz w:val="32"/>
          <w:szCs w:val="32"/>
        </w:rPr>
      </w:pPr>
      <w:r>
        <w:rPr>
          <w:rFonts w:hint="eastAsia" w:ascii="仿宋_GB2312" w:hAnsi="黑体" w:eastAsia="仿宋_GB2312"/>
          <w:sz w:val="32"/>
          <w:szCs w:val="32"/>
          <w:lang w:eastAsia="zh-CN"/>
        </w:rPr>
        <w:t>四、</w:t>
      </w:r>
      <w:r>
        <w:rPr>
          <w:rFonts w:hint="eastAsia" w:ascii="仿宋_GB2312" w:hAnsi="黑体" w:eastAsia="仿宋_GB2312"/>
          <w:sz w:val="32"/>
          <w:szCs w:val="32"/>
        </w:rPr>
        <w:t>财政拨款收支预算总表</w:t>
      </w:r>
    </w:p>
    <w:p>
      <w:pPr>
        <w:numPr>
          <w:ilvl w:val="0"/>
          <w:numId w:val="0"/>
        </w:numPr>
        <w:spacing w:line="560" w:lineRule="exact"/>
        <w:ind w:left="540" w:leftChars="0"/>
        <w:rPr>
          <w:rFonts w:ascii="仿宋_GB2312" w:hAnsi="黑体" w:eastAsia="仿宋_GB2312"/>
          <w:sz w:val="32"/>
          <w:szCs w:val="32"/>
        </w:rPr>
      </w:pPr>
      <w:r>
        <w:rPr>
          <w:rFonts w:hint="eastAsia" w:ascii="仿宋_GB2312" w:hAnsi="黑体" w:eastAsia="仿宋_GB2312"/>
          <w:sz w:val="32"/>
          <w:szCs w:val="32"/>
          <w:lang w:eastAsia="zh-CN"/>
        </w:rPr>
        <w:t>五、</w:t>
      </w:r>
      <w:r>
        <w:rPr>
          <w:rFonts w:hint="eastAsia" w:ascii="仿宋_GB2312" w:hAnsi="黑体" w:eastAsia="仿宋_GB2312"/>
          <w:sz w:val="32"/>
          <w:szCs w:val="32"/>
        </w:rPr>
        <w:t>一般公共预算支出表</w:t>
      </w:r>
    </w:p>
    <w:p>
      <w:pPr>
        <w:numPr>
          <w:ilvl w:val="0"/>
          <w:numId w:val="0"/>
        </w:numPr>
        <w:spacing w:line="560" w:lineRule="exact"/>
        <w:ind w:left="540" w:leftChars="0"/>
        <w:rPr>
          <w:rFonts w:ascii="仿宋_GB2312" w:hAnsi="黑体" w:eastAsia="仿宋_GB2312"/>
          <w:sz w:val="32"/>
          <w:szCs w:val="32"/>
        </w:rPr>
      </w:pPr>
      <w:r>
        <w:rPr>
          <w:rFonts w:hint="eastAsia" w:ascii="仿宋_GB2312" w:hAnsi="黑体" w:eastAsia="仿宋_GB2312"/>
          <w:sz w:val="32"/>
          <w:szCs w:val="32"/>
          <w:lang w:eastAsia="zh-CN"/>
        </w:rPr>
        <w:t>六、</w:t>
      </w:r>
      <w:r>
        <w:rPr>
          <w:rFonts w:hint="eastAsia" w:ascii="仿宋_GB2312" w:hAnsi="黑体" w:eastAsia="仿宋_GB2312"/>
          <w:sz w:val="32"/>
          <w:szCs w:val="32"/>
        </w:rPr>
        <w:t>一般公共预算基本支出表</w:t>
      </w:r>
    </w:p>
    <w:p>
      <w:pPr>
        <w:numPr>
          <w:ilvl w:val="0"/>
          <w:numId w:val="0"/>
        </w:numPr>
        <w:spacing w:line="560" w:lineRule="exact"/>
        <w:ind w:left="540" w:leftChars="0"/>
        <w:rPr>
          <w:rFonts w:ascii="仿宋_GB2312" w:hAnsi="黑体" w:eastAsia="仿宋_GB2312"/>
          <w:sz w:val="32"/>
          <w:szCs w:val="32"/>
        </w:rPr>
      </w:pPr>
      <w:r>
        <w:rPr>
          <w:rFonts w:hint="eastAsia" w:ascii="仿宋_GB2312" w:hAnsi="黑体" w:eastAsia="仿宋_GB2312"/>
          <w:sz w:val="32"/>
          <w:szCs w:val="32"/>
          <w:lang w:eastAsia="zh-CN"/>
        </w:rPr>
        <w:t>七、财政拨款</w:t>
      </w:r>
      <w:r>
        <w:rPr>
          <w:rFonts w:hint="eastAsia" w:ascii="仿宋_GB2312" w:hAnsi="黑体" w:eastAsia="仿宋_GB2312"/>
          <w:sz w:val="32"/>
          <w:szCs w:val="32"/>
        </w:rPr>
        <w:t>预算“三公”经费支出表</w:t>
      </w:r>
    </w:p>
    <w:p>
      <w:pPr>
        <w:numPr>
          <w:ilvl w:val="0"/>
          <w:numId w:val="1"/>
        </w:numPr>
        <w:tabs>
          <w:tab w:val="left" w:pos="1260"/>
        </w:tabs>
        <w:spacing w:line="560" w:lineRule="exact"/>
        <w:ind w:left="540"/>
        <w:rPr>
          <w:rFonts w:ascii="仿宋_GB2312" w:hAnsi="宋体" w:eastAsia="仿宋_GB2312" w:cs="宋体"/>
          <w:sz w:val="32"/>
          <w:szCs w:val="32"/>
        </w:rPr>
      </w:pPr>
      <w:r>
        <w:rPr>
          <w:rFonts w:hint="eastAsia" w:ascii="仿宋_GB2312" w:hAnsi="宋体" w:eastAsia="仿宋_GB2312" w:cs="宋体"/>
          <w:sz w:val="32"/>
          <w:szCs w:val="32"/>
        </w:rPr>
        <w:t>政府性基金预算支出表</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项目支出预算表</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支出功能分类预算表</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支出经济分类预算表（政府预算）</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支出经济分类预算表（部门预算）</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债务支出预算表</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政府采购支出预算表</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政府购买服务支出预算表</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部门（单位）整体绩效目标表</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部门预算项目（政策）绩效目标表</w:t>
      </w:r>
    </w:p>
    <w:p>
      <w:pPr>
        <w:numPr>
          <w:ilvl w:val="0"/>
          <w:numId w:val="1"/>
        </w:numPr>
        <w:tabs>
          <w:tab w:val="left" w:pos="1260"/>
        </w:tabs>
        <w:spacing w:line="560" w:lineRule="exact"/>
        <w:ind w:left="540"/>
        <w:rPr>
          <w:rFonts w:ascii="仿宋_GB2312" w:hAnsi="黑体" w:eastAsia="仿宋_GB2312"/>
          <w:sz w:val="32"/>
          <w:szCs w:val="32"/>
        </w:rPr>
      </w:pPr>
      <w:r>
        <w:rPr>
          <w:rFonts w:hint="eastAsia" w:ascii="仿宋_GB2312" w:hAnsi="黑体" w:eastAsia="仿宋_GB2312"/>
          <w:sz w:val="32"/>
          <w:szCs w:val="32"/>
        </w:rPr>
        <w:t>部门管理专项资金预算表</w:t>
      </w:r>
    </w:p>
    <w:p>
      <w:pPr>
        <w:spacing w:line="560" w:lineRule="exact"/>
        <w:rPr>
          <w:rFonts w:ascii="黑体" w:hAnsi="黑体" w:eastAsia="黑体"/>
          <w:sz w:val="32"/>
          <w:szCs w:val="32"/>
        </w:rPr>
      </w:pPr>
      <w:r>
        <w:rPr>
          <w:rFonts w:hint="eastAsia" w:ascii="黑体" w:hAnsi="黑体" w:eastAsia="黑体"/>
          <w:sz w:val="32"/>
          <w:szCs w:val="32"/>
        </w:rPr>
        <w:t>　</w:t>
      </w: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宋体" w:hAnsi="宋体"/>
          <w:b/>
          <w:sz w:val="36"/>
          <w:szCs w:val="36"/>
        </w:rPr>
      </w:pPr>
    </w:p>
    <w:p>
      <w:pPr>
        <w:spacing w:line="560" w:lineRule="exact"/>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pStyle w:val="2"/>
      </w:pPr>
    </w:p>
    <w:p>
      <w:pPr>
        <w:spacing w:line="560" w:lineRule="exact"/>
        <w:jc w:val="center"/>
        <w:rPr>
          <w:rFonts w:ascii="宋体" w:hAnsi="宋体"/>
          <w:b/>
          <w:sz w:val="36"/>
          <w:szCs w:val="36"/>
        </w:rPr>
      </w:pPr>
      <w:r>
        <w:rPr>
          <w:rFonts w:hint="eastAsia" w:ascii="宋体" w:hAnsi="宋体"/>
          <w:b/>
          <w:sz w:val="36"/>
          <w:szCs w:val="36"/>
        </w:rPr>
        <w:t>第一部分　部门预算公开管理文件</w:t>
      </w:r>
    </w:p>
    <w:p>
      <w:pPr>
        <w:spacing w:line="560" w:lineRule="exact"/>
        <w:jc w:val="center"/>
        <w:rPr>
          <w:rFonts w:ascii="宋体" w:hAnsi="宋体"/>
          <w:b/>
          <w:sz w:val="36"/>
          <w:szCs w:val="36"/>
        </w:rPr>
      </w:pPr>
    </w:p>
    <w:p>
      <w:pPr>
        <w:spacing w:line="540" w:lineRule="exact"/>
        <w:ind w:firstLine="620" w:firstLineChars="200"/>
        <w:jc w:val="left"/>
        <w:rPr>
          <w:rFonts w:hint="eastAsia" w:ascii="仿宋_GB2312" w:hAnsi="仿宋_GB2312" w:eastAsia="仿宋_GB2312" w:cs="仿宋_GB2312"/>
          <w:b w:val="0"/>
          <w:bCs/>
          <w:w w:val="96"/>
          <w:sz w:val="32"/>
          <w:szCs w:val="32"/>
        </w:rPr>
      </w:pPr>
      <w:r>
        <w:rPr>
          <w:rFonts w:hint="eastAsia" w:ascii="仿宋_GB2312" w:hAnsi="仿宋_GB2312" w:eastAsia="仿宋_GB2312" w:cs="仿宋_GB2312"/>
          <w:b w:val="0"/>
          <w:bCs/>
          <w:w w:val="96"/>
          <w:sz w:val="32"/>
          <w:szCs w:val="32"/>
        </w:rPr>
        <w:t>1.《关于切实做好2025年市县预算公开</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b w:val="0"/>
          <w:bCs/>
          <w:w w:val="96"/>
          <w:sz w:val="32"/>
          <w:szCs w:val="32"/>
        </w:rPr>
        <w:t>的通知》（辽财预〔2025〕1号）</w:t>
      </w:r>
    </w:p>
    <w:p>
      <w:pPr>
        <w:ind w:firstLine="620" w:firstLineChars="200"/>
        <w:rPr>
          <w:rFonts w:hint="eastAsia" w:ascii="仿宋_GB2312" w:hAnsi="仿宋_GB2312" w:eastAsia="仿宋_GB2312" w:cs="仿宋_GB2312"/>
          <w:b w:val="0"/>
          <w:bCs/>
          <w:w w:val="96"/>
          <w:sz w:val="32"/>
          <w:szCs w:val="32"/>
        </w:rPr>
      </w:pPr>
      <w:r>
        <w:rPr>
          <w:rFonts w:hint="eastAsia" w:ascii="仿宋_GB2312" w:hAnsi="仿宋_GB2312" w:eastAsia="仿宋_GB2312" w:cs="仿宋_GB2312"/>
          <w:b w:val="0"/>
          <w:bCs/>
          <w:w w:val="96"/>
          <w:sz w:val="32"/>
          <w:szCs w:val="32"/>
        </w:rPr>
        <w:t>2.《关于印发盘锦市财政预决算领域基层政务公开标准指引的通知》（盘财预〔2021〕253号）</w:t>
      </w:r>
    </w:p>
    <w:p>
      <w:pPr>
        <w:rPr>
          <w:rFonts w:ascii="宋体" w:hAnsi="宋体"/>
          <w:b/>
          <w:sz w:val="36"/>
          <w:szCs w:val="36"/>
        </w:rPr>
      </w:pPr>
      <w:r>
        <w:rPr>
          <w:rFonts w:hint="eastAsia" w:ascii="仿宋" w:hAnsi="仿宋" w:eastAsia="仿宋"/>
          <w:sz w:val="32"/>
          <w:szCs w:val="32"/>
        </w:rPr>
        <w:t>　　</w:t>
      </w:r>
      <w:r>
        <w:rPr>
          <w:rFonts w:hint="eastAsia" w:ascii="仿宋_GB2312" w:hAnsi="仿宋_GB2312" w:eastAsia="仿宋_GB2312" w:cs="仿宋_GB2312"/>
          <w:sz w:val="32"/>
          <w:szCs w:val="32"/>
        </w:rPr>
        <w:t>　</w:t>
      </w:r>
    </w:p>
    <w:p>
      <w:pPr>
        <w:spacing w:line="560" w:lineRule="exact"/>
        <w:jc w:val="center"/>
        <w:rPr>
          <w:rFonts w:ascii="宋体" w:hAnsi="宋体"/>
          <w:b/>
          <w:sz w:val="36"/>
          <w:szCs w:val="36"/>
        </w:rPr>
      </w:pPr>
      <w:r>
        <w:rPr>
          <w:rFonts w:hint="eastAsia" w:ascii="宋体" w:hAnsi="宋体"/>
          <w:b/>
          <w:sz w:val="36"/>
          <w:szCs w:val="36"/>
        </w:rPr>
        <w:t xml:space="preserve">第二部分 </w:t>
      </w:r>
      <w:r>
        <w:rPr>
          <w:rFonts w:hint="eastAsia" w:ascii="宋体" w:hAnsi="宋体"/>
          <w:b/>
          <w:sz w:val="36"/>
          <w:szCs w:val="36"/>
          <w:lang w:val="en-US" w:eastAsia="zh-CN"/>
        </w:rPr>
        <w:t xml:space="preserve"> </w:t>
      </w:r>
      <w:r>
        <w:rPr>
          <w:rFonts w:hint="eastAsia" w:ascii="宋体" w:hAnsi="宋体"/>
          <w:b/>
          <w:sz w:val="36"/>
          <w:szCs w:val="36"/>
          <w:lang w:eastAsia="zh-CN"/>
        </w:rPr>
        <w:t>盘锦市机关事务中心</w:t>
      </w:r>
      <w:r>
        <w:rPr>
          <w:rFonts w:hint="eastAsia" w:ascii="宋体" w:hAnsi="宋体"/>
          <w:b/>
          <w:sz w:val="36"/>
          <w:szCs w:val="36"/>
        </w:rPr>
        <w:t>概况</w:t>
      </w:r>
    </w:p>
    <w:p>
      <w:pPr>
        <w:spacing w:line="560" w:lineRule="exact"/>
        <w:ind w:firstLine="646" w:firstLineChars="200"/>
        <w:jc w:val="left"/>
        <w:rPr>
          <w:rFonts w:ascii="黑体" w:eastAsia="黑体"/>
          <w:sz w:val="32"/>
          <w:szCs w:val="32"/>
        </w:rPr>
      </w:pPr>
    </w:p>
    <w:p>
      <w:pPr>
        <w:spacing w:line="560" w:lineRule="exact"/>
        <w:ind w:firstLine="646" w:firstLineChars="200"/>
        <w:jc w:val="left"/>
        <w:rPr>
          <w:rFonts w:ascii="黑体" w:eastAsia="黑体"/>
          <w:sz w:val="32"/>
          <w:szCs w:val="32"/>
        </w:rPr>
      </w:pPr>
      <w:r>
        <w:rPr>
          <w:rFonts w:hint="eastAsia" w:ascii="黑体" w:eastAsia="黑体"/>
          <w:sz w:val="32"/>
          <w:szCs w:val="32"/>
        </w:rPr>
        <w:t>一、部门职责</w:t>
      </w:r>
    </w:p>
    <w:p>
      <w:pPr>
        <w:spacing w:line="560" w:lineRule="exact"/>
        <w:ind w:firstLine="660"/>
        <w:rPr>
          <w:rFonts w:hint="default" w:ascii="仿宋_GB2312" w:hAnsi="宋体" w:eastAsia="仿宋_GB2312"/>
          <w:sz w:val="32"/>
          <w:szCs w:val="32"/>
          <w:highlight w:val="none"/>
        </w:rPr>
      </w:pPr>
      <w:r>
        <w:rPr>
          <w:rFonts w:hint="default" w:ascii="仿宋_GB2312" w:hAnsi="宋体" w:eastAsia="仿宋_GB2312"/>
          <w:sz w:val="32"/>
          <w:szCs w:val="32"/>
          <w:highlight w:val="none"/>
          <w:lang w:val="en-US" w:eastAsia="zh-CN"/>
        </w:rPr>
        <w:t>1. 参与研究国家、省有关机关事务管理的法规和规章制度，提出我市贯彻落实的建议；承担《机关事务管理条例》《党政机关厉行节约反对浪费条例》《党政机关办公用房管理办法》《盘锦市市本级国内公务接待实施细则》《公共机构节能条例》《党政机关公务用车管理办法》等组织实施的事务性工作；为市直机关和事业单位运转提供支持和服务保障。</w:t>
      </w:r>
    </w:p>
    <w:p>
      <w:pPr>
        <w:spacing w:line="560" w:lineRule="exact"/>
        <w:ind w:firstLine="660"/>
        <w:rPr>
          <w:rFonts w:hint="default" w:ascii="仿宋_GB2312" w:hAnsi="宋体" w:eastAsia="仿宋_GB2312"/>
          <w:sz w:val="32"/>
          <w:szCs w:val="32"/>
          <w:highlight w:val="none"/>
        </w:rPr>
      </w:pPr>
      <w:r>
        <w:rPr>
          <w:rFonts w:hint="default" w:ascii="仿宋_GB2312" w:hAnsi="宋体" w:eastAsia="仿宋_GB2312"/>
          <w:sz w:val="32"/>
          <w:szCs w:val="32"/>
          <w:highlight w:val="none"/>
          <w:lang w:val="en-US" w:eastAsia="zh-CN"/>
        </w:rPr>
        <w:t>2. 承担对外友好交流和社会事业合作的事务性、服务性工作；为市友协会员、理事的日常联络提供服务保障。</w:t>
      </w:r>
    </w:p>
    <w:p>
      <w:pPr>
        <w:spacing w:line="560" w:lineRule="exact"/>
        <w:ind w:firstLine="660"/>
        <w:rPr>
          <w:rFonts w:hint="default" w:ascii="仿宋_GB2312" w:hAnsi="宋体" w:eastAsia="仿宋_GB2312"/>
          <w:sz w:val="32"/>
          <w:szCs w:val="32"/>
          <w:highlight w:val="none"/>
        </w:rPr>
      </w:pPr>
      <w:r>
        <w:rPr>
          <w:rFonts w:hint="default" w:ascii="仿宋_GB2312" w:hAnsi="宋体" w:eastAsia="仿宋_GB2312"/>
          <w:sz w:val="32"/>
          <w:szCs w:val="32"/>
          <w:highlight w:val="none"/>
          <w:lang w:val="en-US" w:eastAsia="zh-CN"/>
        </w:rPr>
        <w:t>3. 承担市委、市政府交办的其他工作。</w:t>
      </w:r>
    </w:p>
    <w:p>
      <w:pPr>
        <w:spacing w:line="560" w:lineRule="exact"/>
        <w:ind w:firstLine="646" w:firstLineChars="200"/>
        <w:jc w:val="left"/>
        <w:rPr>
          <w:rFonts w:ascii="黑体" w:eastAsia="黑体"/>
          <w:sz w:val="32"/>
          <w:szCs w:val="32"/>
        </w:rPr>
      </w:pPr>
      <w:r>
        <w:rPr>
          <w:rFonts w:hint="eastAsia" w:ascii="黑体" w:eastAsia="黑体"/>
          <w:sz w:val="32"/>
          <w:szCs w:val="32"/>
        </w:rPr>
        <w:t>二、机构设置</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（一）盘锦市机关事务中心设7个内设机构（相当于正科级）：</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1. 办公室</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负责党群和纪检工作；负责中心的文电、会务、机要、保密、信息、档案、资产、信访、文字综合等工作；负责机构编制、人事管理、离退休干部服务等工作；参与全市机关事务工作有关政策、规章制度制定，承担机关事务改革的事务性工作。</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2. 财务审计科</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参与全市机关事务经费有关制度及标准化制定等工作；为市委、市人大、市政府、市政协公务接待经费、市机关车队运行经费、市直机关事务社会化购买服务经费的管理和审计提供服务保障；负责中心的财务工作。</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3. 社会化服务保障科</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参与市直机关社会化服务有关政策和标准化制定等工作；为市委、市人大、市政府、市政协和市直机关社会化服务提供服务保障；承担机关事务社会化购买服务的监督、考核等的事务性工作。</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4. 资产科</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参与全市办公用房等国有资产管理办法和标准化制定等工作；承担全市党政机关办公用房等国有资产管理的事务性工作。</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5. 接待科</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参与全市公务接待和会务服务标准化制定等工作；承担来我市副省级以上领导、市级以上大型会议和重要公务活动的接待服务工作。</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6. 公共节能科</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参与全市公共机构节能标准化的制定、实施和监督等工作；负责全市公共机构节能平台建设与管理，开展节能宣传工作，为全市公共机构节能工作提供技术支持和服务保障。</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7. 公务用车科</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参与全市公务用车标准化的制定、实施和监督等工作；承担全市公务用车管理的事务性工作；负责全市车辆管理平台的建设与管理。</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（二）盘锦市机关事务中心设2个下属分支机构（相当于正科级）：</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1. 盘锦市机关事务中心市人大分中心</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负责市人大综合服务保障的事务性工作；承担对外友好交流和社会事业合作的事务性、服务性工作；为市友协会员、理事的日常联络提供服务保障。</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2. 盘锦市机关事务中心市政协分中心</w:t>
      </w:r>
    </w:p>
    <w:p>
      <w:pPr>
        <w:spacing w:line="560" w:lineRule="exact"/>
        <w:ind w:firstLine="660"/>
        <w:rPr>
          <w:rFonts w:hint="default" w:ascii="仿宋_GB2312" w:hAnsi="宋体" w:eastAsia="仿宋_GB2312"/>
          <w:sz w:val="32"/>
          <w:szCs w:val="32"/>
          <w:highlight w:val="none"/>
          <w:lang w:val="en-US" w:eastAsia="zh-CN"/>
        </w:rPr>
      </w:pPr>
      <w:r>
        <w:rPr>
          <w:rFonts w:hint="default" w:ascii="仿宋_GB2312" w:hAnsi="宋体" w:eastAsia="仿宋_GB2312"/>
          <w:sz w:val="32"/>
          <w:szCs w:val="32"/>
          <w:highlight w:val="none"/>
          <w:lang w:val="en-US" w:eastAsia="zh-CN"/>
        </w:rPr>
        <w:t>负责市政协综合服务保障的事务性工作。</w:t>
      </w:r>
    </w:p>
    <w:p>
      <w:pPr>
        <w:pStyle w:val="2"/>
        <w:ind w:firstLine="646" w:firstLineChars="200"/>
        <w:rPr>
          <w:rFonts w:hint="default"/>
          <w:lang w:val="en-US" w:eastAsia="zh-CN"/>
        </w:rPr>
      </w:pPr>
      <w:r>
        <w:rPr>
          <w:rFonts w:hint="eastAsia" w:ascii="仿宋_GB2312" w:hAnsi="宋体" w:eastAsia="仿宋_GB2312"/>
          <w:sz w:val="32"/>
          <w:szCs w:val="32"/>
          <w:highlight w:val="none"/>
          <w:lang w:val="en-US" w:eastAsia="zh-CN"/>
        </w:rPr>
        <w:t>（三）</w:t>
      </w:r>
      <w:r>
        <w:rPr>
          <w:rFonts w:hint="default" w:ascii="仿宋_GB2312" w:hAnsi="宋体" w:eastAsia="仿宋_GB2312"/>
          <w:sz w:val="32"/>
          <w:szCs w:val="32"/>
          <w:highlight w:val="none"/>
          <w:lang w:val="en-US" w:eastAsia="zh-CN"/>
        </w:rPr>
        <w:t>部门预算单位</w:t>
      </w:r>
      <w:r>
        <w:rPr>
          <w:rFonts w:hint="eastAsia" w:ascii="仿宋_GB2312" w:hAnsi="宋体" w:eastAsia="仿宋_GB2312"/>
          <w:sz w:val="32"/>
          <w:szCs w:val="32"/>
          <w:highlight w:val="none"/>
          <w:lang w:val="en-US" w:eastAsia="zh-CN"/>
        </w:rPr>
        <w:t>构成</w:t>
      </w:r>
    </w:p>
    <w:p>
      <w:pPr>
        <w:spacing w:line="560" w:lineRule="exact"/>
        <w:ind w:firstLine="660"/>
        <w:rPr>
          <w:rFonts w:hint="default" w:ascii="仿宋_GB2312" w:hAnsi="宋体" w:eastAsia="仿宋_GB2312"/>
          <w:sz w:val="32"/>
          <w:szCs w:val="32"/>
          <w:highlight w:val="none"/>
          <w:lang w:val="en-US" w:eastAsia="zh-CN"/>
        </w:rPr>
      </w:pPr>
      <w:r>
        <w:rPr>
          <w:rFonts w:hint="eastAsia" w:ascii="仿宋_GB2312" w:hAnsi="宋体" w:eastAsia="仿宋_GB2312"/>
          <w:sz w:val="32"/>
          <w:szCs w:val="32"/>
          <w:highlight w:val="none"/>
          <w:lang w:val="en-US" w:eastAsia="zh-CN"/>
        </w:rPr>
        <w:t>纳入2025年预算编制范围的预算单位：</w:t>
      </w:r>
      <w:r>
        <w:rPr>
          <w:rFonts w:hint="default" w:ascii="仿宋_GB2312" w:hAnsi="宋体" w:eastAsia="仿宋_GB2312"/>
          <w:sz w:val="32"/>
          <w:szCs w:val="32"/>
          <w:highlight w:val="none"/>
          <w:lang w:val="en-US" w:eastAsia="zh-CN"/>
        </w:rPr>
        <w:t>盘锦市机关事务中心（本级）</w:t>
      </w:r>
    </w:p>
    <w:p>
      <w:pPr>
        <w:spacing w:line="560" w:lineRule="exact"/>
        <w:jc w:val="both"/>
        <w:rPr>
          <w:rFonts w:ascii="宋体" w:hAnsi="宋体"/>
          <w:b/>
          <w:sz w:val="36"/>
          <w:szCs w:val="36"/>
        </w:rPr>
      </w:pPr>
    </w:p>
    <w:p>
      <w:pPr>
        <w:numPr>
          <w:ilvl w:val="0"/>
          <w:numId w:val="0"/>
        </w:numPr>
        <w:spacing w:line="560" w:lineRule="exact"/>
        <w:jc w:val="center"/>
        <w:rPr>
          <w:rFonts w:ascii="宋体" w:hAnsi="宋体"/>
          <w:b/>
          <w:sz w:val="36"/>
          <w:szCs w:val="36"/>
        </w:rPr>
      </w:pPr>
      <w:r>
        <w:rPr>
          <w:rFonts w:hint="eastAsia" w:ascii="宋体" w:hAnsi="宋体"/>
          <w:b/>
          <w:sz w:val="36"/>
          <w:szCs w:val="36"/>
          <w:lang w:val="en-US" w:eastAsia="zh-CN"/>
        </w:rPr>
        <w:t xml:space="preserve">第三部分 </w:t>
      </w:r>
      <w:r>
        <w:rPr>
          <w:rFonts w:hint="eastAsia" w:ascii="宋体" w:hAnsi="宋体"/>
          <w:b/>
          <w:sz w:val="36"/>
          <w:szCs w:val="36"/>
          <w:lang w:eastAsia="zh-CN"/>
        </w:rPr>
        <w:t>盘锦市机关事务中心</w:t>
      </w:r>
      <w:r>
        <w:rPr>
          <w:rFonts w:hint="eastAsia" w:ascii="宋体" w:hAnsi="宋体"/>
          <w:b/>
          <w:sz w:val="36"/>
          <w:szCs w:val="36"/>
          <w:lang w:val="en-US" w:eastAsia="zh-CN"/>
        </w:rPr>
        <w:t>2025</w:t>
      </w:r>
      <w:r>
        <w:rPr>
          <w:rFonts w:hint="eastAsia" w:ascii="宋体" w:hAnsi="宋体"/>
          <w:b/>
          <w:sz w:val="36"/>
          <w:szCs w:val="36"/>
        </w:rPr>
        <w:t>年部门预算</w:t>
      </w:r>
      <w:r>
        <w:rPr>
          <w:rFonts w:hint="eastAsia" w:ascii="宋体" w:hAnsi="宋体"/>
          <w:b/>
          <w:sz w:val="36"/>
          <w:szCs w:val="36"/>
          <w:lang w:val="en-US" w:eastAsia="zh-CN"/>
        </w:rPr>
        <w:t xml:space="preserve">   </w:t>
      </w:r>
      <w:r>
        <w:rPr>
          <w:rFonts w:hint="eastAsia" w:ascii="宋体" w:hAnsi="宋体"/>
          <w:b/>
          <w:sz w:val="36"/>
          <w:szCs w:val="36"/>
        </w:rPr>
        <w:t>情况说明</w:t>
      </w:r>
    </w:p>
    <w:p>
      <w:pPr>
        <w:spacing w:line="560" w:lineRule="exact"/>
        <w:jc w:val="center"/>
        <w:rPr>
          <w:rFonts w:ascii="宋体" w:hAnsi="宋体"/>
          <w:b/>
          <w:sz w:val="36"/>
          <w:szCs w:val="36"/>
        </w:rPr>
      </w:pPr>
    </w:p>
    <w:p>
      <w:pPr>
        <w:spacing w:line="560" w:lineRule="exact"/>
        <w:ind w:firstLine="632" w:firstLineChars="196"/>
        <w:rPr>
          <w:rFonts w:ascii="黑体" w:hAnsi="黑体" w:eastAsia="黑体"/>
          <w:sz w:val="32"/>
          <w:szCs w:val="32"/>
          <w:highlight w:val="none"/>
        </w:rPr>
      </w:pPr>
      <w:r>
        <w:rPr>
          <w:rFonts w:hint="eastAsia" w:ascii="黑体" w:hAnsi="黑体" w:eastAsia="黑体"/>
          <w:sz w:val="32"/>
          <w:szCs w:val="32"/>
          <w:highlight w:val="none"/>
        </w:rPr>
        <w:t>一、综合预算收支指标情况</w:t>
      </w:r>
    </w:p>
    <w:p>
      <w:pPr>
        <w:spacing w:line="560" w:lineRule="exact"/>
        <w:ind w:firstLine="660"/>
        <w:rPr>
          <w:rFonts w:ascii="仿宋_GB2312" w:hAnsi="宋体" w:eastAsia="仿宋_GB2312"/>
          <w:sz w:val="32"/>
          <w:szCs w:val="32"/>
          <w:highlight w:val="none"/>
        </w:rPr>
      </w:pPr>
      <w:r>
        <w:rPr>
          <w:rFonts w:hint="eastAsia" w:ascii="楷体" w:hAnsi="楷体" w:eastAsia="楷体"/>
          <w:b/>
          <w:sz w:val="32"/>
          <w:szCs w:val="32"/>
          <w:highlight w:val="none"/>
        </w:rPr>
        <w:t>（一）收入预算</w:t>
      </w:r>
      <w:r>
        <w:rPr>
          <w:rFonts w:hint="eastAsia" w:ascii="楷体" w:hAnsi="楷体" w:eastAsia="楷体"/>
          <w:b/>
          <w:sz w:val="32"/>
          <w:szCs w:val="32"/>
          <w:highlight w:val="none"/>
          <w:lang w:val="en-US" w:eastAsia="zh-CN"/>
        </w:rPr>
        <w:t>9233.01</w:t>
      </w:r>
      <w:r>
        <w:rPr>
          <w:rFonts w:hint="eastAsia" w:ascii="楷体" w:hAnsi="楷体" w:eastAsia="楷体"/>
          <w:b/>
          <w:sz w:val="32"/>
          <w:szCs w:val="32"/>
          <w:highlight w:val="none"/>
        </w:rPr>
        <w:t>万元，</w:t>
      </w:r>
      <w:r>
        <w:rPr>
          <w:rFonts w:hint="eastAsia" w:ascii="仿宋_GB2312" w:hAnsi="宋体" w:eastAsia="仿宋_GB2312"/>
          <w:sz w:val="32"/>
          <w:szCs w:val="32"/>
          <w:highlight w:val="none"/>
        </w:rPr>
        <w:t>其中：</w:t>
      </w:r>
    </w:p>
    <w:p>
      <w:pPr>
        <w:spacing w:line="560" w:lineRule="exact"/>
        <w:ind w:firstLine="660"/>
        <w:rPr>
          <w:rFonts w:ascii="仿宋_GB2312" w:hAnsi="宋体" w:eastAsia="仿宋_GB2312"/>
          <w:sz w:val="32"/>
          <w:szCs w:val="32"/>
          <w:highlight w:val="none"/>
        </w:rPr>
      </w:pPr>
      <w:r>
        <w:rPr>
          <w:rFonts w:hint="eastAsia" w:ascii="仿宋_GB2312" w:hAnsi="宋体" w:eastAsia="仿宋_GB2312"/>
          <w:sz w:val="32"/>
          <w:szCs w:val="32"/>
          <w:highlight w:val="none"/>
        </w:rPr>
        <w:t>1.一般公共预算拨款收入9233.01万元；</w:t>
      </w:r>
    </w:p>
    <w:p>
      <w:pPr>
        <w:spacing w:line="560" w:lineRule="exact"/>
        <w:ind w:firstLine="660"/>
        <w:rPr>
          <w:rFonts w:ascii="仿宋_GB2312" w:hAnsi="宋体" w:eastAsia="仿宋_GB2312"/>
          <w:sz w:val="32"/>
          <w:szCs w:val="32"/>
          <w:highlight w:val="none"/>
        </w:rPr>
      </w:pPr>
      <w:r>
        <w:rPr>
          <w:rFonts w:hint="eastAsia" w:ascii="仿宋_GB2312" w:hAnsi="宋体" w:eastAsia="仿宋_GB2312"/>
          <w:sz w:val="32"/>
          <w:szCs w:val="32"/>
          <w:highlight w:val="none"/>
        </w:rPr>
        <w:t>2.政府性基金预算拨款收入</w:t>
      </w:r>
      <w:r>
        <w:rPr>
          <w:rFonts w:hint="eastAsia" w:ascii="仿宋_GB2312" w:hAnsi="宋体" w:eastAsia="仿宋_GB2312"/>
          <w:sz w:val="32"/>
          <w:szCs w:val="32"/>
          <w:highlight w:val="none"/>
          <w:lang w:val="en-US" w:eastAsia="zh-CN"/>
        </w:rPr>
        <w:t>0</w:t>
      </w:r>
      <w:r>
        <w:rPr>
          <w:rFonts w:hint="eastAsia" w:ascii="仿宋_GB2312" w:hAnsi="宋体" w:eastAsia="仿宋_GB2312"/>
          <w:sz w:val="32"/>
          <w:szCs w:val="32"/>
          <w:highlight w:val="none"/>
        </w:rPr>
        <w:t>万元；</w:t>
      </w:r>
    </w:p>
    <w:p>
      <w:pPr>
        <w:spacing w:line="560" w:lineRule="exact"/>
        <w:ind w:left="647" w:leftChars="304" w:firstLine="16" w:firstLineChars="5"/>
        <w:rPr>
          <w:rFonts w:ascii="仿宋_GB2312" w:hAnsi="宋体" w:eastAsia="仿宋_GB2312"/>
          <w:sz w:val="32"/>
          <w:szCs w:val="32"/>
          <w:highlight w:val="none"/>
        </w:rPr>
      </w:pPr>
      <w:r>
        <w:rPr>
          <w:rFonts w:hint="eastAsia" w:ascii="仿宋_GB2312" w:hAnsi="宋体" w:eastAsia="仿宋_GB2312"/>
          <w:sz w:val="32"/>
          <w:szCs w:val="32"/>
          <w:highlight w:val="none"/>
        </w:rPr>
        <w:t>3.国有资本经营预算拨款收入</w:t>
      </w:r>
      <w:r>
        <w:rPr>
          <w:rFonts w:hint="eastAsia" w:ascii="仿宋_GB2312" w:hAnsi="宋体" w:eastAsia="仿宋_GB2312"/>
          <w:sz w:val="32"/>
          <w:szCs w:val="32"/>
          <w:highlight w:val="none"/>
          <w:lang w:val="en-US" w:eastAsia="zh-CN"/>
        </w:rPr>
        <w:t>0</w:t>
      </w:r>
      <w:r>
        <w:rPr>
          <w:rFonts w:hint="eastAsia" w:ascii="仿宋_GB2312" w:hAnsi="宋体" w:eastAsia="仿宋_GB2312"/>
          <w:sz w:val="32"/>
          <w:szCs w:val="32"/>
          <w:highlight w:val="none"/>
        </w:rPr>
        <w:t>万元；</w:t>
      </w:r>
    </w:p>
    <w:p>
      <w:pPr>
        <w:spacing w:line="560" w:lineRule="exact"/>
        <w:ind w:left="647" w:leftChars="304" w:firstLine="16" w:firstLineChars="5"/>
        <w:rPr>
          <w:rFonts w:ascii="仿宋_GB2312" w:hAnsi="宋体" w:eastAsia="仿宋_GB2312"/>
          <w:sz w:val="32"/>
          <w:szCs w:val="32"/>
          <w:highlight w:val="none"/>
        </w:rPr>
      </w:pPr>
      <w:r>
        <w:rPr>
          <w:rFonts w:hint="eastAsia" w:ascii="仿宋_GB2312" w:hAnsi="宋体" w:eastAsia="仿宋_GB2312"/>
          <w:sz w:val="32"/>
          <w:szCs w:val="32"/>
          <w:highlight w:val="none"/>
        </w:rPr>
        <w:t>4.财政专户管理资金收入</w:t>
      </w:r>
      <w:r>
        <w:rPr>
          <w:rFonts w:hint="eastAsia" w:ascii="仿宋_GB2312" w:hAnsi="宋体" w:eastAsia="仿宋_GB2312"/>
          <w:sz w:val="32"/>
          <w:szCs w:val="32"/>
          <w:highlight w:val="none"/>
          <w:lang w:val="en-US" w:eastAsia="zh-CN"/>
        </w:rPr>
        <w:t>0</w:t>
      </w:r>
      <w:r>
        <w:rPr>
          <w:rFonts w:hint="eastAsia" w:ascii="仿宋_GB2312" w:hAnsi="宋体" w:eastAsia="仿宋_GB2312"/>
          <w:sz w:val="32"/>
          <w:szCs w:val="32"/>
          <w:highlight w:val="none"/>
        </w:rPr>
        <w:t>万元；</w:t>
      </w:r>
    </w:p>
    <w:p>
      <w:pPr>
        <w:spacing w:line="560" w:lineRule="exact"/>
        <w:ind w:firstLine="646" w:firstLineChars="200"/>
        <w:rPr>
          <w:rFonts w:ascii="仿宋_GB2312" w:eastAsia="仿宋_GB2312"/>
          <w:sz w:val="32"/>
          <w:szCs w:val="32"/>
          <w:highlight w:val="none"/>
        </w:rPr>
      </w:pPr>
      <w:r>
        <w:rPr>
          <w:rFonts w:hint="eastAsia" w:ascii="仿宋_GB2312" w:eastAsia="仿宋_GB2312" w:cs="仿宋_GB2312"/>
          <w:sz w:val="32"/>
          <w:szCs w:val="32"/>
          <w:highlight w:val="none"/>
        </w:rPr>
        <w:t>5.</w:t>
      </w:r>
      <w:r>
        <w:rPr>
          <w:rFonts w:hint="eastAsia" w:ascii="仿宋_GB2312" w:eastAsia="仿宋_GB2312"/>
          <w:sz w:val="32"/>
          <w:szCs w:val="32"/>
          <w:highlight w:val="none"/>
        </w:rPr>
        <w:t>单位资金收入</w:t>
      </w:r>
      <w:r>
        <w:rPr>
          <w:rFonts w:hint="eastAsia" w:ascii="仿宋_GB2312" w:hAnsi="宋体" w:eastAsia="仿宋_GB2312"/>
          <w:sz w:val="32"/>
          <w:szCs w:val="32"/>
          <w:highlight w:val="none"/>
          <w:lang w:val="en-US" w:eastAsia="zh-CN"/>
        </w:rPr>
        <w:t>0</w:t>
      </w:r>
      <w:r>
        <w:rPr>
          <w:rFonts w:hint="eastAsia" w:ascii="仿宋_GB2312" w:eastAsia="仿宋_GB2312"/>
          <w:sz w:val="32"/>
          <w:szCs w:val="32"/>
          <w:highlight w:val="none"/>
        </w:rPr>
        <w:t>万元</w:t>
      </w:r>
      <w:r>
        <w:rPr>
          <w:rFonts w:hint="eastAsia" w:ascii="仿宋_GB2312" w:eastAsia="仿宋_GB2312" w:cs="仿宋_GB2312"/>
          <w:sz w:val="32"/>
          <w:szCs w:val="32"/>
          <w:highlight w:val="none"/>
        </w:rPr>
        <w:t>，其中：事业收入</w:t>
      </w:r>
      <w:r>
        <w:rPr>
          <w:rFonts w:hint="eastAsia" w:ascii="仿宋_GB2312" w:hAnsi="宋体" w:eastAsia="仿宋_GB2312"/>
          <w:sz w:val="32"/>
          <w:szCs w:val="32"/>
          <w:highlight w:val="none"/>
          <w:lang w:val="en-US" w:eastAsia="zh-CN"/>
        </w:rPr>
        <w:t>0</w:t>
      </w:r>
      <w:r>
        <w:rPr>
          <w:rFonts w:hint="eastAsia" w:ascii="仿宋_GB2312" w:eastAsia="仿宋_GB2312" w:cs="仿宋_GB2312"/>
          <w:sz w:val="32"/>
          <w:szCs w:val="32"/>
          <w:highlight w:val="none"/>
        </w:rPr>
        <w:t>万元，事业单位经营收入</w:t>
      </w:r>
      <w:r>
        <w:rPr>
          <w:rFonts w:hint="eastAsia" w:ascii="仿宋_GB2312" w:hAnsi="宋体" w:eastAsia="仿宋_GB2312"/>
          <w:sz w:val="32"/>
          <w:szCs w:val="32"/>
          <w:highlight w:val="none"/>
          <w:lang w:val="en-US" w:eastAsia="zh-CN"/>
        </w:rPr>
        <w:t>0</w:t>
      </w:r>
      <w:r>
        <w:rPr>
          <w:rFonts w:hint="eastAsia" w:ascii="仿宋_GB2312" w:eastAsia="仿宋_GB2312" w:cs="仿宋_GB2312"/>
          <w:sz w:val="32"/>
          <w:szCs w:val="32"/>
          <w:highlight w:val="none"/>
        </w:rPr>
        <w:t>万元，上级补助收入</w:t>
      </w:r>
      <w:r>
        <w:rPr>
          <w:rFonts w:hint="eastAsia" w:ascii="仿宋_GB2312" w:hAnsi="宋体" w:eastAsia="仿宋_GB2312"/>
          <w:sz w:val="32"/>
          <w:szCs w:val="32"/>
          <w:highlight w:val="none"/>
          <w:lang w:val="en-US" w:eastAsia="zh-CN"/>
        </w:rPr>
        <w:t>0</w:t>
      </w:r>
      <w:r>
        <w:rPr>
          <w:rFonts w:hint="eastAsia" w:ascii="仿宋_GB2312" w:eastAsia="仿宋_GB2312" w:cs="仿宋_GB2312"/>
          <w:sz w:val="32"/>
          <w:szCs w:val="32"/>
          <w:highlight w:val="none"/>
        </w:rPr>
        <w:t>万元，附属单位上缴收入</w:t>
      </w:r>
      <w:r>
        <w:rPr>
          <w:rFonts w:hint="eastAsia" w:ascii="仿宋_GB2312" w:hAnsi="宋体" w:eastAsia="仿宋_GB2312"/>
          <w:sz w:val="32"/>
          <w:szCs w:val="32"/>
          <w:highlight w:val="none"/>
          <w:lang w:val="en-US" w:eastAsia="zh-CN"/>
        </w:rPr>
        <w:t>0</w:t>
      </w:r>
      <w:r>
        <w:rPr>
          <w:rFonts w:hint="eastAsia" w:ascii="仿宋_GB2312" w:eastAsia="仿宋_GB2312" w:cs="仿宋_GB2312"/>
          <w:sz w:val="32"/>
          <w:szCs w:val="32"/>
          <w:highlight w:val="none"/>
        </w:rPr>
        <w:t>万元，其他收入</w:t>
      </w:r>
      <w:r>
        <w:rPr>
          <w:rFonts w:hint="eastAsia" w:ascii="仿宋_GB2312" w:hAnsi="宋体" w:eastAsia="仿宋_GB2312"/>
          <w:sz w:val="32"/>
          <w:szCs w:val="32"/>
          <w:highlight w:val="none"/>
          <w:lang w:val="en-US" w:eastAsia="zh-CN"/>
        </w:rPr>
        <w:t>0</w:t>
      </w:r>
      <w:r>
        <w:rPr>
          <w:rFonts w:hint="eastAsia" w:ascii="仿宋_GB2312" w:eastAsia="仿宋_GB2312" w:cs="仿宋_GB2312"/>
          <w:sz w:val="32"/>
          <w:szCs w:val="32"/>
          <w:highlight w:val="none"/>
        </w:rPr>
        <w:t>万元；</w:t>
      </w:r>
    </w:p>
    <w:p>
      <w:pPr>
        <w:spacing w:line="560" w:lineRule="exact"/>
        <w:ind w:firstLine="646" w:firstLineChars="200"/>
        <w:rPr>
          <w:rFonts w:ascii="仿宋_GB2312" w:hAnsi="宋体" w:eastAsia="仿宋_GB2312"/>
          <w:sz w:val="32"/>
          <w:szCs w:val="32"/>
          <w:highlight w:val="none"/>
        </w:rPr>
      </w:pPr>
      <w:r>
        <w:rPr>
          <w:rFonts w:hint="eastAsia" w:ascii="仿宋_GB2312" w:eastAsia="仿宋_GB2312" w:cs="仿宋_GB2312"/>
          <w:sz w:val="32"/>
          <w:szCs w:val="32"/>
          <w:highlight w:val="none"/>
        </w:rPr>
        <w:t>6.</w:t>
      </w:r>
      <w:r>
        <w:rPr>
          <w:rFonts w:hint="eastAsia" w:ascii="仿宋_GB2312" w:eastAsia="仿宋_GB2312"/>
          <w:sz w:val="32"/>
          <w:szCs w:val="32"/>
          <w:highlight w:val="none"/>
        </w:rPr>
        <w:t>上年结转结余</w:t>
      </w:r>
      <w:r>
        <w:rPr>
          <w:rFonts w:hint="eastAsia" w:ascii="仿宋_GB2312" w:hAnsi="宋体" w:eastAsia="仿宋_GB2312"/>
          <w:sz w:val="32"/>
          <w:szCs w:val="32"/>
          <w:highlight w:val="none"/>
          <w:lang w:val="en-US" w:eastAsia="zh-CN"/>
        </w:rPr>
        <w:t>0</w:t>
      </w:r>
      <w:r>
        <w:rPr>
          <w:rFonts w:hint="eastAsia" w:ascii="仿宋_GB2312" w:eastAsia="仿宋_GB2312"/>
          <w:sz w:val="32"/>
          <w:szCs w:val="32"/>
          <w:highlight w:val="none"/>
        </w:rPr>
        <w:t>万元</w:t>
      </w:r>
      <w:r>
        <w:rPr>
          <w:rFonts w:hint="eastAsia" w:ascii="仿宋_GB2312" w:eastAsia="仿宋_GB2312" w:cs="仿宋_GB2312"/>
          <w:sz w:val="32"/>
          <w:szCs w:val="32"/>
          <w:highlight w:val="none"/>
        </w:rPr>
        <w:t>，其中</w:t>
      </w:r>
      <w:r>
        <w:rPr>
          <w:rFonts w:hint="eastAsia" w:ascii="仿宋_GB2312" w:eastAsia="仿宋_GB2312" w:cs="仿宋_GB2312"/>
          <w:sz w:val="32"/>
          <w:szCs w:val="32"/>
          <w:highlight w:val="none"/>
          <w:lang w:eastAsia="zh-CN"/>
        </w:rPr>
        <w:t>：</w:t>
      </w:r>
      <w:r>
        <w:rPr>
          <w:rFonts w:hint="eastAsia" w:ascii="仿宋_GB2312" w:eastAsia="仿宋_GB2312" w:cs="仿宋_GB2312"/>
          <w:sz w:val="32"/>
          <w:szCs w:val="32"/>
          <w:highlight w:val="none"/>
        </w:rPr>
        <w:t>上年</w:t>
      </w:r>
      <w:r>
        <w:rPr>
          <w:rFonts w:hint="eastAsia" w:ascii="仿宋_GB2312" w:eastAsia="仿宋_GB2312"/>
          <w:sz w:val="32"/>
          <w:szCs w:val="32"/>
          <w:highlight w:val="none"/>
        </w:rPr>
        <w:t>财政专户管理资金超收收入</w:t>
      </w:r>
      <w:r>
        <w:rPr>
          <w:rFonts w:hint="eastAsia" w:ascii="仿宋_GB2312" w:hAnsi="宋体" w:eastAsia="仿宋_GB2312"/>
          <w:sz w:val="32"/>
          <w:szCs w:val="32"/>
          <w:highlight w:val="none"/>
          <w:lang w:val="en-US" w:eastAsia="zh-CN"/>
        </w:rPr>
        <w:t>0</w:t>
      </w:r>
      <w:r>
        <w:rPr>
          <w:rFonts w:hint="eastAsia" w:ascii="仿宋_GB2312" w:eastAsia="仿宋_GB2312" w:cs="仿宋_GB2312"/>
          <w:sz w:val="32"/>
          <w:szCs w:val="32"/>
          <w:highlight w:val="none"/>
        </w:rPr>
        <w:t>万元，政府性基金预算超收收入</w:t>
      </w:r>
      <w:r>
        <w:rPr>
          <w:rFonts w:hint="eastAsia" w:ascii="仿宋_GB2312" w:hAnsi="宋体" w:eastAsia="仿宋_GB2312"/>
          <w:sz w:val="32"/>
          <w:szCs w:val="32"/>
          <w:highlight w:val="none"/>
          <w:lang w:val="en-US" w:eastAsia="zh-CN"/>
        </w:rPr>
        <w:t>0</w:t>
      </w:r>
      <w:r>
        <w:rPr>
          <w:rFonts w:hint="eastAsia" w:ascii="仿宋_GB2312" w:eastAsia="仿宋_GB2312" w:cs="仿宋_GB2312"/>
          <w:sz w:val="32"/>
          <w:szCs w:val="32"/>
          <w:highlight w:val="none"/>
        </w:rPr>
        <w:t>万元</w:t>
      </w:r>
      <w:r>
        <w:rPr>
          <w:rFonts w:hint="eastAsia" w:ascii="仿宋_GB2312" w:eastAsia="仿宋_GB2312" w:cs="仿宋_GB2312"/>
          <w:sz w:val="32"/>
          <w:szCs w:val="32"/>
          <w:highlight w:val="none"/>
          <w:lang w:eastAsia="zh-CN"/>
        </w:rPr>
        <w:t>，</w:t>
      </w:r>
      <w:r>
        <w:rPr>
          <w:rFonts w:hint="eastAsia" w:ascii="Times New Roman" w:hAnsi="Times New Roman" w:eastAsia="仿宋_GB2312" w:cs="Times New Roman"/>
          <w:kern w:val="2"/>
          <w:sz w:val="32"/>
          <w:szCs w:val="32"/>
          <w:highlight w:val="none"/>
          <w:lang w:val="en-US" w:eastAsia="zh-CN" w:bidi="ar"/>
        </w:rPr>
        <w:t>单位资金超收收入</w:t>
      </w:r>
      <w:r>
        <w:rPr>
          <w:rFonts w:hint="eastAsia" w:ascii="仿宋_GB2312" w:hAnsi="宋体" w:eastAsia="仿宋_GB2312"/>
          <w:sz w:val="32"/>
          <w:szCs w:val="32"/>
          <w:highlight w:val="none"/>
          <w:lang w:val="en-US" w:eastAsia="zh-CN"/>
        </w:rPr>
        <w:t>0</w:t>
      </w:r>
      <w:r>
        <w:rPr>
          <w:rFonts w:hint="eastAsia" w:ascii="Times New Roman" w:hAnsi="Times New Roman" w:eastAsia="仿宋_GB2312" w:cs="Times New Roman"/>
          <w:kern w:val="2"/>
          <w:sz w:val="32"/>
          <w:szCs w:val="32"/>
          <w:highlight w:val="none"/>
          <w:lang w:val="en-US" w:eastAsia="zh-CN" w:bidi="ar"/>
        </w:rPr>
        <w:t>万元</w:t>
      </w:r>
      <w:r>
        <w:rPr>
          <w:rFonts w:hint="eastAsia" w:ascii="仿宋_GB2312" w:hAnsi="仿宋_GB2312" w:eastAsia="仿宋_GB2312" w:cs="仿宋_GB2312"/>
          <w:sz w:val="32"/>
          <w:szCs w:val="32"/>
          <w:highlight w:val="none"/>
        </w:rPr>
        <w:t>。</w:t>
      </w:r>
    </w:p>
    <w:p>
      <w:pPr>
        <w:spacing w:line="560" w:lineRule="exact"/>
        <w:ind w:left="647" w:leftChars="304" w:firstLine="16" w:firstLineChars="5"/>
        <w:rPr>
          <w:rFonts w:ascii="仿宋_GB2312" w:hAnsi="宋体" w:eastAsia="仿宋_GB2312"/>
          <w:sz w:val="32"/>
          <w:szCs w:val="32"/>
          <w:highlight w:val="none"/>
        </w:rPr>
      </w:pPr>
      <w:r>
        <w:rPr>
          <w:rFonts w:hint="eastAsia" w:ascii="楷体" w:hAnsi="楷体" w:eastAsia="楷体"/>
          <w:b/>
          <w:sz w:val="32"/>
          <w:szCs w:val="32"/>
          <w:highlight w:val="none"/>
        </w:rPr>
        <w:t>（二）支出预算9233.01万元，</w:t>
      </w:r>
      <w:r>
        <w:rPr>
          <w:rFonts w:hint="eastAsia" w:ascii="仿宋_GB2312" w:hAnsi="宋体" w:eastAsia="仿宋_GB2312"/>
          <w:sz w:val="32"/>
          <w:szCs w:val="32"/>
          <w:highlight w:val="none"/>
        </w:rPr>
        <w:t>其中：</w:t>
      </w:r>
    </w:p>
    <w:p>
      <w:pPr>
        <w:autoSpaceDE w:val="0"/>
        <w:spacing w:line="560" w:lineRule="exact"/>
        <w:ind w:firstLine="646" w:firstLineChars="200"/>
        <w:rPr>
          <w:rFonts w:ascii="仿宋_GB2312" w:eastAsia="仿宋_GB2312"/>
          <w:sz w:val="32"/>
          <w:szCs w:val="32"/>
          <w:highlight w:val="none"/>
        </w:rPr>
      </w:pPr>
      <w:r>
        <w:rPr>
          <w:rFonts w:hint="eastAsia" w:ascii="仿宋_GB2312" w:eastAsia="仿宋_GB2312"/>
          <w:sz w:val="32"/>
          <w:szCs w:val="32"/>
          <w:highlight w:val="none"/>
        </w:rPr>
        <w:t>1.基本支出3991.68</w:t>
      </w:r>
      <w:r>
        <w:rPr>
          <w:rFonts w:hint="eastAsia" w:ascii="仿宋_GB2312" w:hAnsi="宋体" w:eastAsia="仿宋_GB2312"/>
          <w:sz w:val="32"/>
          <w:szCs w:val="32"/>
          <w:highlight w:val="none"/>
        </w:rPr>
        <w:t>万元</w:t>
      </w:r>
      <w:r>
        <w:rPr>
          <w:rFonts w:hint="eastAsia" w:ascii="仿宋_GB2312" w:eastAsia="仿宋_GB2312"/>
          <w:sz w:val="32"/>
          <w:szCs w:val="32"/>
          <w:highlight w:val="none"/>
        </w:rPr>
        <w:t>；</w:t>
      </w:r>
    </w:p>
    <w:p>
      <w:pPr>
        <w:autoSpaceDE w:val="0"/>
        <w:spacing w:line="560" w:lineRule="exact"/>
        <w:ind w:firstLine="646" w:firstLineChars="200"/>
        <w:rPr>
          <w:rFonts w:ascii="仿宋_GB2312" w:eastAsia="仿宋_GB2312"/>
          <w:sz w:val="32"/>
          <w:szCs w:val="32"/>
          <w:highlight w:val="none"/>
        </w:rPr>
      </w:pPr>
      <w:r>
        <w:rPr>
          <w:rFonts w:hint="eastAsia" w:ascii="仿宋_GB2312" w:eastAsia="仿宋_GB2312"/>
          <w:sz w:val="32"/>
          <w:szCs w:val="32"/>
          <w:highlight w:val="none"/>
        </w:rPr>
        <w:t>2.项目支出5241.33万元。</w:t>
      </w:r>
    </w:p>
    <w:p>
      <w:pPr>
        <w:spacing w:line="560" w:lineRule="exact"/>
        <w:ind w:firstLine="646" w:firstLineChars="200"/>
        <w:jc w:val="distribute"/>
        <w:rPr>
          <w:rFonts w:ascii="仿宋_GB2312" w:eastAsia="仿宋_GB2312" w:cs="仿宋_GB2312"/>
          <w:sz w:val="32"/>
          <w:szCs w:val="32"/>
          <w:highlight w:val="none"/>
        </w:rPr>
      </w:pPr>
      <w:r>
        <w:rPr>
          <w:rFonts w:hint="eastAsia" w:ascii="仿宋_GB2312" w:eastAsia="仿宋_GB2312" w:cs="仿宋_GB2312"/>
          <w:sz w:val="32"/>
          <w:szCs w:val="32"/>
          <w:highlight w:val="none"/>
        </w:rPr>
        <w:t>在支出预算中债务支出</w:t>
      </w:r>
      <w:r>
        <w:rPr>
          <w:rFonts w:hint="eastAsia" w:ascii="仿宋_GB2312" w:hAnsi="宋体" w:eastAsia="仿宋_GB2312"/>
          <w:sz w:val="32"/>
          <w:szCs w:val="32"/>
          <w:highlight w:val="none"/>
          <w:lang w:val="en-US" w:eastAsia="zh-CN"/>
        </w:rPr>
        <w:t>0</w:t>
      </w:r>
      <w:r>
        <w:rPr>
          <w:rFonts w:hint="eastAsia" w:ascii="仿宋_GB2312" w:eastAsia="仿宋_GB2312" w:cs="仿宋_GB2312"/>
          <w:sz w:val="32"/>
          <w:szCs w:val="32"/>
          <w:highlight w:val="none"/>
        </w:rPr>
        <w:t>万元；政府采购支出</w:t>
      </w:r>
    </w:p>
    <w:p>
      <w:pPr>
        <w:spacing w:line="560" w:lineRule="exact"/>
        <w:rPr>
          <w:rFonts w:ascii="仿宋_GB2312" w:eastAsia="仿宋_GB2312" w:cs="仿宋_GB2312"/>
          <w:sz w:val="32"/>
          <w:szCs w:val="32"/>
          <w:highlight w:val="none"/>
        </w:rPr>
      </w:pPr>
      <w:r>
        <w:rPr>
          <w:rFonts w:hint="eastAsia" w:ascii="仿宋_GB2312" w:hAnsi="宋体" w:eastAsia="仿宋_GB2312"/>
          <w:sz w:val="32"/>
          <w:szCs w:val="32"/>
          <w:highlight w:val="none"/>
        </w:rPr>
        <w:t>4962.25</w:t>
      </w:r>
      <w:r>
        <w:rPr>
          <w:rFonts w:hint="eastAsia" w:ascii="仿宋_GB2312" w:eastAsia="仿宋_GB2312" w:cs="仿宋_GB2312"/>
          <w:sz w:val="32"/>
          <w:szCs w:val="32"/>
          <w:highlight w:val="none"/>
        </w:rPr>
        <w:t>万元；政府购买服务支出</w:t>
      </w:r>
      <w:r>
        <w:rPr>
          <w:rFonts w:hint="eastAsia" w:ascii="仿宋_GB2312" w:eastAsia="仿宋_GB2312" w:cs="仿宋_GB2312"/>
          <w:sz w:val="32"/>
          <w:szCs w:val="32"/>
          <w:highlight w:val="none"/>
          <w:lang w:val="en-US" w:eastAsia="zh-CN"/>
        </w:rPr>
        <w:t>0</w:t>
      </w:r>
      <w:r>
        <w:rPr>
          <w:rFonts w:hint="eastAsia" w:ascii="仿宋_GB2312" w:eastAsia="仿宋_GB2312" w:cs="仿宋_GB2312"/>
          <w:sz w:val="32"/>
          <w:szCs w:val="32"/>
          <w:highlight w:val="none"/>
        </w:rPr>
        <w:t>万元；</w:t>
      </w:r>
      <w:r>
        <w:rPr>
          <w:rFonts w:hint="eastAsia" w:ascii="仿宋_GB2312" w:eastAsia="仿宋_GB2312" w:cs="仿宋_GB2312"/>
          <w:color w:val="auto"/>
          <w:sz w:val="32"/>
          <w:szCs w:val="32"/>
          <w:highlight w:val="none"/>
        </w:rPr>
        <w:t>纳入预算绩效管理的特定目标类</w:t>
      </w:r>
      <w:r>
        <w:rPr>
          <w:rFonts w:hint="eastAsia" w:ascii="仿宋_GB2312" w:eastAsia="仿宋_GB2312" w:cs="仿宋_GB2312"/>
          <w:color w:val="auto"/>
          <w:sz w:val="32"/>
          <w:szCs w:val="32"/>
          <w:highlight w:val="none"/>
          <w:lang w:eastAsia="zh-CN"/>
        </w:rPr>
        <w:t>和其他运转类</w:t>
      </w:r>
      <w:r>
        <w:rPr>
          <w:rFonts w:hint="eastAsia" w:ascii="仿宋_GB2312" w:eastAsia="仿宋_GB2312" w:cs="仿宋_GB2312"/>
          <w:color w:val="auto"/>
          <w:sz w:val="32"/>
          <w:szCs w:val="32"/>
          <w:highlight w:val="none"/>
        </w:rPr>
        <w:t>项目共</w:t>
      </w:r>
      <w:r>
        <w:rPr>
          <w:rFonts w:hint="eastAsia" w:ascii="仿宋_GB2312" w:eastAsia="仿宋_GB2312" w:cs="仿宋_GB2312"/>
          <w:color w:val="auto"/>
          <w:sz w:val="32"/>
          <w:szCs w:val="32"/>
          <w:highlight w:val="none"/>
          <w:lang w:val="en-US" w:eastAsia="zh-CN"/>
        </w:rPr>
        <w:t>8</w:t>
      </w:r>
      <w:r>
        <w:rPr>
          <w:rFonts w:hint="eastAsia" w:ascii="仿宋_GB2312" w:eastAsia="仿宋_GB2312" w:cs="仿宋_GB2312"/>
          <w:color w:val="auto"/>
          <w:sz w:val="32"/>
          <w:szCs w:val="32"/>
          <w:highlight w:val="none"/>
        </w:rPr>
        <w:t>个</w:t>
      </w:r>
      <w:r>
        <w:rPr>
          <w:rFonts w:hint="eastAsia" w:ascii="仿宋_GB2312" w:eastAsia="仿宋_GB2312" w:cs="仿宋_GB2312"/>
          <w:sz w:val="32"/>
          <w:szCs w:val="32"/>
          <w:highlight w:val="none"/>
        </w:rPr>
        <w:t xml:space="preserve">，涉及资金5241.33万元。 </w:t>
      </w:r>
    </w:p>
    <w:p>
      <w:pPr>
        <w:spacing w:line="560" w:lineRule="exact"/>
        <w:ind w:firstLine="646"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2025</w:t>
      </w:r>
      <w:r>
        <w:rPr>
          <w:rFonts w:hint="eastAsia" w:ascii="仿宋_GB2312" w:hAnsi="仿宋_GB2312" w:eastAsia="仿宋_GB2312" w:cs="仿宋_GB2312"/>
          <w:sz w:val="32"/>
          <w:szCs w:val="32"/>
          <w:highlight w:val="none"/>
        </w:rPr>
        <w:t>年预算收支比</w:t>
      </w:r>
      <w:r>
        <w:rPr>
          <w:rFonts w:hint="eastAsia" w:ascii="仿宋_GB2312" w:hAnsi="仿宋_GB2312" w:eastAsia="仿宋_GB2312" w:cs="仿宋_GB2312"/>
          <w:sz w:val="32"/>
          <w:szCs w:val="32"/>
          <w:highlight w:val="none"/>
          <w:lang w:eastAsia="zh-CN"/>
        </w:rPr>
        <w:t>上</w:t>
      </w:r>
      <w:r>
        <w:rPr>
          <w:rFonts w:hint="eastAsia" w:ascii="仿宋_GB2312" w:hAnsi="仿宋_GB2312" w:eastAsia="仿宋_GB2312" w:cs="仿宋_GB2312"/>
          <w:sz w:val="32"/>
          <w:szCs w:val="32"/>
          <w:highlight w:val="none"/>
        </w:rPr>
        <w:t>年减少</w:t>
      </w:r>
      <w:r>
        <w:rPr>
          <w:rFonts w:hint="eastAsia" w:ascii="仿宋_GB2312" w:hAnsi="仿宋_GB2312" w:eastAsia="仿宋_GB2312" w:cs="仿宋_GB2312"/>
          <w:sz w:val="32"/>
          <w:szCs w:val="32"/>
          <w:highlight w:val="none"/>
          <w:lang w:val="en-US" w:eastAsia="zh-CN"/>
        </w:rPr>
        <w:t>558.13</w:t>
      </w:r>
      <w:r>
        <w:rPr>
          <w:rFonts w:hint="eastAsia" w:ascii="仿宋_GB2312" w:hAnsi="仿宋_GB2312" w:eastAsia="仿宋_GB2312" w:cs="仿宋_GB2312"/>
          <w:sz w:val="32"/>
          <w:szCs w:val="32"/>
          <w:highlight w:val="none"/>
        </w:rPr>
        <w:t>万元，增减变化的主要原因为</w:t>
      </w:r>
      <w:r>
        <w:rPr>
          <w:rFonts w:hint="eastAsia" w:ascii="仿宋_GB2312" w:hAnsi="仿宋_GB2312" w:eastAsia="仿宋_GB2312" w:cs="仿宋_GB2312"/>
          <w:sz w:val="32"/>
          <w:szCs w:val="32"/>
          <w:highlight w:val="none"/>
          <w:lang w:eastAsia="zh-CN"/>
        </w:rPr>
        <w:t>项目减少</w:t>
      </w:r>
      <w:r>
        <w:rPr>
          <w:rFonts w:hint="eastAsia" w:ascii="仿宋_GB2312" w:hAnsi="仿宋_GB2312" w:eastAsia="仿宋_GB2312" w:cs="仿宋_GB2312"/>
          <w:sz w:val="32"/>
          <w:szCs w:val="32"/>
          <w:highlight w:val="none"/>
        </w:rPr>
        <w:t>。</w:t>
      </w:r>
    </w:p>
    <w:p>
      <w:pPr>
        <w:spacing w:line="560" w:lineRule="exact"/>
        <w:ind w:firstLine="646" w:firstLineChars="200"/>
        <w:rPr>
          <w:rFonts w:ascii="黑体" w:hAnsi="黑体" w:eastAsia="黑体"/>
          <w:sz w:val="32"/>
          <w:szCs w:val="32"/>
        </w:rPr>
      </w:pPr>
      <w:r>
        <w:rPr>
          <w:rFonts w:hint="eastAsia" w:ascii="黑体" w:hAnsi="黑体" w:eastAsia="黑体"/>
          <w:sz w:val="32"/>
          <w:szCs w:val="32"/>
        </w:rPr>
        <w:t>二、部门管理专项资金情况</w:t>
      </w:r>
    </w:p>
    <w:p>
      <w:pPr>
        <w:spacing w:line="560" w:lineRule="exact"/>
        <w:ind w:firstLine="646"/>
        <w:rPr>
          <w:rFonts w:ascii="黑体" w:hAnsi="黑体" w:eastAsia="黑体" w:cs="黑体"/>
          <w:spacing w:val="-2"/>
          <w:kern w:val="0"/>
          <w:sz w:val="32"/>
          <w:szCs w:val="32"/>
          <w:highlight w:val="green"/>
        </w:rPr>
      </w:pPr>
      <w:r>
        <w:rPr>
          <w:rFonts w:hint="eastAsia" w:ascii="仿宋_GB2312" w:hAnsi="宋体" w:eastAsia="仿宋_GB2312"/>
          <w:sz w:val="32"/>
          <w:szCs w:val="32"/>
          <w:lang w:val="en-US" w:eastAsia="zh-CN"/>
        </w:rPr>
        <w:t>2025</w:t>
      </w:r>
      <w:r>
        <w:rPr>
          <w:rFonts w:hint="eastAsia" w:ascii="仿宋_GB2312" w:hAnsi="宋体" w:eastAsia="仿宋_GB2312"/>
          <w:sz w:val="32"/>
          <w:szCs w:val="32"/>
        </w:rPr>
        <w:t>年，</w:t>
      </w:r>
      <w:r>
        <w:rPr>
          <w:rFonts w:hint="eastAsia" w:ascii="仿宋_GB2312" w:hAnsi="宋体" w:eastAsia="仿宋_GB2312"/>
          <w:sz w:val="32"/>
          <w:szCs w:val="32"/>
          <w:lang w:eastAsia="zh-CN"/>
        </w:rPr>
        <w:t>盘锦市机关事务中心</w:t>
      </w:r>
      <w:r>
        <w:rPr>
          <w:rFonts w:hint="eastAsia" w:ascii="仿宋_GB2312" w:hAnsi="宋体" w:eastAsia="仿宋_GB2312"/>
          <w:sz w:val="32"/>
          <w:szCs w:val="32"/>
        </w:rPr>
        <w:t>管理专项资金共</w:t>
      </w:r>
      <w:r>
        <w:rPr>
          <w:rFonts w:hint="eastAsia" w:ascii="仿宋_GB2312" w:hAnsi="宋体" w:eastAsia="仿宋_GB2312"/>
          <w:sz w:val="32"/>
          <w:szCs w:val="32"/>
          <w:lang w:val="en-US" w:eastAsia="zh-CN"/>
        </w:rPr>
        <w:t>0</w:t>
      </w:r>
      <w:r>
        <w:rPr>
          <w:rFonts w:hint="eastAsia" w:ascii="仿宋_GB2312" w:hAnsi="宋体" w:eastAsia="仿宋_GB2312"/>
          <w:sz w:val="32"/>
          <w:szCs w:val="32"/>
        </w:rPr>
        <w:t>个，</w:t>
      </w:r>
      <w:r>
        <w:rPr>
          <w:rFonts w:hint="eastAsia" w:ascii="仿宋_GB2312" w:hAnsi="仿宋_GB2312" w:eastAsia="仿宋_GB2312"/>
          <w:spacing w:val="-2"/>
          <w:kern w:val="0"/>
          <w:sz w:val="32"/>
          <w:szCs w:val="32"/>
        </w:rPr>
        <w:t>涉及资金</w:t>
      </w:r>
      <w:r>
        <w:rPr>
          <w:rFonts w:hint="eastAsia" w:ascii="仿宋_GB2312" w:hAnsi="仿宋_GB2312" w:eastAsia="仿宋_GB2312"/>
          <w:spacing w:val="-2"/>
          <w:kern w:val="0"/>
          <w:sz w:val="32"/>
          <w:szCs w:val="32"/>
          <w:lang w:val="en-US" w:eastAsia="zh-CN"/>
        </w:rPr>
        <w:t>0</w:t>
      </w:r>
      <w:r>
        <w:rPr>
          <w:rFonts w:hint="eastAsia" w:ascii="仿宋_GB2312" w:hAnsi="仿宋_GB2312" w:eastAsia="仿宋_GB2312"/>
          <w:spacing w:val="-2"/>
          <w:kern w:val="0"/>
          <w:sz w:val="32"/>
          <w:szCs w:val="32"/>
        </w:rPr>
        <w:t>万元。</w:t>
      </w:r>
    </w:p>
    <w:p>
      <w:pPr>
        <w:spacing w:line="560" w:lineRule="exact"/>
        <w:ind w:firstLine="645"/>
        <w:rPr>
          <w:rFonts w:ascii="黑体" w:hAnsi="宋体" w:eastAsia="黑体"/>
          <w:sz w:val="32"/>
          <w:szCs w:val="32"/>
        </w:rPr>
      </w:pPr>
      <w:r>
        <w:rPr>
          <w:rFonts w:hint="eastAsia" w:ascii="黑体" w:hAnsi="宋体" w:eastAsia="黑体"/>
          <w:sz w:val="32"/>
          <w:szCs w:val="32"/>
        </w:rPr>
        <w:t>三、机关运行经费安排情况</w:t>
      </w:r>
    </w:p>
    <w:p>
      <w:pPr>
        <w:spacing w:line="560" w:lineRule="exact"/>
        <w:ind w:firstLine="645"/>
        <w:rPr>
          <w:rFonts w:ascii="仿宋_GB2312" w:hAnsi="宋体" w:eastAsia="仿宋_GB2312"/>
          <w:sz w:val="32"/>
          <w:szCs w:val="32"/>
        </w:rPr>
      </w:pPr>
      <w:r>
        <w:rPr>
          <w:rFonts w:hint="eastAsia" w:ascii="仿宋_GB2312" w:hAnsi="宋体" w:eastAsia="仿宋_GB2312"/>
          <w:sz w:val="32"/>
          <w:szCs w:val="32"/>
          <w:lang w:eastAsia="zh-CN"/>
        </w:rPr>
        <w:t>盘锦市机关事务中心</w:t>
      </w:r>
      <w:r>
        <w:rPr>
          <w:rFonts w:hint="eastAsia" w:ascii="仿宋_GB2312" w:hAnsi="宋体" w:eastAsia="仿宋_GB2312"/>
          <w:sz w:val="32"/>
          <w:szCs w:val="32"/>
        </w:rPr>
        <w:t>机关</w:t>
      </w:r>
      <w:r>
        <w:rPr>
          <w:rFonts w:hint="eastAsia" w:ascii="仿宋_GB2312" w:hAnsi="宋体" w:eastAsia="仿宋_GB2312"/>
          <w:sz w:val="32"/>
          <w:szCs w:val="32"/>
          <w:lang w:val="en-US" w:eastAsia="zh-CN"/>
        </w:rPr>
        <w:t>为事业单位无机关</w:t>
      </w:r>
      <w:r>
        <w:rPr>
          <w:rFonts w:hint="eastAsia" w:ascii="仿宋_GB2312" w:hAnsi="宋体" w:eastAsia="仿宋_GB2312"/>
          <w:sz w:val="32"/>
          <w:szCs w:val="32"/>
        </w:rPr>
        <w:t>运行经费。</w:t>
      </w:r>
    </w:p>
    <w:p>
      <w:pPr>
        <w:spacing w:line="560" w:lineRule="exact"/>
        <w:ind w:firstLine="660"/>
        <w:rPr>
          <w:rFonts w:ascii="黑体" w:hAnsi="黑体" w:eastAsia="黑体"/>
          <w:sz w:val="32"/>
          <w:szCs w:val="32"/>
        </w:rPr>
      </w:pPr>
      <w:r>
        <w:rPr>
          <w:rFonts w:hint="eastAsia" w:ascii="黑体" w:hAnsi="黑体" w:eastAsia="黑体"/>
          <w:sz w:val="32"/>
          <w:szCs w:val="32"/>
        </w:rPr>
        <w:t>四、政府采购情况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6"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2025年盘锦市机关事务中心安排政府采购预算</w:t>
      </w:r>
      <w:r>
        <w:rPr>
          <w:rFonts w:hint="eastAsia" w:ascii="仿宋_GB2312" w:hAnsi="宋体" w:eastAsia="仿宋_GB2312"/>
          <w:sz w:val="32"/>
          <w:szCs w:val="32"/>
          <w:highlight w:val="none"/>
        </w:rPr>
        <w:t>4962.25</w:t>
      </w:r>
      <w:r>
        <w:rPr>
          <w:rFonts w:hint="eastAsia" w:ascii="仿宋_GB2312" w:hAnsi="仿宋_GB2312" w:eastAsia="仿宋_GB2312" w:cs="仿宋_GB2312"/>
          <w:sz w:val="32"/>
          <w:szCs w:val="32"/>
          <w:lang w:val="en-US" w:eastAsia="zh-CN"/>
        </w:rPr>
        <w:t>万元，具体为货物0万元，服务</w:t>
      </w:r>
      <w:r>
        <w:rPr>
          <w:rFonts w:hint="eastAsia" w:ascii="仿宋_GB2312" w:hAnsi="宋体" w:eastAsia="仿宋_GB2312"/>
          <w:sz w:val="32"/>
          <w:szCs w:val="32"/>
          <w:highlight w:val="none"/>
        </w:rPr>
        <w:t>4962.25</w:t>
      </w:r>
      <w:r>
        <w:rPr>
          <w:rFonts w:hint="eastAsia" w:ascii="仿宋_GB2312" w:hAnsi="仿宋_GB2312" w:eastAsia="仿宋_GB2312" w:cs="仿宋_GB2312"/>
          <w:sz w:val="32"/>
          <w:szCs w:val="32"/>
          <w:lang w:val="en-US" w:eastAsia="zh-CN"/>
        </w:rPr>
        <w:t>万元，工程0万元；预留面向中小企业采购份额</w:t>
      </w:r>
      <w:r>
        <w:rPr>
          <w:rFonts w:hint="eastAsia" w:ascii="仿宋_GB2312" w:hAnsi="宋体" w:eastAsia="仿宋_GB2312"/>
          <w:sz w:val="32"/>
          <w:szCs w:val="32"/>
          <w:highlight w:val="none"/>
        </w:rPr>
        <w:t>4962.25</w:t>
      </w:r>
      <w:r>
        <w:rPr>
          <w:rFonts w:hint="eastAsia" w:ascii="仿宋_GB2312" w:hAnsi="仿宋_GB2312" w:eastAsia="仿宋_GB2312" w:cs="仿宋_GB2312"/>
          <w:sz w:val="32"/>
          <w:szCs w:val="32"/>
          <w:lang w:val="en-US" w:eastAsia="zh-CN"/>
        </w:rPr>
        <w:t>万元，其中预留给小微企业117.94万元。</w:t>
      </w:r>
    </w:p>
    <w:p>
      <w:pPr>
        <w:spacing w:line="560" w:lineRule="exact"/>
        <w:ind w:firstLine="660"/>
        <w:rPr>
          <w:rFonts w:ascii="黑体" w:hAnsi="黑体" w:eastAsia="黑体"/>
          <w:sz w:val="32"/>
          <w:szCs w:val="32"/>
        </w:rPr>
      </w:pPr>
      <w:r>
        <w:rPr>
          <w:rFonts w:hint="eastAsia" w:ascii="黑体" w:hAnsi="黑体" w:eastAsia="黑体"/>
          <w:sz w:val="32"/>
          <w:szCs w:val="32"/>
        </w:rPr>
        <w:t>五、“三公”经费预算情况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right="0" w:firstLine="646" w:firstLineChars="200"/>
        <w:jc w:val="both"/>
        <w:rPr>
          <w:rFonts w:hint="default" w:ascii="仿宋_GB2312" w:eastAsia="仿宋_GB2312"/>
          <w:sz w:val="32"/>
          <w:szCs w:val="32"/>
          <w:lang w:eastAsia="zh-CN"/>
        </w:rPr>
      </w:pPr>
      <w:r>
        <w:rPr>
          <w:rFonts w:hint="eastAsia" w:ascii="仿宋_GB2312" w:eastAsia="仿宋_GB2312"/>
          <w:sz w:val="32"/>
          <w:szCs w:val="32"/>
          <w:lang w:val="en-US" w:eastAsia="zh-CN"/>
        </w:rPr>
        <w:t>2025</w:t>
      </w:r>
      <w:r>
        <w:rPr>
          <w:rFonts w:hint="eastAsia" w:ascii="仿宋_GB2312" w:eastAsia="仿宋_GB2312"/>
          <w:sz w:val="32"/>
          <w:szCs w:val="32"/>
        </w:rPr>
        <w:t>年</w:t>
      </w:r>
      <w:r>
        <w:rPr>
          <w:rFonts w:hint="eastAsia" w:ascii="仿宋_GB2312" w:eastAsia="仿宋_GB2312"/>
          <w:sz w:val="32"/>
          <w:szCs w:val="32"/>
          <w:lang w:eastAsia="zh-CN"/>
        </w:rPr>
        <w:t>盘锦市机关事务中心财政拨款</w:t>
      </w:r>
      <w:r>
        <w:rPr>
          <w:rFonts w:hint="eastAsia" w:ascii="仿宋_GB2312" w:eastAsia="仿宋_GB2312"/>
          <w:sz w:val="32"/>
          <w:szCs w:val="32"/>
        </w:rPr>
        <w:t>预算安排的 “三公”经费预算为</w:t>
      </w:r>
      <w:r>
        <w:rPr>
          <w:rFonts w:hint="eastAsia" w:ascii="仿宋_GB2312" w:eastAsia="仿宋_GB2312"/>
          <w:sz w:val="32"/>
          <w:szCs w:val="32"/>
          <w:lang w:val="en-US" w:eastAsia="zh-CN"/>
        </w:rPr>
        <w:t>262</w:t>
      </w:r>
      <w:r>
        <w:rPr>
          <w:rFonts w:hint="eastAsia" w:ascii="仿宋_GB2312" w:eastAsia="仿宋_GB2312"/>
          <w:sz w:val="32"/>
          <w:szCs w:val="32"/>
        </w:rPr>
        <w:t>万元，</w:t>
      </w:r>
      <w:r>
        <w:rPr>
          <w:rFonts w:hint="default" w:ascii="仿宋_GB2312" w:eastAsia="仿宋_GB2312"/>
          <w:sz w:val="32"/>
          <w:szCs w:val="32"/>
          <w:lang w:val="en-US" w:eastAsia="zh-CN"/>
        </w:rPr>
        <w:t>与上年持平。</w:t>
      </w:r>
    </w:p>
    <w:p>
      <w:pPr>
        <w:spacing w:line="560" w:lineRule="exact"/>
        <w:ind w:firstLine="660"/>
        <w:rPr>
          <w:rFonts w:ascii="仿宋_GB2312" w:eastAsia="仿宋_GB2312"/>
          <w:sz w:val="32"/>
          <w:szCs w:val="32"/>
        </w:rPr>
      </w:pPr>
      <w:r>
        <w:rPr>
          <w:rFonts w:hint="eastAsia" w:ascii="仿宋_GB2312" w:eastAsia="仿宋_GB2312"/>
          <w:sz w:val="32"/>
          <w:szCs w:val="32"/>
        </w:rPr>
        <w:t>其中：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right="0" w:firstLine="646" w:firstLineChars="200"/>
        <w:jc w:val="both"/>
        <w:rPr>
          <w:rFonts w:hint="default" w:ascii="仿宋_GB2312" w:eastAsia="仿宋_GB2312"/>
          <w:sz w:val="32"/>
          <w:szCs w:val="32"/>
          <w:lang w:eastAsia="zh-CN"/>
        </w:rPr>
      </w:pPr>
      <w:r>
        <w:rPr>
          <w:rFonts w:hint="eastAsia" w:ascii="仿宋_GB2312" w:eastAsia="仿宋_GB2312"/>
          <w:sz w:val="32"/>
          <w:szCs w:val="32"/>
        </w:rPr>
        <w:t>1.因公出国（境）费</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default" w:ascii="仿宋_GB2312" w:eastAsia="仿宋_GB2312"/>
          <w:sz w:val="32"/>
          <w:szCs w:val="32"/>
          <w:lang w:val="en-US" w:eastAsia="zh-CN"/>
        </w:rPr>
        <w:t>与上年持平。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right="0" w:firstLine="646" w:firstLineChars="200"/>
        <w:jc w:val="both"/>
        <w:rPr>
          <w:rFonts w:hint="default" w:ascii="仿宋_GB2312" w:eastAsia="仿宋_GB2312"/>
          <w:sz w:val="32"/>
          <w:szCs w:val="32"/>
          <w:lang w:eastAsia="zh-CN"/>
        </w:rPr>
      </w:pPr>
      <w:r>
        <w:rPr>
          <w:rFonts w:hint="eastAsia" w:ascii="仿宋_GB2312" w:eastAsia="仿宋_GB2312"/>
          <w:sz w:val="32"/>
          <w:szCs w:val="32"/>
        </w:rPr>
        <w:t>2.公务接待费</w:t>
      </w:r>
      <w:r>
        <w:rPr>
          <w:rFonts w:hint="eastAsia" w:ascii="仿宋_GB2312" w:eastAsia="仿宋_GB2312"/>
          <w:sz w:val="32"/>
          <w:szCs w:val="32"/>
          <w:lang w:val="en-US" w:eastAsia="zh-CN"/>
        </w:rPr>
        <w:t>100</w:t>
      </w:r>
      <w:r>
        <w:rPr>
          <w:rFonts w:hint="eastAsia" w:ascii="仿宋_GB2312" w:eastAsia="仿宋_GB2312"/>
          <w:sz w:val="32"/>
          <w:szCs w:val="32"/>
        </w:rPr>
        <w:t>万元，</w:t>
      </w:r>
      <w:r>
        <w:rPr>
          <w:rFonts w:hint="default" w:ascii="仿宋_GB2312" w:eastAsia="仿宋_GB2312"/>
          <w:sz w:val="32"/>
          <w:szCs w:val="32"/>
          <w:lang w:val="en-US" w:eastAsia="zh-CN"/>
        </w:rPr>
        <w:t>与上年持平。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right="0" w:firstLine="646" w:firstLineChars="200"/>
        <w:jc w:val="both"/>
        <w:rPr>
          <w:rFonts w:hint="default" w:ascii="仿宋_GB2312" w:eastAsia="仿宋_GB2312"/>
          <w:sz w:val="32"/>
          <w:szCs w:val="32"/>
          <w:lang w:val="en-US" w:eastAsia="zh-CN"/>
        </w:rPr>
      </w:pPr>
      <w:r>
        <w:rPr>
          <w:rFonts w:hint="eastAsia" w:ascii="仿宋_GB2312" w:eastAsia="仿宋_GB2312"/>
          <w:sz w:val="32"/>
          <w:szCs w:val="32"/>
        </w:rPr>
        <w:t>3.公务用车购置及运行费</w:t>
      </w:r>
      <w:r>
        <w:rPr>
          <w:rFonts w:hint="eastAsia" w:ascii="仿宋_GB2312" w:eastAsia="仿宋_GB2312"/>
          <w:sz w:val="32"/>
          <w:szCs w:val="32"/>
          <w:lang w:val="en-US" w:eastAsia="zh-CN"/>
        </w:rPr>
        <w:t>162</w:t>
      </w:r>
      <w:r>
        <w:rPr>
          <w:rFonts w:hint="eastAsia" w:ascii="仿宋_GB2312" w:eastAsia="仿宋_GB2312"/>
          <w:sz w:val="32"/>
          <w:szCs w:val="32"/>
        </w:rPr>
        <w:t>万元（其中：公务用车购置费</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default" w:ascii="仿宋_GB2312" w:eastAsia="仿宋_GB2312"/>
          <w:sz w:val="32"/>
          <w:szCs w:val="32"/>
          <w:lang w:val="en-US" w:eastAsia="zh-CN"/>
        </w:rPr>
        <w:t>与上年持平</w:t>
      </w:r>
      <w:r>
        <w:rPr>
          <w:rFonts w:hint="eastAsia" w:ascii="仿宋_GB2312" w:eastAsia="仿宋_GB2312"/>
          <w:sz w:val="32"/>
          <w:szCs w:val="32"/>
        </w:rPr>
        <w:t>；公务用车运行费</w:t>
      </w:r>
      <w:r>
        <w:rPr>
          <w:rFonts w:hint="eastAsia" w:ascii="仿宋_GB2312" w:eastAsia="仿宋_GB2312"/>
          <w:sz w:val="32"/>
          <w:szCs w:val="32"/>
          <w:lang w:val="en-US" w:eastAsia="zh-CN"/>
        </w:rPr>
        <w:t>162</w:t>
      </w:r>
      <w:r>
        <w:rPr>
          <w:rFonts w:hint="eastAsia" w:ascii="仿宋_GB2312" w:eastAsia="仿宋_GB2312"/>
          <w:sz w:val="32"/>
          <w:szCs w:val="32"/>
        </w:rPr>
        <w:t>万元，</w:t>
      </w:r>
      <w:r>
        <w:rPr>
          <w:rFonts w:hint="default" w:ascii="仿宋_GB2312" w:eastAsia="仿宋_GB2312"/>
          <w:sz w:val="32"/>
          <w:szCs w:val="32"/>
          <w:lang w:val="en-US" w:eastAsia="zh-CN"/>
        </w:rPr>
        <w:t>与上年持平。</w:t>
      </w:r>
    </w:p>
    <w:tbl>
      <w:tblPr>
        <w:tblStyle w:val="6"/>
        <w:tblW w:w="8835" w:type="dxa"/>
        <w:tblInd w:w="93" w:type="dxa"/>
        <w:tblLayout w:type="fixed"/>
        <w:tblCellMar>
          <w:top w:w="15" w:type="dxa"/>
          <w:left w:w="108" w:type="dxa"/>
          <w:bottom w:w="15" w:type="dxa"/>
          <w:right w:w="108" w:type="dxa"/>
        </w:tblCellMar>
      </w:tblPr>
      <w:tblGrid>
        <w:gridCol w:w="3423"/>
        <w:gridCol w:w="2026"/>
        <w:gridCol w:w="803"/>
        <w:gridCol w:w="2583"/>
      </w:tblGrid>
      <w:tr>
        <w:tblPrEx>
          <w:tblCellMar>
            <w:top w:w="15" w:type="dxa"/>
            <w:left w:w="108" w:type="dxa"/>
            <w:bottom w:w="15" w:type="dxa"/>
            <w:right w:w="108" w:type="dxa"/>
          </w:tblCellMar>
        </w:tblPrEx>
        <w:trPr>
          <w:trHeight w:val="570" w:hRule="atLeast"/>
        </w:trPr>
        <w:tc>
          <w:tcPr>
            <w:tcW w:w="8835" w:type="dxa"/>
            <w:gridSpan w:val="4"/>
            <w:vAlign w:val="center"/>
          </w:tcPr>
          <w:p>
            <w:pPr>
              <w:widowControl/>
              <w:spacing w:line="560" w:lineRule="exact"/>
              <w:jc w:val="center"/>
              <w:rPr>
                <w:rFonts w:ascii="宋体" w:hAnsi="宋体" w:cs="宋体"/>
                <w:b/>
                <w:bCs/>
                <w:color w:val="000000"/>
                <w:kern w:val="0"/>
                <w:sz w:val="30"/>
                <w:szCs w:val="30"/>
              </w:rPr>
            </w:pPr>
            <w:r>
              <w:rPr>
                <w:rFonts w:hint="eastAsia" w:ascii="宋体" w:hAnsi="宋体" w:cs="宋体"/>
                <w:b/>
                <w:bCs/>
                <w:color w:val="000000"/>
                <w:kern w:val="0"/>
                <w:sz w:val="30"/>
                <w:szCs w:val="30"/>
                <w:lang w:eastAsia="zh-CN"/>
              </w:rPr>
              <w:t>财政拨款</w:t>
            </w:r>
            <w:r>
              <w:rPr>
                <w:rFonts w:hint="eastAsia" w:ascii="宋体" w:hAnsi="宋体" w:cs="宋体"/>
                <w:b/>
                <w:bCs/>
                <w:color w:val="000000"/>
                <w:kern w:val="0"/>
                <w:sz w:val="30"/>
                <w:szCs w:val="30"/>
              </w:rPr>
              <w:t>预算“三公”经费支出表</w:t>
            </w:r>
          </w:p>
        </w:tc>
      </w:tr>
      <w:tr>
        <w:tblPrEx>
          <w:tblCellMar>
            <w:top w:w="15" w:type="dxa"/>
            <w:left w:w="108" w:type="dxa"/>
            <w:bottom w:w="15" w:type="dxa"/>
            <w:right w:w="108" w:type="dxa"/>
          </w:tblCellMar>
        </w:tblPrEx>
        <w:trPr>
          <w:trHeight w:val="480" w:hRule="atLeast"/>
        </w:trPr>
        <w:tc>
          <w:tcPr>
            <w:tcW w:w="3423" w:type="dxa"/>
            <w:vAlign w:val="center"/>
          </w:tcPr>
          <w:p>
            <w:pPr>
              <w:widowControl/>
              <w:spacing w:line="560" w:lineRule="exact"/>
              <w:jc w:val="left"/>
              <w:rPr>
                <w:rFonts w:ascii="宋体" w:hAnsi="宋体" w:cs="宋体"/>
                <w:color w:val="000000"/>
                <w:kern w:val="0"/>
                <w:sz w:val="24"/>
              </w:rPr>
            </w:pPr>
          </w:p>
        </w:tc>
        <w:tc>
          <w:tcPr>
            <w:tcW w:w="2026" w:type="dxa"/>
            <w:vAlign w:val="center"/>
          </w:tcPr>
          <w:p>
            <w:pPr>
              <w:widowControl/>
              <w:spacing w:line="560" w:lineRule="exact"/>
              <w:jc w:val="left"/>
              <w:rPr>
                <w:rFonts w:ascii="宋体" w:hAnsi="宋体" w:cs="宋体"/>
                <w:color w:val="000000"/>
                <w:kern w:val="0"/>
                <w:sz w:val="24"/>
              </w:rPr>
            </w:pPr>
          </w:p>
        </w:tc>
        <w:tc>
          <w:tcPr>
            <w:tcW w:w="3386" w:type="dxa"/>
            <w:gridSpan w:val="2"/>
            <w:vAlign w:val="center"/>
          </w:tcPr>
          <w:p>
            <w:pPr>
              <w:widowControl/>
              <w:spacing w:line="560" w:lineRule="exact"/>
              <w:jc w:val="right"/>
              <w:rPr>
                <w:rFonts w:ascii="宋体" w:hAnsi="宋体" w:cs="宋体"/>
                <w:color w:val="000000"/>
                <w:kern w:val="0"/>
                <w:sz w:val="24"/>
              </w:rPr>
            </w:pPr>
            <w:r>
              <w:rPr>
                <w:rFonts w:hint="eastAsia" w:ascii="宋体" w:hAnsi="宋体" w:cs="宋体"/>
                <w:color w:val="000000"/>
                <w:kern w:val="0"/>
                <w:sz w:val="24"/>
              </w:rPr>
              <w:t>单位：万元</w:t>
            </w:r>
          </w:p>
        </w:tc>
      </w:tr>
      <w:tr>
        <w:tblPrEx>
          <w:tblCellMar>
            <w:top w:w="15" w:type="dxa"/>
            <w:left w:w="108" w:type="dxa"/>
            <w:bottom w:w="15" w:type="dxa"/>
            <w:right w:w="108" w:type="dxa"/>
          </w:tblCellMar>
        </w:tblPrEx>
        <w:trPr>
          <w:trHeight w:val="420" w:hRule="atLeast"/>
        </w:trPr>
        <w:tc>
          <w:tcPr>
            <w:tcW w:w="342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ascii="宋体" w:hAnsi="宋体" w:cs="宋体"/>
                <w:b/>
                <w:bCs/>
                <w:color w:val="000000"/>
                <w:kern w:val="0"/>
                <w:sz w:val="24"/>
              </w:rPr>
            </w:pPr>
            <w:r>
              <w:rPr>
                <w:rFonts w:hint="eastAsia" w:ascii="宋体" w:hAnsi="宋体" w:cs="宋体"/>
                <w:b/>
                <w:bCs/>
                <w:color w:val="000000"/>
                <w:kern w:val="0"/>
                <w:sz w:val="24"/>
              </w:rPr>
              <w:t>项目</w:t>
            </w:r>
          </w:p>
        </w:tc>
        <w:tc>
          <w:tcPr>
            <w:tcW w:w="541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ascii="宋体" w:hAnsi="宋体" w:cs="宋体"/>
                <w:b/>
                <w:bCs/>
                <w:color w:val="000000"/>
                <w:kern w:val="0"/>
                <w:sz w:val="24"/>
              </w:rPr>
            </w:pPr>
            <w:r>
              <w:rPr>
                <w:rFonts w:hint="eastAsia" w:ascii="宋体" w:hAnsi="宋体" w:cs="宋体"/>
                <w:b/>
                <w:bCs/>
                <w:color w:val="000000"/>
                <w:kern w:val="0"/>
                <w:sz w:val="24"/>
              </w:rPr>
              <w:t>金额</w:t>
            </w:r>
          </w:p>
        </w:tc>
      </w:tr>
      <w:tr>
        <w:tblPrEx>
          <w:tblCellMar>
            <w:top w:w="15" w:type="dxa"/>
            <w:left w:w="108" w:type="dxa"/>
            <w:bottom w:w="15" w:type="dxa"/>
            <w:right w:w="108" w:type="dxa"/>
          </w:tblCellMar>
        </w:tblPrEx>
        <w:trPr>
          <w:trHeight w:val="420" w:hRule="atLeast"/>
        </w:trPr>
        <w:tc>
          <w:tcPr>
            <w:tcW w:w="342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宋体" w:hAnsi="宋体" w:cs="宋体"/>
                <w:b/>
                <w:bCs/>
                <w:color w:val="000000"/>
                <w:kern w:val="0"/>
                <w:sz w:val="24"/>
              </w:rPr>
            </w:pPr>
          </w:p>
        </w:tc>
        <w:tc>
          <w:tcPr>
            <w:tcW w:w="28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ascii="宋体" w:hAnsi="宋体" w:cs="宋体"/>
                <w:b/>
                <w:bCs/>
                <w:color w:val="000000"/>
                <w:kern w:val="0"/>
                <w:sz w:val="24"/>
              </w:rPr>
            </w:pPr>
            <w:r>
              <w:rPr>
                <w:rFonts w:hint="eastAsia" w:ascii="宋体" w:hAnsi="宋体" w:cs="宋体"/>
                <w:b/>
                <w:bCs/>
                <w:color w:val="000000"/>
                <w:kern w:val="0"/>
                <w:sz w:val="24"/>
                <w:lang w:val="en-US" w:eastAsia="zh-CN"/>
              </w:rPr>
              <w:t>2024</w:t>
            </w:r>
            <w:r>
              <w:rPr>
                <w:rFonts w:hint="eastAsia" w:ascii="宋体" w:hAnsi="宋体" w:cs="宋体"/>
                <w:b/>
                <w:bCs/>
                <w:color w:val="000000"/>
                <w:kern w:val="0"/>
                <w:sz w:val="24"/>
              </w:rPr>
              <w:t>年</w:t>
            </w:r>
          </w:p>
        </w:tc>
        <w:tc>
          <w:tcPr>
            <w:tcW w:w="258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ascii="宋体" w:hAnsi="宋体" w:cs="宋体"/>
                <w:b/>
                <w:bCs/>
                <w:color w:val="000000"/>
                <w:kern w:val="0"/>
                <w:sz w:val="24"/>
              </w:rPr>
            </w:pPr>
            <w:r>
              <w:rPr>
                <w:rFonts w:hint="eastAsia" w:ascii="宋体" w:hAnsi="宋体" w:cs="宋体"/>
                <w:b/>
                <w:bCs/>
                <w:color w:val="000000"/>
                <w:kern w:val="0"/>
                <w:sz w:val="24"/>
                <w:lang w:val="en-US" w:eastAsia="zh-CN"/>
              </w:rPr>
              <w:t>2025</w:t>
            </w:r>
            <w:r>
              <w:rPr>
                <w:rFonts w:hint="eastAsia" w:ascii="宋体" w:hAnsi="宋体" w:cs="宋体"/>
                <w:b/>
                <w:bCs/>
                <w:color w:val="000000"/>
                <w:kern w:val="0"/>
                <w:sz w:val="24"/>
              </w:rPr>
              <w:t>年</w:t>
            </w:r>
          </w:p>
        </w:tc>
      </w:tr>
      <w:tr>
        <w:tblPrEx>
          <w:tblCellMar>
            <w:top w:w="15" w:type="dxa"/>
            <w:left w:w="108" w:type="dxa"/>
            <w:bottom w:w="15" w:type="dxa"/>
            <w:right w:w="108" w:type="dxa"/>
          </w:tblCellMar>
        </w:tblPrEx>
        <w:trPr>
          <w:trHeight w:val="420" w:hRule="atLeast"/>
        </w:trPr>
        <w:tc>
          <w:tcPr>
            <w:tcW w:w="342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ascii="宋体" w:hAnsi="宋体" w:cs="宋体"/>
                <w:b/>
                <w:bCs/>
                <w:color w:val="000000"/>
                <w:kern w:val="0"/>
                <w:sz w:val="24"/>
              </w:rPr>
            </w:pPr>
            <w:r>
              <w:rPr>
                <w:rFonts w:hint="eastAsia" w:ascii="宋体" w:hAnsi="宋体" w:cs="宋体"/>
                <w:b/>
                <w:bCs/>
                <w:color w:val="000000"/>
                <w:kern w:val="0"/>
                <w:sz w:val="24"/>
              </w:rPr>
              <w:t>合计</w:t>
            </w:r>
          </w:p>
        </w:tc>
        <w:tc>
          <w:tcPr>
            <w:tcW w:w="28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宋体" w:hAnsi="宋体" w:eastAsia="宋体" w:cs="宋体"/>
                <w:b/>
                <w:bCs/>
                <w:color w:val="000000"/>
                <w:kern w:val="0"/>
                <w:sz w:val="24"/>
                <w:lang w:val="en-US" w:eastAsia="zh-CN"/>
              </w:rPr>
            </w:pPr>
            <w:r>
              <w:rPr>
                <w:rFonts w:hint="eastAsia" w:ascii="宋体" w:hAnsi="宋体" w:cs="宋体"/>
                <w:b/>
                <w:bCs/>
                <w:color w:val="000000"/>
                <w:kern w:val="0"/>
                <w:sz w:val="24"/>
                <w:lang w:val="en-US" w:eastAsia="zh-CN"/>
              </w:rPr>
              <w:t>262</w:t>
            </w:r>
          </w:p>
        </w:tc>
        <w:tc>
          <w:tcPr>
            <w:tcW w:w="258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宋体" w:hAnsi="宋体" w:eastAsia="宋体" w:cs="宋体"/>
                <w:b/>
                <w:bCs/>
                <w:color w:val="000000"/>
                <w:kern w:val="0"/>
                <w:sz w:val="24"/>
                <w:lang w:val="en-US" w:eastAsia="zh-CN"/>
              </w:rPr>
            </w:pPr>
            <w:r>
              <w:rPr>
                <w:rFonts w:hint="eastAsia" w:ascii="宋体" w:hAnsi="宋体" w:cs="宋体"/>
                <w:b/>
                <w:bCs/>
                <w:color w:val="000000"/>
                <w:kern w:val="0"/>
                <w:sz w:val="24"/>
                <w:lang w:val="en-US" w:eastAsia="zh-CN"/>
              </w:rPr>
              <w:t>262</w:t>
            </w:r>
          </w:p>
        </w:tc>
      </w:tr>
      <w:tr>
        <w:tblPrEx>
          <w:tblCellMar>
            <w:top w:w="15" w:type="dxa"/>
            <w:left w:w="108" w:type="dxa"/>
            <w:bottom w:w="15" w:type="dxa"/>
            <w:right w:w="108" w:type="dxa"/>
          </w:tblCellMar>
        </w:tblPrEx>
        <w:trPr>
          <w:trHeight w:val="420" w:hRule="atLeast"/>
        </w:trPr>
        <w:tc>
          <w:tcPr>
            <w:tcW w:w="342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宋体" w:hAnsi="宋体" w:cs="宋体"/>
                <w:color w:val="000000"/>
                <w:kern w:val="0"/>
                <w:sz w:val="24"/>
              </w:rPr>
            </w:pPr>
            <w:r>
              <w:rPr>
                <w:rFonts w:hint="eastAsia" w:ascii="宋体" w:hAnsi="宋体" w:cs="宋体"/>
                <w:color w:val="000000"/>
                <w:kern w:val="0"/>
                <w:sz w:val="24"/>
              </w:rPr>
              <w:t>1.因公出国（境）费</w:t>
            </w:r>
          </w:p>
        </w:tc>
        <w:tc>
          <w:tcPr>
            <w:tcW w:w="28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0</w:t>
            </w:r>
          </w:p>
        </w:tc>
        <w:tc>
          <w:tcPr>
            <w:tcW w:w="258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0</w:t>
            </w:r>
          </w:p>
        </w:tc>
      </w:tr>
      <w:tr>
        <w:tblPrEx>
          <w:tblCellMar>
            <w:top w:w="15" w:type="dxa"/>
            <w:left w:w="108" w:type="dxa"/>
            <w:bottom w:w="15" w:type="dxa"/>
            <w:right w:w="108" w:type="dxa"/>
          </w:tblCellMar>
        </w:tblPrEx>
        <w:trPr>
          <w:trHeight w:val="420" w:hRule="atLeast"/>
        </w:trPr>
        <w:tc>
          <w:tcPr>
            <w:tcW w:w="342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宋体" w:hAnsi="宋体" w:cs="宋体"/>
                <w:color w:val="000000"/>
                <w:kern w:val="0"/>
                <w:sz w:val="24"/>
              </w:rPr>
            </w:pPr>
            <w:r>
              <w:rPr>
                <w:rFonts w:hint="eastAsia" w:ascii="宋体" w:hAnsi="宋体" w:cs="宋体"/>
                <w:color w:val="000000"/>
                <w:kern w:val="0"/>
                <w:sz w:val="24"/>
              </w:rPr>
              <w:t>2.公务接待费</w:t>
            </w:r>
          </w:p>
        </w:tc>
        <w:tc>
          <w:tcPr>
            <w:tcW w:w="28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100</w:t>
            </w:r>
          </w:p>
        </w:tc>
        <w:tc>
          <w:tcPr>
            <w:tcW w:w="258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100</w:t>
            </w:r>
          </w:p>
        </w:tc>
      </w:tr>
      <w:tr>
        <w:tblPrEx>
          <w:tblCellMar>
            <w:top w:w="15" w:type="dxa"/>
            <w:left w:w="108" w:type="dxa"/>
            <w:bottom w:w="15" w:type="dxa"/>
            <w:right w:w="108" w:type="dxa"/>
          </w:tblCellMar>
        </w:tblPrEx>
        <w:trPr>
          <w:trHeight w:val="420" w:hRule="atLeast"/>
        </w:trPr>
        <w:tc>
          <w:tcPr>
            <w:tcW w:w="342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宋体" w:hAnsi="宋体" w:cs="宋体"/>
                <w:color w:val="000000"/>
                <w:kern w:val="0"/>
                <w:sz w:val="24"/>
              </w:rPr>
            </w:pPr>
            <w:r>
              <w:rPr>
                <w:rFonts w:hint="eastAsia" w:ascii="宋体" w:hAnsi="宋体" w:cs="宋体"/>
                <w:color w:val="000000"/>
                <w:kern w:val="0"/>
                <w:sz w:val="24"/>
              </w:rPr>
              <w:t>3.公务用车购置及运行费</w:t>
            </w:r>
          </w:p>
        </w:tc>
        <w:tc>
          <w:tcPr>
            <w:tcW w:w="28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162</w:t>
            </w:r>
          </w:p>
        </w:tc>
        <w:tc>
          <w:tcPr>
            <w:tcW w:w="258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162</w:t>
            </w:r>
          </w:p>
        </w:tc>
      </w:tr>
      <w:tr>
        <w:tblPrEx>
          <w:tblCellMar>
            <w:top w:w="15" w:type="dxa"/>
            <w:left w:w="108" w:type="dxa"/>
            <w:bottom w:w="15" w:type="dxa"/>
            <w:right w:w="108" w:type="dxa"/>
          </w:tblCellMar>
        </w:tblPrEx>
        <w:trPr>
          <w:trHeight w:val="420" w:hRule="atLeast"/>
        </w:trPr>
        <w:tc>
          <w:tcPr>
            <w:tcW w:w="342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宋体" w:hAnsi="宋体" w:cs="宋体"/>
                <w:color w:val="000000"/>
                <w:kern w:val="0"/>
                <w:sz w:val="24"/>
              </w:rPr>
            </w:pPr>
            <w:r>
              <w:rPr>
                <w:rFonts w:hint="eastAsia" w:ascii="宋体" w:hAnsi="宋体" w:cs="宋体"/>
                <w:color w:val="000000"/>
                <w:kern w:val="0"/>
                <w:sz w:val="24"/>
              </w:rPr>
              <w:t xml:space="preserve"> 其中：公务用车购置费</w:t>
            </w:r>
          </w:p>
        </w:tc>
        <w:tc>
          <w:tcPr>
            <w:tcW w:w="28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ascii="宋体" w:hAnsi="宋体" w:cs="宋体"/>
                <w:color w:val="000000"/>
                <w:kern w:val="0"/>
                <w:sz w:val="24"/>
              </w:rPr>
            </w:pPr>
          </w:p>
        </w:tc>
        <w:tc>
          <w:tcPr>
            <w:tcW w:w="258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ascii="宋体" w:hAnsi="宋体" w:cs="宋体"/>
                <w:color w:val="000000"/>
                <w:kern w:val="0"/>
                <w:sz w:val="24"/>
              </w:rPr>
            </w:pPr>
          </w:p>
        </w:tc>
      </w:tr>
      <w:tr>
        <w:tblPrEx>
          <w:tblCellMar>
            <w:top w:w="15" w:type="dxa"/>
            <w:left w:w="108" w:type="dxa"/>
            <w:bottom w:w="15" w:type="dxa"/>
            <w:right w:w="108" w:type="dxa"/>
          </w:tblCellMar>
        </w:tblPrEx>
        <w:trPr>
          <w:trHeight w:val="420" w:hRule="atLeast"/>
        </w:trPr>
        <w:tc>
          <w:tcPr>
            <w:tcW w:w="342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宋体" w:hAnsi="宋体" w:cs="宋体"/>
                <w:color w:val="000000"/>
                <w:kern w:val="0"/>
                <w:sz w:val="24"/>
              </w:rPr>
            </w:pPr>
            <w:r>
              <w:rPr>
                <w:rFonts w:hint="eastAsia" w:ascii="宋体" w:hAnsi="宋体" w:cs="宋体"/>
                <w:color w:val="000000"/>
                <w:kern w:val="0"/>
                <w:sz w:val="24"/>
              </w:rPr>
              <w:t xml:space="preserve">       公务用车运行费</w:t>
            </w:r>
          </w:p>
        </w:tc>
        <w:tc>
          <w:tcPr>
            <w:tcW w:w="28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162</w:t>
            </w:r>
          </w:p>
        </w:tc>
        <w:tc>
          <w:tcPr>
            <w:tcW w:w="258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162</w:t>
            </w:r>
          </w:p>
        </w:tc>
      </w:tr>
    </w:tbl>
    <w:p>
      <w:pPr>
        <w:spacing w:line="560" w:lineRule="exact"/>
        <w:ind w:firstLine="646" w:firstLineChars="200"/>
        <w:rPr>
          <w:rFonts w:ascii="仿宋_GB2312" w:hAnsi="宋体" w:eastAsia="仿宋_GB2312"/>
          <w:sz w:val="32"/>
          <w:szCs w:val="32"/>
        </w:rPr>
      </w:pPr>
      <w:r>
        <w:rPr>
          <w:rFonts w:hint="eastAsia" w:ascii="黑体" w:hAnsi="黑体" w:eastAsia="黑体"/>
          <w:sz w:val="32"/>
          <w:szCs w:val="32"/>
        </w:rPr>
        <w:t>六、国有资产占用情况</w:t>
      </w:r>
    </w:p>
    <w:p>
      <w:pPr>
        <w:spacing w:line="560" w:lineRule="exact"/>
        <w:ind w:firstLine="646" w:firstLineChars="200"/>
        <w:rPr>
          <w:rFonts w:ascii="仿宋_GB2312" w:hAnsi="宋体" w:eastAsia="仿宋_GB2312"/>
          <w:sz w:val="32"/>
          <w:szCs w:val="32"/>
        </w:rPr>
      </w:pPr>
      <w:r>
        <w:rPr>
          <w:rFonts w:hint="eastAsia" w:ascii="仿宋_GB2312" w:hAnsi="宋体" w:eastAsia="仿宋_GB2312"/>
          <w:sz w:val="32"/>
          <w:szCs w:val="32"/>
          <w:lang w:eastAsia="zh-CN"/>
        </w:rPr>
        <w:t>盘锦市机关事务中心</w:t>
      </w:r>
      <w:r>
        <w:rPr>
          <w:rFonts w:hint="eastAsia" w:ascii="仿宋_GB2312" w:hAnsi="宋体" w:eastAsia="仿宋_GB2312"/>
          <w:sz w:val="32"/>
          <w:szCs w:val="32"/>
          <w:lang w:val="en-US" w:eastAsia="zh-CN"/>
        </w:rPr>
        <w:t>2025</w:t>
      </w:r>
      <w:r>
        <w:rPr>
          <w:rFonts w:hint="eastAsia" w:ascii="仿宋_GB2312" w:hAnsi="宋体" w:eastAsia="仿宋_GB2312"/>
          <w:sz w:val="32"/>
          <w:szCs w:val="32"/>
        </w:rPr>
        <w:t>年年初预算购置车辆</w:t>
      </w:r>
      <w:r>
        <w:rPr>
          <w:rFonts w:hint="eastAsia" w:ascii="仿宋_GB2312" w:hAnsi="宋体" w:eastAsia="仿宋_GB2312"/>
          <w:sz w:val="32"/>
          <w:szCs w:val="32"/>
          <w:lang w:val="en-US" w:eastAsia="zh-CN"/>
        </w:rPr>
        <w:t>0</w:t>
      </w:r>
      <w:r>
        <w:rPr>
          <w:rFonts w:hint="eastAsia" w:ascii="仿宋_GB2312" w:hAnsi="宋体" w:eastAsia="仿宋_GB2312"/>
          <w:sz w:val="32"/>
          <w:szCs w:val="32"/>
        </w:rPr>
        <w:t>台，金额</w:t>
      </w:r>
      <w:r>
        <w:rPr>
          <w:rFonts w:hint="eastAsia" w:ascii="仿宋_GB2312" w:hAnsi="宋体" w:eastAsia="仿宋_GB2312"/>
          <w:sz w:val="32"/>
          <w:szCs w:val="32"/>
          <w:lang w:val="en-US" w:eastAsia="zh-CN"/>
        </w:rPr>
        <w:t>0</w:t>
      </w:r>
      <w:r>
        <w:rPr>
          <w:rFonts w:hint="eastAsia" w:ascii="仿宋_GB2312" w:hAnsi="宋体" w:eastAsia="仿宋_GB2312"/>
          <w:sz w:val="32"/>
          <w:szCs w:val="32"/>
        </w:rPr>
        <w:t>万元，单位价值50万元以上的通用设备</w:t>
      </w:r>
      <w:r>
        <w:rPr>
          <w:rFonts w:hint="eastAsia" w:ascii="仿宋_GB2312" w:hAnsi="宋体" w:eastAsia="仿宋_GB2312"/>
          <w:sz w:val="32"/>
          <w:szCs w:val="32"/>
          <w:lang w:val="en-US" w:eastAsia="zh-CN"/>
        </w:rPr>
        <w:t>0</w:t>
      </w:r>
      <w:r>
        <w:rPr>
          <w:rFonts w:hint="eastAsia" w:ascii="仿宋_GB2312" w:hAnsi="宋体" w:eastAsia="仿宋_GB2312"/>
          <w:sz w:val="32"/>
          <w:szCs w:val="32"/>
        </w:rPr>
        <w:t>台，单位价值100万元以上的专用设备</w:t>
      </w:r>
      <w:r>
        <w:rPr>
          <w:rFonts w:hint="eastAsia" w:ascii="仿宋_GB2312" w:hAnsi="宋体" w:eastAsia="仿宋_GB2312"/>
          <w:sz w:val="32"/>
          <w:szCs w:val="32"/>
          <w:lang w:val="en-US" w:eastAsia="zh-CN"/>
        </w:rPr>
        <w:t>0</w:t>
      </w:r>
      <w:r>
        <w:rPr>
          <w:rFonts w:hint="eastAsia" w:ascii="仿宋_GB2312" w:hAnsi="宋体" w:eastAsia="仿宋_GB2312"/>
          <w:sz w:val="32"/>
          <w:szCs w:val="32"/>
        </w:rPr>
        <w:t>台。</w:t>
      </w:r>
    </w:p>
    <w:p>
      <w:pPr>
        <w:spacing w:line="560" w:lineRule="exact"/>
        <w:ind w:firstLine="646" w:firstLineChars="200"/>
        <w:rPr>
          <w:rFonts w:ascii="黑体" w:hAnsi="黑体" w:eastAsia="黑体"/>
          <w:sz w:val="32"/>
          <w:szCs w:val="32"/>
        </w:rPr>
      </w:pPr>
      <w:r>
        <w:rPr>
          <w:rFonts w:hint="eastAsia" w:ascii="黑体" w:hAnsi="黑体" w:eastAsia="黑体"/>
          <w:sz w:val="32"/>
          <w:szCs w:val="32"/>
        </w:rPr>
        <w:t>七、预算绩效目标情况</w:t>
      </w:r>
    </w:p>
    <w:p>
      <w:pPr>
        <w:spacing w:line="560" w:lineRule="exact"/>
        <w:ind w:firstLine="632" w:firstLineChars="196"/>
        <w:rPr>
          <w:rFonts w:hint="eastAsia" w:ascii="仿宋_GB2312" w:hAnsi="宋体" w:eastAsia="仿宋_GB2312"/>
          <w:color w:val="auto"/>
          <w:sz w:val="32"/>
          <w:szCs w:val="32"/>
          <w:highlight w:val="none"/>
        </w:rPr>
      </w:pPr>
      <w:r>
        <w:rPr>
          <w:rFonts w:hint="eastAsia" w:ascii="仿宋_GB2312" w:hAnsi="宋体" w:eastAsia="仿宋_GB2312"/>
          <w:sz w:val="32"/>
          <w:szCs w:val="32"/>
        </w:rPr>
        <w:t>根据预算绩效管理要求，</w:t>
      </w:r>
      <w:r>
        <w:rPr>
          <w:rFonts w:hint="eastAsia" w:ascii="仿宋_GB2312" w:hAnsi="宋体" w:eastAsia="仿宋_GB2312"/>
          <w:sz w:val="32"/>
          <w:szCs w:val="32"/>
          <w:lang w:eastAsia="zh-CN"/>
        </w:rPr>
        <w:t>盘锦市机关事务中心</w:t>
      </w:r>
      <w:r>
        <w:rPr>
          <w:rFonts w:hint="eastAsia" w:ascii="仿宋_GB2312" w:hAnsi="宋体" w:eastAsia="仿宋_GB2312"/>
          <w:sz w:val="32"/>
          <w:szCs w:val="32"/>
          <w:lang w:val="en-US" w:eastAsia="zh-CN"/>
        </w:rPr>
        <w:t>2025</w:t>
      </w:r>
      <w:r>
        <w:rPr>
          <w:rFonts w:hint="eastAsia" w:ascii="仿宋_GB2312" w:hAnsi="宋体" w:eastAsia="仿宋_GB2312"/>
          <w:sz w:val="32"/>
          <w:szCs w:val="32"/>
        </w:rPr>
        <w:t>年应编制部门（单位）整体绩效目标共</w:t>
      </w:r>
      <w:r>
        <w:rPr>
          <w:rFonts w:hint="eastAsia" w:ascii="仿宋_GB2312" w:hAnsi="宋体" w:eastAsia="仿宋_GB2312"/>
          <w:sz w:val="32"/>
          <w:szCs w:val="32"/>
          <w:lang w:val="en-US" w:eastAsia="zh-CN"/>
        </w:rPr>
        <w:t>1</w:t>
      </w:r>
      <w:r>
        <w:rPr>
          <w:rFonts w:hint="eastAsia" w:ascii="仿宋_GB2312" w:hAnsi="宋体" w:eastAsia="仿宋_GB2312"/>
          <w:sz w:val="32"/>
          <w:szCs w:val="32"/>
        </w:rPr>
        <w:t>个，实际编制部门（单位）整体绩效目标共</w:t>
      </w:r>
      <w:r>
        <w:rPr>
          <w:rFonts w:hint="eastAsia" w:ascii="仿宋_GB2312" w:hAnsi="宋体" w:eastAsia="仿宋_GB2312"/>
          <w:sz w:val="32"/>
          <w:szCs w:val="32"/>
          <w:lang w:val="en-US" w:eastAsia="zh-CN"/>
        </w:rPr>
        <w:t>1</w:t>
      </w:r>
      <w:r>
        <w:rPr>
          <w:rFonts w:hint="eastAsia" w:ascii="仿宋_GB2312" w:hAnsi="宋体" w:eastAsia="仿宋_GB2312"/>
          <w:sz w:val="32"/>
          <w:szCs w:val="32"/>
        </w:rPr>
        <w:t>个，编制部门（单位）整体绩效目标覆盖率（实际编制绩效目标的</w:t>
      </w:r>
      <w:r>
        <w:rPr>
          <w:rFonts w:hint="eastAsia" w:ascii="仿宋_GB2312" w:hAnsi="宋体" w:eastAsia="仿宋_GB2312"/>
          <w:color w:val="auto"/>
          <w:sz w:val="32"/>
          <w:szCs w:val="32"/>
          <w:highlight w:val="none"/>
        </w:rPr>
        <w:t>数量/应编制绩效目标的数量）为</w:t>
      </w:r>
      <w:r>
        <w:rPr>
          <w:rFonts w:hint="eastAsia" w:ascii="仿宋_GB2312" w:hAnsi="宋体" w:eastAsia="仿宋_GB2312"/>
          <w:color w:val="auto"/>
          <w:sz w:val="32"/>
          <w:szCs w:val="32"/>
          <w:highlight w:val="none"/>
          <w:lang w:val="en-US" w:eastAsia="zh-CN"/>
        </w:rPr>
        <w:t>100</w:t>
      </w:r>
      <w:r>
        <w:rPr>
          <w:rFonts w:hint="eastAsia" w:ascii="仿宋_GB2312" w:hAnsi="宋体" w:eastAsia="仿宋_GB2312"/>
          <w:color w:val="auto"/>
          <w:sz w:val="32"/>
          <w:szCs w:val="32"/>
          <w:highlight w:val="none"/>
        </w:rPr>
        <w:t>%。</w:t>
      </w:r>
      <w:r>
        <w:rPr>
          <w:rFonts w:hint="eastAsia" w:ascii="仿宋_GB2312" w:hAnsi="宋体" w:eastAsia="仿宋_GB2312"/>
          <w:color w:val="auto"/>
          <w:sz w:val="32"/>
          <w:szCs w:val="32"/>
          <w:highlight w:val="none"/>
          <w:lang w:val="en-US" w:eastAsia="zh-CN"/>
        </w:rPr>
        <w:t>2025</w:t>
      </w:r>
      <w:r>
        <w:rPr>
          <w:rFonts w:hint="eastAsia" w:ascii="仿宋_GB2312" w:hAnsi="宋体" w:eastAsia="仿宋_GB2312"/>
          <w:color w:val="auto"/>
          <w:sz w:val="32"/>
          <w:szCs w:val="32"/>
          <w:highlight w:val="none"/>
        </w:rPr>
        <w:t>年应编制绩效目标的</w:t>
      </w:r>
      <w:r>
        <w:rPr>
          <w:rFonts w:hint="eastAsia" w:ascii="仿宋_GB2312" w:hAnsi="宋体" w:eastAsia="仿宋_GB2312"/>
          <w:strike w:val="0"/>
          <w:dstrike w:val="0"/>
          <w:color w:val="auto"/>
          <w:sz w:val="32"/>
          <w:szCs w:val="32"/>
          <w:highlight w:val="none"/>
        </w:rPr>
        <w:t>特定目标类</w:t>
      </w:r>
      <w:r>
        <w:rPr>
          <w:rFonts w:hint="eastAsia" w:ascii="仿宋_GB2312" w:hAnsi="宋体" w:eastAsia="仿宋_GB2312"/>
          <w:strike w:val="0"/>
          <w:dstrike w:val="0"/>
          <w:color w:val="auto"/>
          <w:sz w:val="32"/>
          <w:szCs w:val="32"/>
          <w:highlight w:val="none"/>
          <w:lang w:eastAsia="zh-CN"/>
        </w:rPr>
        <w:t>和其他运转类</w:t>
      </w:r>
      <w:r>
        <w:rPr>
          <w:rFonts w:hint="eastAsia" w:ascii="仿宋_GB2312" w:hAnsi="宋体" w:eastAsia="仿宋_GB2312"/>
          <w:color w:val="auto"/>
          <w:sz w:val="32"/>
          <w:szCs w:val="32"/>
          <w:highlight w:val="none"/>
        </w:rPr>
        <w:t>项目共</w:t>
      </w:r>
      <w:r>
        <w:rPr>
          <w:rFonts w:hint="eastAsia" w:ascii="仿宋_GB2312" w:hAnsi="宋体" w:eastAsia="仿宋_GB2312"/>
          <w:color w:val="auto"/>
          <w:sz w:val="32"/>
          <w:szCs w:val="32"/>
          <w:highlight w:val="none"/>
          <w:lang w:val="en-US" w:eastAsia="zh-CN"/>
        </w:rPr>
        <w:t>8</w:t>
      </w:r>
      <w:r>
        <w:rPr>
          <w:rFonts w:hint="eastAsia" w:ascii="仿宋_GB2312" w:hAnsi="宋体" w:eastAsia="仿宋_GB2312"/>
          <w:color w:val="auto"/>
          <w:sz w:val="32"/>
          <w:szCs w:val="32"/>
          <w:highlight w:val="none"/>
        </w:rPr>
        <w:t>个，实际编制绩效目标的</w:t>
      </w:r>
      <w:r>
        <w:rPr>
          <w:rFonts w:hint="eastAsia" w:ascii="仿宋_GB2312" w:hAnsi="宋体" w:eastAsia="仿宋_GB2312"/>
          <w:strike w:val="0"/>
          <w:dstrike w:val="0"/>
          <w:color w:val="auto"/>
          <w:sz w:val="32"/>
          <w:szCs w:val="32"/>
          <w:highlight w:val="none"/>
        </w:rPr>
        <w:t>特定目标类</w:t>
      </w:r>
      <w:r>
        <w:rPr>
          <w:rFonts w:hint="eastAsia" w:ascii="仿宋_GB2312" w:hAnsi="宋体" w:eastAsia="仿宋_GB2312"/>
          <w:strike w:val="0"/>
          <w:dstrike w:val="0"/>
          <w:color w:val="auto"/>
          <w:sz w:val="32"/>
          <w:szCs w:val="32"/>
          <w:highlight w:val="none"/>
          <w:lang w:eastAsia="zh-CN"/>
        </w:rPr>
        <w:t>和其他运转类</w:t>
      </w:r>
      <w:r>
        <w:rPr>
          <w:rFonts w:hint="eastAsia" w:ascii="仿宋_GB2312" w:hAnsi="宋体" w:eastAsia="仿宋_GB2312"/>
          <w:color w:val="auto"/>
          <w:sz w:val="32"/>
          <w:szCs w:val="32"/>
          <w:highlight w:val="none"/>
        </w:rPr>
        <w:t>项目共</w:t>
      </w:r>
      <w:r>
        <w:rPr>
          <w:rFonts w:hint="eastAsia" w:ascii="仿宋_GB2312" w:hAnsi="宋体" w:eastAsia="仿宋_GB2312"/>
          <w:color w:val="auto"/>
          <w:sz w:val="32"/>
          <w:szCs w:val="32"/>
          <w:highlight w:val="none"/>
          <w:lang w:val="en-US" w:eastAsia="zh-CN"/>
        </w:rPr>
        <w:t>8</w:t>
      </w:r>
      <w:r>
        <w:rPr>
          <w:rFonts w:hint="eastAsia" w:ascii="仿宋_GB2312" w:hAnsi="宋体" w:eastAsia="仿宋_GB2312"/>
          <w:color w:val="auto"/>
          <w:sz w:val="32"/>
          <w:szCs w:val="32"/>
          <w:highlight w:val="none"/>
        </w:rPr>
        <w:t>个，涉及资金</w:t>
      </w:r>
      <w:r>
        <w:rPr>
          <w:rFonts w:hint="eastAsia" w:ascii="仿宋_GB2312" w:eastAsia="仿宋_GB2312" w:cs="仿宋_GB2312"/>
          <w:sz w:val="32"/>
          <w:szCs w:val="32"/>
          <w:highlight w:val="none"/>
        </w:rPr>
        <w:t>5241.33</w:t>
      </w:r>
      <w:r>
        <w:rPr>
          <w:rFonts w:hint="eastAsia" w:ascii="仿宋_GB2312" w:hAnsi="宋体" w:eastAsia="仿宋_GB2312"/>
          <w:color w:val="auto"/>
          <w:sz w:val="32"/>
          <w:szCs w:val="32"/>
          <w:highlight w:val="none"/>
        </w:rPr>
        <w:t>万元，编制</w:t>
      </w:r>
      <w:r>
        <w:rPr>
          <w:rFonts w:hint="eastAsia" w:ascii="仿宋_GB2312" w:hAnsi="宋体" w:eastAsia="仿宋_GB2312"/>
          <w:strike w:val="0"/>
          <w:dstrike w:val="0"/>
          <w:color w:val="auto"/>
          <w:sz w:val="32"/>
          <w:szCs w:val="32"/>
          <w:highlight w:val="none"/>
        </w:rPr>
        <w:t>特定目标类</w:t>
      </w:r>
      <w:r>
        <w:rPr>
          <w:rFonts w:hint="eastAsia" w:ascii="仿宋_GB2312" w:hAnsi="宋体" w:eastAsia="仿宋_GB2312"/>
          <w:strike w:val="0"/>
          <w:dstrike w:val="0"/>
          <w:color w:val="auto"/>
          <w:sz w:val="32"/>
          <w:szCs w:val="32"/>
          <w:highlight w:val="none"/>
          <w:lang w:eastAsia="zh-CN"/>
        </w:rPr>
        <w:t>和其他运转类</w:t>
      </w:r>
      <w:r>
        <w:rPr>
          <w:rFonts w:hint="eastAsia" w:ascii="仿宋_GB2312" w:hAnsi="宋体" w:eastAsia="仿宋_GB2312"/>
          <w:color w:val="auto"/>
          <w:sz w:val="32"/>
          <w:szCs w:val="32"/>
          <w:highlight w:val="none"/>
        </w:rPr>
        <w:t>绩效目标的项目覆盖率（实际编制绩效目标的数量/应编制绩效目标的数量）为</w:t>
      </w:r>
      <w:r>
        <w:rPr>
          <w:rFonts w:hint="eastAsia" w:ascii="仿宋_GB2312" w:hAnsi="宋体" w:eastAsia="仿宋_GB2312"/>
          <w:color w:val="auto"/>
          <w:sz w:val="32"/>
          <w:szCs w:val="32"/>
          <w:highlight w:val="none"/>
          <w:lang w:val="en-US" w:eastAsia="zh-CN"/>
        </w:rPr>
        <w:t>100</w:t>
      </w:r>
      <w:r>
        <w:rPr>
          <w:rFonts w:hint="eastAsia" w:ascii="仿宋_GB2312" w:hAnsi="宋体" w:eastAsia="仿宋_GB2312"/>
          <w:color w:val="auto"/>
          <w:sz w:val="32"/>
          <w:szCs w:val="32"/>
          <w:highlight w:val="none"/>
        </w:rPr>
        <w:t>%。</w:t>
      </w:r>
    </w:p>
    <w:p>
      <w:pPr>
        <w:pStyle w:val="2"/>
        <w:rPr>
          <w:rFonts w:hint="eastAsia"/>
        </w:rPr>
      </w:pPr>
    </w:p>
    <w:p>
      <w:pPr>
        <w:rPr>
          <w:rFonts w:hint="eastAsia"/>
        </w:rPr>
      </w:pPr>
    </w:p>
    <w:p>
      <w:pPr>
        <w:spacing w:line="560" w:lineRule="exact"/>
        <w:jc w:val="center"/>
        <w:rPr>
          <w:rFonts w:ascii="宋体" w:hAnsi="宋体"/>
          <w:b/>
          <w:sz w:val="36"/>
          <w:szCs w:val="36"/>
        </w:rPr>
      </w:pPr>
      <w:r>
        <w:rPr>
          <w:rFonts w:hint="eastAsia" w:ascii="宋体" w:hAnsi="宋体"/>
          <w:b/>
          <w:sz w:val="36"/>
          <w:szCs w:val="36"/>
        </w:rPr>
        <w:t>第四部分 名词解释</w:t>
      </w:r>
    </w:p>
    <w:p>
      <w:pPr>
        <w:spacing w:line="560" w:lineRule="exact"/>
        <w:jc w:val="center"/>
        <w:rPr>
          <w:rFonts w:ascii="仿宋_GB2312" w:eastAsia="仿宋_GB2312"/>
          <w:sz w:val="32"/>
          <w:szCs w:val="32"/>
        </w:rPr>
      </w:pPr>
    </w:p>
    <w:p>
      <w:pPr>
        <w:spacing w:line="560" w:lineRule="exact"/>
        <w:ind w:firstLine="646" w:firstLineChars="200"/>
        <w:jc w:val="left"/>
        <w:rPr>
          <w:rFonts w:ascii="仿宋_GB2312" w:hAnsi="仿宋_GB2312" w:eastAsia="仿宋_GB2312" w:cs="仿宋_GB2312"/>
          <w:sz w:val="32"/>
          <w:szCs w:val="32"/>
        </w:rPr>
      </w:pPr>
      <w:r>
        <w:rPr>
          <w:rFonts w:hint="eastAsia" w:ascii="仿宋_GB2312" w:eastAsia="仿宋_GB2312"/>
          <w:b/>
          <w:sz w:val="32"/>
          <w:szCs w:val="32"/>
        </w:rPr>
        <w:t>1.一般公共预算：</w:t>
      </w:r>
      <w:r>
        <w:rPr>
          <w:rFonts w:hint="eastAsia" w:ascii="仿宋_GB2312" w:hAnsi="仿宋_GB2312" w:eastAsia="仿宋_GB2312" w:cs="仿宋_GB2312"/>
          <w:sz w:val="32"/>
          <w:szCs w:val="32"/>
        </w:rPr>
        <w:t>是对以税收为主体的财政收入，安排用于保障和改善民生、推动经济社会发展、维护国家安全、维持国家机构正常运转等方面的收支预算。</w:t>
      </w:r>
    </w:p>
    <w:p>
      <w:pPr>
        <w:spacing w:line="560" w:lineRule="exact"/>
        <w:ind w:firstLine="646" w:firstLineChars="200"/>
        <w:jc w:val="left"/>
        <w:rPr>
          <w:rFonts w:ascii="仿宋_GB2312" w:eastAsia="仿宋_GB2312"/>
          <w:sz w:val="32"/>
          <w:szCs w:val="32"/>
        </w:rPr>
      </w:pPr>
      <w:r>
        <w:rPr>
          <w:rFonts w:hint="eastAsia" w:ascii="仿宋_GB2312" w:eastAsia="仿宋_GB2312"/>
          <w:b/>
          <w:sz w:val="32"/>
          <w:szCs w:val="32"/>
        </w:rPr>
        <w:t>2.基本支出：</w:t>
      </w:r>
      <w:r>
        <w:rPr>
          <w:rFonts w:hint="eastAsia" w:ascii="仿宋_GB2312" w:eastAsia="仿宋_GB2312"/>
          <w:sz w:val="32"/>
          <w:szCs w:val="32"/>
        </w:rPr>
        <w:t>是为保障机构正常运转、完成日常工作任务而发生的支出，包括人员经费和公用经费。</w:t>
      </w:r>
    </w:p>
    <w:p>
      <w:pPr>
        <w:spacing w:line="560" w:lineRule="exact"/>
        <w:ind w:firstLine="646" w:firstLineChars="200"/>
        <w:jc w:val="left"/>
        <w:rPr>
          <w:rFonts w:ascii="仿宋_GB2312" w:eastAsia="仿宋_GB2312"/>
          <w:sz w:val="32"/>
          <w:szCs w:val="32"/>
        </w:rPr>
      </w:pPr>
      <w:r>
        <w:rPr>
          <w:rFonts w:hint="eastAsia" w:ascii="仿宋_GB2312" w:eastAsia="仿宋_GB2312"/>
          <w:b/>
          <w:sz w:val="32"/>
          <w:szCs w:val="32"/>
        </w:rPr>
        <w:t>3.项目支出：</w:t>
      </w:r>
      <w:r>
        <w:rPr>
          <w:rFonts w:hint="eastAsia" w:ascii="仿宋_GB2312" w:eastAsia="仿宋_GB2312"/>
          <w:sz w:val="32"/>
          <w:szCs w:val="32"/>
        </w:rPr>
        <w:t>指为完成特定工作任务和事业发展目标所发生的支出。</w:t>
      </w:r>
    </w:p>
    <w:p>
      <w:pPr>
        <w:spacing w:line="560" w:lineRule="exact"/>
        <w:ind w:firstLine="646" w:firstLineChars="200"/>
        <w:jc w:val="left"/>
        <w:rPr>
          <w:rFonts w:ascii="仿宋_GB2312" w:eastAsia="仿宋_GB2312"/>
          <w:b/>
          <w:sz w:val="32"/>
          <w:szCs w:val="32"/>
        </w:rPr>
      </w:pPr>
      <w:r>
        <w:rPr>
          <w:rFonts w:hint="eastAsia" w:ascii="仿宋_GB2312" w:eastAsia="仿宋_GB2312"/>
          <w:b/>
          <w:sz w:val="32"/>
          <w:szCs w:val="32"/>
        </w:rPr>
        <w:t>4.机关运行经费：</w:t>
      </w:r>
      <w:r>
        <w:rPr>
          <w:rFonts w:hint="eastAsia" w:ascii="仿宋_GB2312" w:eastAsia="仿宋_GB2312"/>
          <w:sz w:val="32"/>
          <w:szCs w:val="32"/>
        </w:rPr>
        <w:t>是指行政机关及参公单位的公用经费，包括办公及印刷费、邮电费、差旅费、会议费、福利费、日常维护费、专用材料及一般设备购置费、办公用房水电费、办公用房取暖费、办公用房物业管理费、办公用车运行维护费以及其他费用。</w:t>
      </w:r>
    </w:p>
    <w:p>
      <w:pPr>
        <w:spacing w:line="560" w:lineRule="exact"/>
        <w:ind w:firstLine="646" w:firstLineChars="200"/>
        <w:jc w:val="left"/>
        <w:rPr>
          <w:rFonts w:ascii="仿宋_GB2312" w:eastAsia="仿宋_GB2312"/>
          <w:sz w:val="32"/>
          <w:szCs w:val="32"/>
        </w:rPr>
      </w:pPr>
      <w:r>
        <w:rPr>
          <w:rFonts w:hint="eastAsia" w:ascii="仿宋_GB2312" w:eastAsia="仿宋_GB2312"/>
          <w:b/>
          <w:sz w:val="32"/>
          <w:szCs w:val="32"/>
        </w:rPr>
        <w:t>5.上年结转：</w:t>
      </w:r>
      <w:r>
        <w:rPr>
          <w:rFonts w:hint="eastAsia" w:ascii="仿宋_GB2312" w:eastAsia="仿宋_GB2312"/>
          <w:sz w:val="32"/>
          <w:szCs w:val="32"/>
        </w:rPr>
        <w:t>指以前年度尚未使用完毕，结转到本年仍按原规定用途继续使用的资金。</w:t>
      </w:r>
    </w:p>
    <w:p>
      <w:pPr>
        <w:spacing w:line="560" w:lineRule="exact"/>
        <w:ind w:firstLine="646" w:firstLineChars="200"/>
        <w:jc w:val="left"/>
        <w:rPr>
          <w:rFonts w:ascii="仿宋_GB2312" w:eastAsia="仿宋_GB2312"/>
          <w:sz w:val="32"/>
          <w:szCs w:val="32"/>
        </w:rPr>
      </w:pPr>
      <w:r>
        <w:rPr>
          <w:rFonts w:hint="eastAsia" w:ascii="仿宋_GB2312" w:eastAsia="仿宋_GB2312"/>
          <w:b/>
          <w:sz w:val="32"/>
          <w:szCs w:val="32"/>
        </w:rPr>
        <w:t>6.“三公”经费：</w:t>
      </w:r>
      <w:r>
        <w:rPr>
          <w:rFonts w:hint="eastAsia" w:ascii="仿宋_GB2312" w:eastAsia="仿宋_GB2312"/>
          <w:sz w:val="32"/>
          <w:szCs w:val="32"/>
        </w:rPr>
        <w:t>指用</w:t>
      </w:r>
      <w:r>
        <w:rPr>
          <w:rFonts w:hint="eastAsia" w:ascii="仿宋_GB2312" w:eastAsia="仿宋_GB2312"/>
          <w:sz w:val="32"/>
          <w:szCs w:val="32"/>
          <w:lang w:eastAsia="zh-CN"/>
        </w:rPr>
        <w:t>财政拨款</w:t>
      </w:r>
      <w:r>
        <w:rPr>
          <w:rFonts w:hint="eastAsia" w:ascii="仿宋_GB2312" w:eastAsia="仿宋_GB2312"/>
          <w:sz w:val="32"/>
          <w:szCs w:val="32"/>
        </w:rPr>
        <w:t>预算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燃料费、维修费、过路过桥费、保险费、安全奖励费用等支出；公务接待费反映单位为执行公务或开展业务活动需要合理开支的接待费用。</w:t>
      </w:r>
    </w:p>
    <w:p>
      <w:pPr>
        <w:spacing w:line="560" w:lineRule="exact"/>
        <w:ind w:firstLine="646" w:firstLineChars="200"/>
        <w:jc w:val="left"/>
        <w:rPr>
          <w:rFonts w:ascii="仿宋_GB2312" w:eastAsia="仿宋_GB2312"/>
          <w:b/>
          <w:sz w:val="32"/>
          <w:szCs w:val="32"/>
        </w:rPr>
      </w:pPr>
      <w:r>
        <w:rPr>
          <w:rFonts w:hint="eastAsia" w:ascii="仿宋_GB2312" w:eastAsia="仿宋_GB2312"/>
          <w:b/>
          <w:sz w:val="32"/>
          <w:szCs w:val="32"/>
        </w:rPr>
        <w:t>7.一般公共服务支出（类）财政事务（款）行政运行（项）：</w:t>
      </w:r>
      <w:r>
        <w:rPr>
          <w:rFonts w:hint="eastAsia" w:ascii="仿宋_GB2312" w:eastAsia="仿宋_GB2312"/>
          <w:sz w:val="32"/>
          <w:szCs w:val="32"/>
        </w:rPr>
        <w:t>反映行政单位（包括实行公务员管理的事业单位）的基本支出。</w:t>
      </w:r>
    </w:p>
    <w:p>
      <w:pPr>
        <w:spacing w:line="560" w:lineRule="exact"/>
        <w:ind w:firstLine="646" w:firstLineChars="200"/>
        <w:jc w:val="left"/>
        <w:rPr>
          <w:rFonts w:ascii="仿宋_GB2312" w:eastAsia="仿宋_GB2312"/>
          <w:b/>
          <w:sz w:val="32"/>
          <w:szCs w:val="32"/>
        </w:rPr>
      </w:pPr>
      <w:r>
        <w:rPr>
          <w:rFonts w:hint="eastAsia" w:ascii="仿宋_GB2312" w:eastAsia="仿宋_GB2312"/>
          <w:b/>
          <w:sz w:val="32"/>
          <w:szCs w:val="32"/>
        </w:rPr>
        <w:t>8.一般公共服务支出（类）财政事务（款）一般行政管理事务（项）：</w:t>
      </w:r>
      <w:r>
        <w:rPr>
          <w:rFonts w:hint="eastAsia" w:ascii="仿宋_GB2312" w:eastAsia="仿宋_GB2312"/>
          <w:sz w:val="32"/>
          <w:szCs w:val="32"/>
        </w:rPr>
        <w:t>反映行政单位（包括实行公务员管理的事业单位）未单独设置项级科目的其他项目支出。</w:t>
      </w:r>
    </w:p>
    <w:p>
      <w:pPr>
        <w:spacing w:line="560" w:lineRule="exact"/>
        <w:ind w:firstLine="646" w:firstLineChars="200"/>
        <w:jc w:val="left"/>
        <w:rPr>
          <w:rFonts w:ascii="仿宋_GB2312" w:eastAsia="仿宋_GB2312"/>
          <w:b/>
          <w:sz w:val="32"/>
          <w:szCs w:val="32"/>
        </w:rPr>
      </w:pPr>
      <w:r>
        <w:rPr>
          <w:rFonts w:hint="eastAsia" w:ascii="仿宋_GB2312" w:eastAsia="仿宋_GB2312"/>
          <w:b/>
          <w:sz w:val="32"/>
          <w:szCs w:val="32"/>
        </w:rPr>
        <w:t>9.一般公共服务支出（类）财政事务（款）事业运行（项）：</w:t>
      </w:r>
      <w:r>
        <w:rPr>
          <w:rFonts w:hint="eastAsia" w:ascii="仿宋_GB2312" w:eastAsia="仿宋_GB2312"/>
          <w:sz w:val="32"/>
          <w:szCs w:val="32"/>
        </w:rPr>
        <w:t>反映事业单位的基本支出，不包括行政单位（包括实行公务员管理的事业单位）后勤服务中心、医务室等附属事业单位。</w:t>
      </w:r>
    </w:p>
    <w:p>
      <w:pPr>
        <w:spacing w:line="560" w:lineRule="exact"/>
        <w:ind w:firstLine="646" w:firstLineChars="200"/>
        <w:jc w:val="left"/>
        <w:rPr>
          <w:rFonts w:ascii="宋体" w:hAnsi="宋体"/>
          <w:b/>
          <w:sz w:val="36"/>
          <w:szCs w:val="36"/>
        </w:rPr>
      </w:pPr>
      <w:r>
        <w:rPr>
          <w:rFonts w:hint="eastAsia" w:ascii="仿宋_GB2312" w:eastAsia="仿宋_GB2312"/>
          <w:b/>
          <w:sz w:val="32"/>
          <w:szCs w:val="32"/>
        </w:rPr>
        <w:t>10.一般公共服务支出（类）财政事务（款）其他财政事务支出（项）：</w:t>
      </w:r>
      <w:r>
        <w:rPr>
          <w:rFonts w:hint="eastAsia" w:ascii="仿宋_GB2312" w:eastAsia="仿宋_GB2312"/>
          <w:sz w:val="32"/>
          <w:szCs w:val="32"/>
        </w:rPr>
        <w:t>反映除上述项目以外其他财政事务方面的支出。</w:t>
      </w:r>
    </w:p>
    <w:p>
      <w:pPr>
        <w:rPr>
          <w:rFonts w:ascii="宋体" w:hAnsi="宋体"/>
          <w:b/>
          <w:sz w:val="36"/>
          <w:szCs w:val="36"/>
        </w:rPr>
      </w:pPr>
    </w:p>
    <w:p>
      <w:pPr>
        <w:pStyle w:val="2"/>
        <w:rPr>
          <w:rFonts w:ascii="宋体" w:hAnsi="宋体"/>
          <w:b/>
          <w:sz w:val="36"/>
          <w:szCs w:val="36"/>
        </w:rPr>
      </w:pPr>
    </w:p>
    <w:p>
      <w:pPr>
        <w:numPr>
          <w:ilvl w:val="0"/>
          <w:numId w:val="2"/>
        </w:numPr>
        <w:tabs>
          <w:tab w:val="left" w:pos="2343"/>
        </w:tabs>
        <w:spacing w:line="560" w:lineRule="exact"/>
        <w:jc w:val="center"/>
        <w:rPr>
          <w:rFonts w:hint="eastAsia" w:ascii="宋体" w:hAnsi="宋体"/>
          <w:b/>
          <w:sz w:val="36"/>
          <w:szCs w:val="36"/>
        </w:rPr>
      </w:pPr>
      <w:r>
        <w:rPr>
          <w:rFonts w:hint="eastAsia" w:ascii="宋体" w:hAnsi="宋体"/>
          <w:b/>
          <w:sz w:val="36"/>
          <w:szCs w:val="36"/>
          <w:lang w:val="en-US" w:eastAsia="zh-CN"/>
        </w:rPr>
        <w:t>2025</w:t>
      </w:r>
      <w:r>
        <w:rPr>
          <w:rFonts w:hint="eastAsia" w:ascii="宋体" w:hAnsi="宋体"/>
          <w:b/>
          <w:sz w:val="36"/>
          <w:szCs w:val="36"/>
        </w:rPr>
        <w:t>年</w:t>
      </w:r>
      <w:r>
        <w:rPr>
          <w:rFonts w:hint="eastAsia" w:ascii="宋体" w:hAnsi="宋体"/>
          <w:b/>
          <w:sz w:val="36"/>
          <w:szCs w:val="36"/>
          <w:lang w:eastAsia="zh-CN"/>
        </w:rPr>
        <w:t>盘锦市机关事务中心</w:t>
      </w:r>
      <w:r>
        <w:rPr>
          <w:rFonts w:hint="eastAsia" w:ascii="宋体" w:hAnsi="宋体"/>
          <w:b/>
          <w:sz w:val="36"/>
          <w:szCs w:val="36"/>
        </w:rPr>
        <w:t>部门预算</w:t>
      </w:r>
      <w:r>
        <w:rPr>
          <w:rFonts w:hint="eastAsia" w:ascii="宋体" w:hAnsi="宋体"/>
          <w:b/>
          <w:sz w:val="36"/>
          <w:szCs w:val="36"/>
          <w:lang w:val="en-US" w:eastAsia="zh-CN"/>
        </w:rPr>
        <w:t xml:space="preserve">   </w:t>
      </w:r>
      <w:r>
        <w:rPr>
          <w:rFonts w:hint="eastAsia" w:ascii="宋体" w:hAnsi="宋体"/>
          <w:b/>
          <w:sz w:val="36"/>
          <w:szCs w:val="36"/>
          <w:lang w:eastAsia="zh-CN"/>
        </w:rPr>
        <w:t>公开</w:t>
      </w:r>
      <w:r>
        <w:rPr>
          <w:rFonts w:hint="eastAsia" w:ascii="宋体" w:hAnsi="宋体"/>
          <w:b/>
          <w:sz w:val="36"/>
          <w:szCs w:val="36"/>
        </w:rPr>
        <w:t>表</w:t>
      </w:r>
    </w:p>
    <w:p>
      <w:pPr>
        <w:numPr>
          <w:ilvl w:val="0"/>
          <w:numId w:val="0"/>
        </w:numPr>
        <w:tabs>
          <w:tab w:val="left" w:pos="2343"/>
        </w:tabs>
        <w:spacing w:line="560" w:lineRule="exact"/>
        <w:jc w:val="both"/>
        <w:rPr>
          <w:rFonts w:hint="eastAsia" w:ascii="宋体" w:hAnsi="宋体"/>
          <w:b/>
          <w:sz w:val="36"/>
          <w:szCs w:val="36"/>
        </w:rPr>
      </w:pPr>
    </w:p>
    <w:p>
      <w:pPr>
        <w:ind w:firstLine="2261" w:firstLineChars="7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（该部分内容详见附件）</w:t>
      </w:r>
    </w:p>
    <w:p>
      <w:pPr>
        <w:ind w:firstLine="2261" w:firstLineChars="700"/>
        <w:rPr>
          <w:rFonts w:hint="eastAsia" w:ascii="仿宋_GB2312" w:hAnsi="仿宋_GB2312" w:eastAsia="仿宋_GB2312" w:cs="仿宋_GB2312"/>
          <w:b w:val="0"/>
          <w:bCs/>
          <w:sz w:val="32"/>
          <w:szCs w:val="32"/>
        </w:rPr>
      </w:pPr>
    </w:p>
    <w:p>
      <w:pPr>
        <w:ind w:firstLine="2261" w:firstLineChars="700"/>
        <w:rPr>
          <w:rFonts w:hint="eastAsia" w:ascii="仿宋_GB2312" w:hAnsi="仿宋_GB2312" w:eastAsia="仿宋_GB2312" w:cs="仿宋_GB2312"/>
          <w:b w:val="0"/>
          <w:bCs/>
          <w:sz w:val="32"/>
          <w:szCs w:val="32"/>
        </w:rPr>
      </w:pPr>
    </w:p>
    <w:p>
      <w:pPr>
        <w:ind w:firstLine="2261" w:firstLineChars="700"/>
        <w:rPr>
          <w:rFonts w:hint="eastAsia" w:ascii="仿宋_GB2312" w:hAnsi="仿宋_GB2312" w:eastAsia="仿宋_GB2312" w:cs="仿宋_GB2312"/>
          <w:b w:val="0"/>
          <w:bCs/>
          <w:sz w:val="32"/>
          <w:szCs w:val="32"/>
        </w:rPr>
      </w:pPr>
    </w:p>
    <w:p>
      <w:pPr>
        <w:ind w:firstLine="2261" w:firstLineChars="700"/>
        <w:rPr>
          <w:rFonts w:hint="eastAsia" w:ascii="仿宋_GB2312" w:hAnsi="仿宋_GB2312" w:eastAsia="仿宋_GB2312" w:cs="仿宋_GB2312"/>
          <w:b w:val="0"/>
          <w:bCs/>
          <w:sz w:val="32"/>
          <w:szCs w:val="32"/>
        </w:rPr>
      </w:pPr>
    </w:p>
    <w:p>
      <w:pPr>
        <w:ind w:firstLine="2261" w:firstLineChars="700"/>
        <w:rPr>
          <w:rFonts w:hint="eastAsia" w:ascii="仿宋_GB2312" w:hAnsi="仿宋_GB2312" w:eastAsia="仿宋_GB2312" w:cs="仿宋_GB2312"/>
          <w:b w:val="0"/>
          <w:bCs/>
          <w:sz w:val="32"/>
          <w:szCs w:val="32"/>
        </w:rPr>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715375" cy="5186045"/>
            <wp:effectExtent l="0" t="0" r="9525" b="14605"/>
            <wp:docPr id="2"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true"/>
                    </pic:cNvPicPr>
                  </pic:nvPicPr>
                  <pic:blipFill>
                    <a:blip r:embed="rId5"/>
                    <a:stretch>
                      <a:fillRect/>
                    </a:stretch>
                  </pic:blipFill>
                  <pic:spPr>
                    <a:xfrm>
                      <a:off x="0" y="0"/>
                      <a:ext cx="8715375" cy="518604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677275" cy="2998470"/>
            <wp:effectExtent l="0" t="0" r="9525" b="11430"/>
            <wp:docPr id="5" name="图片 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true"/>
                    </pic:cNvPicPr>
                  </pic:nvPicPr>
                  <pic:blipFill>
                    <a:blip r:embed="rId6"/>
                    <a:stretch>
                      <a:fillRect/>
                    </a:stretch>
                  </pic:blipFill>
                  <pic:spPr>
                    <a:xfrm>
                      <a:off x="0" y="0"/>
                      <a:ext cx="8677275" cy="299847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629650" cy="4151630"/>
            <wp:effectExtent l="0" t="0" r="0" b="1270"/>
            <wp:docPr id="6"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true"/>
                    </pic:cNvPicPr>
                  </pic:nvPicPr>
                  <pic:blipFill>
                    <a:blip r:embed="rId7"/>
                    <a:stretch>
                      <a:fillRect/>
                    </a:stretch>
                  </pic:blipFill>
                  <pic:spPr>
                    <a:xfrm>
                      <a:off x="0" y="0"/>
                      <a:ext cx="8629650" cy="415163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523605" cy="5281295"/>
            <wp:effectExtent l="0" t="0" r="10795" b="14605"/>
            <wp:docPr id="7"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true"/>
                    </pic:cNvPicPr>
                  </pic:nvPicPr>
                  <pic:blipFill>
                    <a:blip r:embed="rId8"/>
                    <a:stretch>
                      <a:fillRect/>
                    </a:stretch>
                  </pic:blipFill>
                  <pic:spPr>
                    <a:xfrm>
                      <a:off x="0" y="0"/>
                      <a:ext cx="8523605" cy="528129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797925" cy="2551430"/>
            <wp:effectExtent l="0" t="0" r="3175" b="1270"/>
            <wp:docPr id="8" name="图片 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true"/>
                    </pic:cNvPicPr>
                  </pic:nvPicPr>
                  <pic:blipFill>
                    <a:blip r:embed="rId9"/>
                    <a:stretch>
                      <a:fillRect/>
                    </a:stretch>
                  </pic:blipFill>
                  <pic:spPr>
                    <a:xfrm>
                      <a:off x="0" y="0"/>
                      <a:ext cx="8797925" cy="255143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7829550" cy="4505325"/>
            <wp:effectExtent l="0" t="0" r="0" b="9525"/>
            <wp:docPr id="9" name="图片 9"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true"/>
                    </pic:cNvPicPr>
                  </pic:nvPicPr>
                  <pic:blipFill>
                    <a:blip r:embed="rId10"/>
                    <a:stretch>
                      <a:fillRect/>
                    </a:stretch>
                  </pic:blipFill>
                  <pic:spPr>
                    <a:xfrm>
                      <a:off x="0" y="0"/>
                      <a:ext cx="7829550" cy="45053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789670" cy="1934845"/>
            <wp:effectExtent l="0" t="0" r="11430" b="8255"/>
            <wp:docPr id="10" name="图片 10"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true"/>
                    </pic:cNvPicPr>
                  </pic:nvPicPr>
                  <pic:blipFill>
                    <a:blip r:embed="rId11"/>
                    <a:stretch>
                      <a:fillRect/>
                    </a:stretch>
                  </pic:blipFill>
                  <pic:spPr>
                    <a:xfrm>
                      <a:off x="0" y="0"/>
                      <a:ext cx="8789670" cy="193484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753475" cy="2341880"/>
            <wp:effectExtent l="0" t="0" r="9525" b="1270"/>
            <wp:docPr id="11" name="图片 1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true"/>
                    </pic:cNvPicPr>
                  </pic:nvPicPr>
                  <pic:blipFill>
                    <a:blip r:embed="rId12"/>
                    <a:stretch>
                      <a:fillRect/>
                    </a:stretch>
                  </pic:blipFill>
                  <pic:spPr>
                    <a:xfrm>
                      <a:off x="0" y="0"/>
                      <a:ext cx="8753475" cy="234188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858250" cy="4512945"/>
            <wp:effectExtent l="0" t="0" r="0" b="1905"/>
            <wp:docPr id="12" name="图片 1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true"/>
                    </pic:cNvPicPr>
                  </pic:nvPicPr>
                  <pic:blipFill>
                    <a:blip r:embed="rId13"/>
                    <a:stretch>
                      <a:fillRect/>
                    </a:stretch>
                  </pic:blipFill>
                  <pic:spPr>
                    <a:xfrm>
                      <a:off x="0" y="0"/>
                      <a:ext cx="8858250" cy="451294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839200" cy="4345305"/>
            <wp:effectExtent l="0" t="0" r="0" b="17145"/>
            <wp:docPr id="13" name="图片 1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true"/>
                    </pic:cNvPicPr>
                  </pic:nvPicPr>
                  <pic:blipFill>
                    <a:blip r:embed="rId14"/>
                    <a:stretch>
                      <a:fillRect/>
                    </a:stretch>
                  </pic:blipFill>
                  <pic:spPr>
                    <a:xfrm>
                      <a:off x="0" y="0"/>
                      <a:ext cx="8839200" cy="43453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9839325" cy="5372100"/>
            <wp:effectExtent l="0" t="0" r="9525" b="0"/>
            <wp:docPr id="14" name="图片 1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true"/>
                    </pic:cNvPicPr>
                  </pic:nvPicPr>
                  <pic:blipFill>
                    <a:blip r:embed="rId15"/>
                    <a:stretch>
                      <a:fillRect/>
                    </a:stretch>
                  </pic:blipFill>
                  <pic:spPr>
                    <a:xfrm>
                      <a:off x="0" y="0"/>
                      <a:ext cx="9839325" cy="53721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554720" cy="5236210"/>
            <wp:effectExtent l="0" t="0" r="17780" b="2540"/>
            <wp:docPr id="15" name="图片 1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true"/>
                    </pic:cNvPicPr>
                  </pic:nvPicPr>
                  <pic:blipFill>
                    <a:blip r:embed="rId16"/>
                    <a:stretch>
                      <a:fillRect/>
                    </a:stretch>
                  </pic:blipFill>
                  <pic:spPr>
                    <a:xfrm>
                      <a:off x="0" y="0"/>
                      <a:ext cx="8554720" cy="523621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841740" cy="3098800"/>
            <wp:effectExtent l="0" t="0" r="16510" b="6350"/>
            <wp:docPr id="16" name="图片 1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true"/>
                    </pic:cNvPicPr>
                  </pic:nvPicPr>
                  <pic:blipFill>
                    <a:blip r:embed="rId17"/>
                    <a:stretch>
                      <a:fillRect/>
                    </a:stretch>
                  </pic:blipFill>
                  <pic:spPr>
                    <a:xfrm>
                      <a:off x="0" y="0"/>
                      <a:ext cx="8841740" cy="309880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705215" cy="3672840"/>
            <wp:effectExtent l="0" t="0" r="635" b="3810"/>
            <wp:docPr id="17" name="图片 1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true"/>
                    </pic:cNvPicPr>
                  </pic:nvPicPr>
                  <pic:blipFill>
                    <a:blip r:embed="rId18"/>
                    <a:stretch>
                      <a:fillRect/>
                    </a:stretch>
                  </pic:blipFill>
                  <pic:spPr>
                    <a:xfrm>
                      <a:off x="0" y="0"/>
                      <a:ext cx="8705215" cy="367284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858250" cy="3291840"/>
            <wp:effectExtent l="0" t="0" r="0" b="3810"/>
            <wp:docPr id="18" name="图片 1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true"/>
                    </pic:cNvPicPr>
                  </pic:nvPicPr>
                  <pic:blipFill>
                    <a:blip r:embed="rId19"/>
                    <a:stretch>
                      <a:fillRect/>
                    </a:stretch>
                  </pic:blipFill>
                  <pic:spPr>
                    <a:xfrm>
                      <a:off x="0" y="0"/>
                      <a:ext cx="8858250" cy="329184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811260" cy="3342640"/>
            <wp:effectExtent l="0" t="0" r="8890" b="10160"/>
            <wp:docPr id="19" name="图片 19"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true"/>
                    </pic:cNvPicPr>
                  </pic:nvPicPr>
                  <pic:blipFill>
                    <a:blip r:embed="rId20"/>
                    <a:stretch>
                      <a:fillRect/>
                    </a:stretch>
                  </pic:blipFill>
                  <pic:spPr>
                    <a:xfrm>
                      <a:off x="0" y="0"/>
                      <a:ext cx="8811260" cy="334264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572500" cy="5211445"/>
            <wp:effectExtent l="0" t="0" r="0" b="8255"/>
            <wp:docPr id="20" name="图片 20"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true"/>
                    </pic:cNvPicPr>
                  </pic:nvPicPr>
                  <pic:blipFill>
                    <a:blip r:embed="rId21"/>
                    <a:stretch>
                      <a:fillRect/>
                    </a:stretch>
                  </pic:blipFill>
                  <pic:spPr>
                    <a:xfrm>
                      <a:off x="0" y="0"/>
                      <a:ext cx="8572500" cy="521144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849360" cy="2395855"/>
            <wp:effectExtent l="0" t="0" r="8890" b="4445"/>
            <wp:docPr id="21" name="图片 2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true"/>
                    </pic:cNvPicPr>
                  </pic:nvPicPr>
                  <pic:blipFill>
                    <a:blip r:embed="rId22"/>
                    <a:stretch>
                      <a:fillRect/>
                    </a:stretch>
                  </pic:blipFill>
                  <pic:spPr>
                    <a:xfrm>
                      <a:off x="0" y="0"/>
                      <a:ext cx="8849360" cy="239585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bookmarkStart w:id="0" w:name="_GoBack"/>
      <w:bookmarkEnd w:id="0"/>
    </w:p>
    <w:p>
      <w:pPr>
        <w:keepNext w:val="0"/>
        <w:keepLines w:val="0"/>
        <w:widowControl/>
        <w:suppressLineNumbers w:val="0"/>
        <w:jc w:val="left"/>
        <w:rPr>
          <w:rFonts w:ascii="宋体" w:hAnsi="宋体" w:eastAsia="宋体" w:cs="宋体"/>
          <w:kern w:val="0"/>
          <w:sz w:val="24"/>
          <w:szCs w:val="24"/>
          <w:lang w:val="en-US" w:eastAsia="zh-CN" w:bidi="ar"/>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p>
      <w:pPr>
        <w:numPr>
          <w:ilvl w:val="0"/>
          <w:numId w:val="0"/>
        </w:numPr>
        <w:tabs>
          <w:tab w:val="left" w:pos="2343"/>
        </w:tabs>
        <w:spacing w:line="560" w:lineRule="exact"/>
        <w:jc w:val="both"/>
        <w:rPr>
          <w:rFonts w:hint="eastAsia" w:ascii="宋体" w:hAnsi="宋体"/>
          <w:b/>
          <w:sz w:val="36"/>
          <w:szCs w:val="36"/>
        </w:rPr>
      </w:pPr>
    </w:p>
    <w:sectPr>
      <w:footerReference r:id="rId3" w:type="default"/>
      <w:pgSz w:w="16838" w:h="11906" w:orient="landscape"/>
      <w:pgMar w:top="1797" w:right="1440" w:bottom="1797" w:left="1440" w:header="851" w:footer="992" w:gutter="0"/>
      <w:cols w:space="0" w:num="1"/>
      <w:titlePg/>
      <w:rtlGutter w:val="0"/>
      <w:docGrid w:type="linesAndChars" w:linePitch="319" w:charSpace="6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7</w:t>
    </w:r>
    <w:r>
      <w:rPr>
        <w:rStyle w:val="8"/>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9533B7"/>
    <w:multiLevelType w:val="singleLevel"/>
    <w:tmpl w:val="2C9533B7"/>
    <w:lvl w:ilvl="0" w:tentative="0">
      <w:start w:val="5"/>
      <w:numFmt w:val="chineseCounting"/>
      <w:suff w:val="space"/>
      <w:lvlText w:val="第%1部分"/>
      <w:lvlJc w:val="left"/>
      <w:rPr>
        <w:rFonts w:hint="eastAsia"/>
      </w:rPr>
    </w:lvl>
  </w:abstractNum>
  <w:abstractNum w:abstractNumId="1">
    <w:nsid w:val="601769EA"/>
    <w:multiLevelType w:val="singleLevel"/>
    <w:tmpl w:val="601769EA"/>
    <w:lvl w:ilvl="0" w:tentative="0">
      <w:start w:val="8"/>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07"/>
  <w:drawingGridVerticalSpacing w:val="159"/>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B21"/>
    <w:rsid w:val="000048A5"/>
    <w:rsid w:val="00007E46"/>
    <w:rsid w:val="000133BF"/>
    <w:rsid w:val="00022421"/>
    <w:rsid w:val="00024EC7"/>
    <w:rsid w:val="0002546B"/>
    <w:rsid w:val="0003153C"/>
    <w:rsid w:val="00032156"/>
    <w:rsid w:val="00042F4C"/>
    <w:rsid w:val="0004398C"/>
    <w:rsid w:val="0004572D"/>
    <w:rsid w:val="00051065"/>
    <w:rsid w:val="00054F25"/>
    <w:rsid w:val="00065C08"/>
    <w:rsid w:val="00073E3F"/>
    <w:rsid w:val="000906C5"/>
    <w:rsid w:val="000A47B7"/>
    <w:rsid w:val="000B3BE6"/>
    <w:rsid w:val="000B642D"/>
    <w:rsid w:val="000C25F9"/>
    <w:rsid w:val="000E1D7E"/>
    <w:rsid w:val="000E1DEF"/>
    <w:rsid w:val="000F3D4B"/>
    <w:rsid w:val="000F4A22"/>
    <w:rsid w:val="0010770D"/>
    <w:rsid w:val="001100B7"/>
    <w:rsid w:val="0012365F"/>
    <w:rsid w:val="001332DE"/>
    <w:rsid w:val="0013380C"/>
    <w:rsid w:val="00134FAF"/>
    <w:rsid w:val="001364E5"/>
    <w:rsid w:val="0013683A"/>
    <w:rsid w:val="001441A4"/>
    <w:rsid w:val="00156A4A"/>
    <w:rsid w:val="0016412F"/>
    <w:rsid w:val="001656BE"/>
    <w:rsid w:val="00175D02"/>
    <w:rsid w:val="00181D39"/>
    <w:rsid w:val="001846A6"/>
    <w:rsid w:val="001A415E"/>
    <w:rsid w:val="001A4640"/>
    <w:rsid w:val="001B77A9"/>
    <w:rsid w:val="001C1FBF"/>
    <w:rsid w:val="001C4D67"/>
    <w:rsid w:val="001D0424"/>
    <w:rsid w:val="001E32B1"/>
    <w:rsid w:val="001E3B59"/>
    <w:rsid w:val="001E3BB8"/>
    <w:rsid w:val="001F4B21"/>
    <w:rsid w:val="001F4DC4"/>
    <w:rsid w:val="001F5515"/>
    <w:rsid w:val="002003A2"/>
    <w:rsid w:val="00201094"/>
    <w:rsid w:val="00201459"/>
    <w:rsid w:val="002020FA"/>
    <w:rsid w:val="00203F23"/>
    <w:rsid w:val="002052C1"/>
    <w:rsid w:val="00207EF8"/>
    <w:rsid w:val="00210A14"/>
    <w:rsid w:val="002114F4"/>
    <w:rsid w:val="002137BF"/>
    <w:rsid w:val="0022096B"/>
    <w:rsid w:val="0022238E"/>
    <w:rsid w:val="00222BC7"/>
    <w:rsid w:val="00223284"/>
    <w:rsid w:val="0022540A"/>
    <w:rsid w:val="00227F7C"/>
    <w:rsid w:val="002335DF"/>
    <w:rsid w:val="00245461"/>
    <w:rsid w:val="00246231"/>
    <w:rsid w:val="00246CE3"/>
    <w:rsid w:val="00247688"/>
    <w:rsid w:val="0026131E"/>
    <w:rsid w:val="002625EE"/>
    <w:rsid w:val="00264E0A"/>
    <w:rsid w:val="002859E0"/>
    <w:rsid w:val="0029002D"/>
    <w:rsid w:val="00296E48"/>
    <w:rsid w:val="002A22FD"/>
    <w:rsid w:val="002A2DF7"/>
    <w:rsid w:val="002B4307"/>
    <w:rsid w:val="002C1A77"/>
    <w:rsid w:val="002C210E"/>
    <w:rsid w:val="002E3F3E"/>
    <w:rsid w:val="002F7837"/>
    <w:rsid w:val="00303749"/>
    <w:rsid w:val="003110BE"/>
    <w:rsid w:val="00313B70"/>
    <w:rsid w:val="00314ECD"/>
    <w:rsid w:val="00321418"/>
    <w:rsid w:val="00331390"/>
    <w:rsid w:val="00340F06"/>
    <w:rsid w:val="00344F39"/>
    <w:rsid w:val="00352555"/>
    <w:rsid w:val="00353C5E"/>
    <w:rsid w:val="003630B0"/>
    <w:rsid w:val="0036408C"/>
    <w:rsid w:val="00365D58"/>
    <w:rsid w:val="003664F3"/>
    <w:rsid w:val="00367798"/>
    <w:rsid w:val="003858E5"/>
    <w:rsid w:val="00391EA2"/>
    <w:rsid w:val="00393F53"/>
    <w:rsid w:val="003A0063"/>
    <w:rsid w:val="003A04EC"/>
    <w:rsid w:val="003A06BD"/>
    <w:rsid w:val="003A4F29"/>
    <w:rsid w:val="003C444A"/>
    <w:rsid w:val="003E0DAF"/>
    <w:rsid w:val="003E4A52"/>
    <w:rsid w:val="003E694A"/>
    <w:rsid w:val="003F3466"/>
    <w:rsid w:val="003F4695"/>
    <w:rsid w:val="003F6E5B"/>
    <w:rsid w:val="004037DF"/>
    <w:rsid w:val="00414072"/>
    <w:rsid w:val="004152DB"/>
    <w:rsid w:val="0042230F"/>
    <w:rsid w:val="004265C6"/>
    <w:rsid w:val="00426B4B"/>
    <w:rsid w:val="00437E10"/>
    <w:rsid w:val="0044636A"/>
    <w:rsid w:val="00476F8F"/>
    <w:rsid w:val="00486679"/>
    <w:rsid w:val="00493F18"/>
    <w:rsid w:val="004943FF"/>
    <w:rsid w:val="00495584"/>
    <w:rsid w:val="004A4FDC"/>
    <w:rsid w:val="004A72AF"/>
    <w:rsid w:val="004B143F"/>
    <w:rsid w:val="004C0904"/>
    <w:rsid w:val="004C4DE5"/>
    <w:rsid w:val="004D2F79"/>
    <w:rsid w:val="004D584E"/>
    <w:rsid w:val="004D7A05"/>
    <w:rsid w:val="004E0C11"/>
    <w:rsid w:val="004E78BE"/>
    <w:rsid w:val="004F0520"/>
    <w:rsid w:val="004F4D7E"/>
    <w:rsid w:val="004F5303"/>
    <w:rsid w:val="00510447"/>
    <w:rsid w:val="005127EF"/>
    <w:rsid w:val="00515B98"/>
    <w:rsid w:val="005222F9"/>
    <w:rsid w:val="00532926"/>
    <w:rsid w:val="005402C5"/>
    <w:rsid w:val="005460BF"/>
    <w:rsid w:val="0054694B"/>
    <w:rsid w:val="00550F83"/>
    <w:rsid w:val="0055106B"/>
    <w:rsid w:val="00552654"/>
    <w:rsid w:val="005555E7"/>
    <w:rsid w:val="00555F4E"/>
    <w:rsid w:val="0057459C"/>
    <w:rsid w:val="00577A55"/>
    <w:rsid w:val="005808B9"/>
    <w:rsid w:val="00583D3E"/>
    <w:rsid w:val="00584A71"/>
    <w:rsid w:val="00585962"/>
    <w:rsid w:val="00592B0A"/>
    <w:rsid w:val="00595870"/>
    <w:rsid w:val="005A0EF3"/>
    <w:rsid w:val="005A5C5F"/>
    <w:rsid w:val="005B0557"/>
    <w:rsid w:val="005C4ABB"/>
    <w:rsid w:val="005C4E9E"/>
    <w:rsid w:val="005C54B4"/>
    <w:rsid w:val="005C6815"/>
    <w:rsid w:val="005F11E5"/>
    <w:rsid w:val="00600E56"/>
    <w:rsid w:val="0060382D"/>
    <w:rsid w:val="006040F6"/>
    <w:rsid w:val="00605615"/>
    <w:rsid w:val="006057DC"/>
    <w:rsid w:val="00605F98"/>
    <w:rsid w:val="006064EB"/>
    <w:rsid w:val="00607DB4"/>
    <w:rsid w:val="00612625"/>
    <w:rsid w:val="00616C8C"/>
    <w:rsid w:val="00616F4E"/>
    <w:rsid w:val="006243E7"/>
    <w:rsid w:val="00625388"/>
    <w:rsid w:val="0062602A"/>
    <w:rsid w:val="00627D2A"/>
    <w:rsid w:val="006307F2"/>
    <w:rsid w:val="00633168"/>
    <w:rsid w:val="00636659"/>
    <w:rsid w:val="0064235B"/>
    <w:rsid w:val="00642B16"/>
    <w:rsid w:val="0064390F"/>
    <w:rsid w:val="00644B0C"/>
    <w:rsid w:val="00645EDB"/>
    <w:rsid w:val="00646255"/>
    <w:rsid w:val="006470E5"/>
    <w:rsid w:val="006667C4"/>
    <w:rsid w:val="0067371A"/>
    <w:rsid w:val="0068053A"/>
    <w:rsid w:val="006863E1"/>
    <w:rsid w:val="006870E5"/>
    <w:rsid w:val="00687611"/>
    <w:rsid w:val="00692DF0"/>
    <w:rsid w:val="00696EED"/>
    <w:rsid w:val="006A1F21"/>
    <w:rsid w:val="006A6E55"/>
    <w:rsid w:val="006A798C"/>
    <w:rsid w:val="006B2685"/>
    <w:rsid w:val="006C071F"/>
    <w:rsid w:val="006C1E92"/>
    <w:rsid w:val="006C2F3F"/>
    <w:rsid w:val="006C3B05"/>
    <w:rsid w:val="006C3EC1"/>
    <w:rsid w:val="006C6599"/>
    <w:rsid w:val="006D5585"/>
    <w:rsid w:val="006D75C4"/>
    <w:rsid w:val="006E1AF1"/>
    <w:rsid w:val="006E28B5"/>
    <w:rsid w:val="006E43B1"/>
    <w:rsid w:val="006F2679"/>
    <w:rsid w:val="0070065A"/>
    <w:rsid w:val="007119CC"/>
    <w:rsid w:val="00721FD3"/>
    <w:rsid w:val="0072268A"/>
    <w:rsid w:val="007232B8"/>
    <w:rsid w:val="00724191"/>
    <w:rsid w:val="00730D65"/>
    <w:rsid w:val="00731AA4"/>
    <w:rsid w:val="00732C10"/>
    <w:rsid w:val="00734A9C"/>
    <w:rsid w:val="007354FB"/>
    <w:rsid w:val="007406C0"/>
    <w:rsid w:val="00741F03"/>
    <w:rsid w:val="007456A4"/>
    <w:rsid w:val="00773350"/>
    <w:rsid w:val="00773BD8"/>
    <w:rsid w:val="007A75ED"/>
    <w:rsid w:val="007B3491"/>
    <w:rsid w:val="007C3D56"/>
    <w:rsid w:val="007D2208"/>
    <w:rsid w:val="007D3678"/>
    <w:rsid w:val="007D5C00"/>
    <w:rsid w:val="007D5C20"/>
    <w:rsid w:val="007E10AF"/>
    <w:rsid w:val="007E2348"/>
    <w:rsid w:val="007F2FF7"/>
    <w:rsid w:val="007F3E2E"/>
    <w:rsid w:val="007F4788"/>
    <w:rsid w:val="007F6A7A"/>
    <w:rsid w:val="00804577"/>
    <w:rsid w:val="00814382"/>
    <w:rsid w:val="00816E1B"/>
    <w:rsid w:val="008177C7"/>
    <w:rsid w:val="008211C9"/>
    <w:rsid w:val="008234DA"/>
    <w:rsid w:val="00825D6B"/>
    <w:rsid w:val="00827E6A"/>
    <w:rsid w:val="008301EF"/>
    <w:rsid w:val="00832E30"/>
    <w:rsid w:val="008369B0"/>
    <w:rsid w:val="00837D30"/>
    <w:rsid w:val="00847466"/>
    <w:rsid w:val="008604B0"/>
    <w:rsid w:val="008740C1"/>
    <w:rsid w:val="0087547D"/>
    <w:rsid w:val="00876D1D"/>
    <w:rsid w:val="00895609"/>
    <w:rsid w:val="008A6F4E"/>
    <w:rsid w:val="008B2071"/>
    <w:rsid w:val="008B2083"/>
    <w:rsid w:val="008B2BFB"/>
    <w:rsid w:val="008B567B"/>
    <w:rsid w:val="008D67C1"/>
    <w:rsid w:val="008D6BAE"/>
    <w:rsid w:val="008E14F7"/>
    <w:rsid w:val="008F085F"/>
    <w:rsid w:val="008F4786"/>
    <w:rsid w:val="009122B2"/>
    <w:rsid w:val="00912532"/>
    <w:rsid w:val="0091437F"/>
    <w:rsid w:val="00917BF2"/>
    <w:rsid w:val="00926C07"/>
    <w:rsid w:val="00932D2C"/>
    <w:rsid w:val="00941A4D"/>
    <w:rsid w:val="0095395F"/>
    <w:rsid w:val="00954AA1"/>
    <w:rsid w:val="00970433"/>
    <w:rsid w:val="00992766"/>
    <w:rsid w:val="0099456C"/>
    <w:rsid w:val="009A2955"/>
    <w:rsid w:val="009A4153"/>
    <w:rsid w:val="009B50A6"/>
    <w:rsid w:val="009C0E1F"/>
    <w:rsid w:val="009C78B8"/>
    <w:rsid w:val="009D4D50"/>
    <w:rsid w:val="009E3607"/>
    <w:rsid w:val="009E4011"/>
    <w:rsid w:val="009E6934"/>
    <w:rsid w:val="009F0437"/>
    <w:rsid w:val="009F4519"/>
    <w:rsid w:val="009F666E"/>
    <w:rsid w:val="00A050CA"/>
    <w:rsid w:val="00A05CA5"/>
    <w:rsid w:val="00A1076A"/>
    <w:rsid w:val="00A16982"/>
    <w:rsid w:val="00A31903"/>
    <w:rsid w:val="00A45684"/>
    <w:rsid w:val="00A462FD"/>
    <w:rsid w:val="00A6246E"/>
    <w:rsid w:val="00A64808"/>
    <w:rsid w:val="00A71852"/>
    <w:rsid w:val="00A80480"/>
    <w:rsid w:val="00A80FD5"/>
    <w:rsid w:val="00A860C3"/>
    <w:rsid w:val="00A877C7"/>
    <w:rsid w:val="00A91A3A"/>
    <w:rsid w:val="00A93DBE"/>
    <w:rsid w:val="00A966FF"/>
    <w:rsid w:val="00AA1922"/>
    <w:rsid w:val="00AC34D0"/>
    <w:rsid w:val="00AC480B"/>
    <w:rsid w:val="00AD2E2D"/>
    <w:rsid w:val="00AE7A0D"/>
    <w:rsid w:val="00B03ED6"/>
    <w:rsid w:val="00B0465C"/>
    <w:rsid w:val="00B1023F"/>
    <w:rsid w:val="00B17365"/>
    <w:rsid w:val="00B3097E"/>
    <w:rsid w:val="00B3322E"/>
    <w:rsid w:val="00B34341"/>
    <w:rsid w:val="00B43C68"/>
    <w:rsid w:val="00B45B68"/>
    <w:rsid w:val="00B530B3"/>
    <w:rsid w:val="00B54F33"/>
    <w:rsid w:val="00B64505"/>
    <w:rsid w:val="00B64E59"/>
    <w:rsid w:val="00B718FD"/>
    <w:rsid w:val="00B72DC4"/>
    <w:rsid w:val="00B85E08"/>
    <w:rsid w:val="00B862F1"/>
    <w:rsid w:val="00B876F3"/>
    <w:rsid w:val="00B954BC"/>
    <w:rsid w:val="00BA1A55"/>
    <w:rsid w:val="00BA4728"/>
    <w:rsid w:val="00BB03CD"/>
    <w:rsid w:val="00BB1BBB"/>
    <w:rsid w:val="00BB3262"/>
    <w:rsid w:val="00BB593E"/>
    <w:rsid w:val="00BB74D8"/>
    <w:rsid w:val="00BC197F"/>
    <w:rsid w:val="00BC32E3"/>
    <w:rsid w:val="00BD4E6F"/>
    <w:rsid w:val="00BD543E"/>
    <w:rsid w:val="00BE0968"/>
    <w:rsid w:val="00BE3584"/>
    <w:rsid w:val="00BE7B78"/>
    <w:rsid w:val="00C00427"/>
    <w:rsid w:val="00C063ED"/>
    <w:rsid w:val="00C116AA"/>
    <w:rsid w:val="00C13E8F"/>
    <w:rsid w:val="00C14110"/>
    <w:rsid w:val="00C164CA"/>
    <w:rsid w:val="00C205B2"/>
    <w:rsid w:val="00C30E2E"/>
    <w:rsid w:val="00C45BFE"/>
    <w:rsid w:val="00C5023B"/>
    <w:rsid w:val="00C57542"/>
    <w:rsid w:val="00C5780C"/>
    <w:rsid w:val="00C61CCD"/>
    <w:rsid w:val="00C656DC"/>
    <w:rsid w:val="00C71D5C"/>
    <w:rsid w:val="00C9239A"/>
    <w:rsid w:val="00C938AA"/>
    <w:rsid w:val="00CA3545"/>
    <w:rsid w:val="00CA36DD"/>
    <w:rsid w:val="00CB433D"/>
    <w:rsid w:val="00CC2F87"/>
    <w:rsid w:val="00CD34D3"/>
    <w:rsid w:val="00CE11E3"/>
    <w:rsid w:val="00CE1377"/>
    <w:rsid w:val="00CE245C"/>
    <w:rsid w:val="00CE2746"/>
    <w:rsid w:val="00CE63ED"/>
    <w:rsid w:val="00CF4A89"/>
    <w:rsid w:val="00D12C10"/>
    <w:rsid w:val="00D22F31"/>
    <w:rsid w:val="00D238BC"/>
    <w:rsid w:val="00D269C4"/>
    <w:rsid w:val="00D316A1"/>
    <w:rsid w:val="00D32B4A"/>
    <w:rsid w:val="00D3350D"/>
    <w:rsid w:val="00D33629"/>
    <w:rsid w:val="00D33984"/>
    <w:rsid w:val="00D33CB1"/>
    <w:rsid w:val="00D3769E"/>
    <w:rsid w:val="00D433E9"/>
    <w:rsid w:val="00D47A1E"/>
    <w:rsid w:val="00D71AF2"/>
    <w:rsid w:val="00D758CC"/>
    <w:rsid w:val="00D75E88"/>
    <w:rsid w:val="00D80E84"/>
    <w:rsid w:val="00D8148A"/>
    <w:rsid w:val="00D82BFF"/>
    <w:rsid w:val="00D951D8"/>
    <w:rsid w:val="00DA7B73"/>
    <w:rsid w:val="00DB2147"/>
    <w:rsid w:val="00DB48EE"/>
    <w:rsid w:val="00DB6425"/>
    <w:rsid w:val="00DC387B"/>
    <w:rsid w:val="00DC5D43"/>
    <w:rsid w:val="00DE1F2B"/>
    <w:rsid w:val="00DE23A0"/>
    <w:rsid w:val="00DE32D8"/>
    <w:rsid w:val="00DF1754"/>
    <w:rsid w:val="00E1628B"/>
    <w:rsid w:val="00E174DA"/>
    <w:rsid w:val="00E26BED"/>
    <w:rsid w:val="00E27A17"/>
    <w:rsid w:val="00E31F50"/>
    <w:rsid w:val="00E53488"/>
    <w:rsid w:val="00E54C91"/>
    <w:rsid w:val="00E563EB"/>
    <w:rsid w:val="00E578B5"/>
    <w:rsid w:val="00E57A06"/>
    <w:rsid w:val="00E6205C"/>
    <w:rsid w:val="00E63978"/>
    <w:rsid w:val="00E63A6D"/>
    <w:rsid w:val="00E652F3"/>
    <w:rsid w:val="00E72396"/>
    <w:rsid w:val="00E72423"/>
    <w:rsid w:val="00E76A34"/>
    <w:rsid w:val="00E76E63"/>
    <w:rsid w:val="00EC15B9"/>
    <w:rsid w:val="00EC55F1"/>
    <w:rsid w:val="00ED10C9"/>
    <w:rsid w:val="00ED2999"/>
    <w:rsid w:val="00ED33DC"/>
    <w:rsid w:val="00ED4939"/>
    <w:rsid w:val="00EE19E6"/>
    <w:rsid w:val="00EE4854"/>
    <w:rsid w:val="00F01DD7"/>
    <w:rsid w:val="00F22489"/>
    <w:rsid w:val="00F234F5"/>
    <w:rsid w:val="00F305AA"/>
    <w:rsid w:val="00F6732E"/>
    <w:rsid w:val="00F77CD4"/>
    <w:rsid w:val="00F81ABA"/>
    <w:rsid w:val="00F85E64"/>
    <w:rsid w:val="00F90DDE"/>
    <w:rsid w:val="00F953F8"/>
    <w:rsid w:val="00F969C4"/>
    <w:rsid w:val="00FA7402"/>
    <w:rsid w:val="00FA79EA"/>
    <w:rsid w:val="00FA7C82"/>
    <w:rsid w:val="00FB14EE"/>
    <w:rsid w:val="00FB4B59"/>
    <w:rsid w:val="00FB6E35"/>
    <w:rsid w:val="00FC2939"/>
    <w:rsid w:val="00FD3CCD"/>
    <w:rsid w:val="00FE3108"/>
    <w:rsid w:val="00FE3361"/>
    <w:rsid w:val="00FE6175"/>
    <w:rsid w:val="00FE7DD8"/>
    <w:rsid w:val="00FF08FA"/>
    <w:rsid w:val="00FF712A"/>
    <w:rsid w:val="01473B55"/>
    <w:rsid w:val="017D3C08"/>
    <w:rsid w:val="01A746F3"/>
    <w:rsid w:val="02C51D20"/>
    <w:rsid w:val="03930692"/>
    <w:rsid w:val="03D4408D"/>
    <w:rsid w:val="04C92FF4"/>
    <w:rsid w:val="05590D97"/>
    <w:rsid w:val="069B1278"/>
    <w:rsid w:val="06B84EC6"/>
    <w:rsid w:val="06F26EF4"/>
    <w:rsid w:val="07000E37"/>
    <w:rsid w:val="076641DD"/>
    <w:rsid w:val="077A6D35"/>
    <w:rsid w:val="078D0595"/>
    <w:rsid w:val="07FB97D1"/>
    <w:rsid w:val="080D4122"/>
    <w:rsid w:val="085B1DF0"/>
    <w:rsid w:val="08D65034"/>
    <w:rsid w:val="09236A9D"/>
    <w:rsid w:val="09B35DC1"/>
    <w:rsid w:val="0A511FDA"/>
    <w:rsid w:val="0A7E50A7"/>
    <w:rsid w:val="0AD42FF7"/>
    <w:rsid w:val="0B053EC8"/>
    <w:rsid w:val="0B642054"/>
    <w:rsid w:val="0BB208C5"/>
    <w:rsid w:val="0C423125"/>
    <w:rsid w:val="0D2427C1"/>
    <w:rsid w:val="0E5D2B9E"/>
    <w:rsid w:val="0E6D4386"/>
    <w:rsid w:val="0F2A085F"/>
    <w:rsid w:val="0F7349CC"/>
    <w:rsid w:val="106E56DE"/>
    <w:rsid w:val="11B20219"/>
    <w:rsid w:val="126B66EF"/>
    <w:rsid w:val="127267ED"/>
    <w:rsid w:val="130D280B"/>
    <w:rsid w:val="132428BF"/>
    <w:rsid w:val="17676F00"/>
    <w:rsid w:val="17B616E5"/>
    <w:rsid w:val="17F07D94"/>
    <w:rsid w:val="1877372F"/>
    <w:rsid w:val="189B1ADC"/>
    <w:rsid w:val="18C33AC7"/>
    <w:rsid w:val="18DF049C"/>
    <w:rsid w:val="18EC27B3"/>
    <w:rsid w:val="19027D91"/>
    <w:rsid w:val="19455480"/>
    <w:rsid w:val="1A0F73A5"/>
    <w:rsid w:val="1AFF79D0"/>
    <w:rsid w:val="1B2059B8"/>
    <w:rsid w:val="1B4E181C"/>
    <w:rsid w:val="1B6601DF"/>
    <w:rsid w:val="1B7F76D2"/>
    <w:rsid w:val="1B8F6A9A"/>
    <w:rsid w:val="1BAB328C"/>
    <w:rsid w:val="1BCE367C"/>
    <w:rsid w:val="1BDE2B69"/>
    <w:rsid w:val="1BF84BC7"/>
    <w:rsid w:val="1C4A0633"/>
    <w:rsid w:val="1D462851"/>
    <w:rsid w:val="1D667501"/>
    <w:rsid w:val="1DF602FB"/>
    <w:rsid w:val="1E0F132C"/>
    <w:rsid w:val="1F212A66"/>
    <w:rsid w:val="1F315D3A"/>
    <w:rsid w:val="1F766054"/>
    <w:rsid w:val="1FCF11EB"/>
    <w:rsid w:val="1FF735B3"/>
    <w:rsid w:val="1FFF5969"/>
    <w:rsid w:val="200D6146"/>
    <w:rsid w:val="215A4D90"/>
    <w:rsid w:val="225F55CE"/>
    <w:rsid w:val="23E13ABE"/>
    <w:rsid w:val="24D3660E"/>
    <w:rsid w:val="24DB746F"/>
    <w:rsid w:val="260E190B"/>
    <w:rsid w:val="266A177F"/>
    <w:rsid w:val="270615B9"/>
    <w:rsid w:val="270B1A4A"/>
    <w:rsid w:val="27727FFE"/>
    <w:rsid w:val="27773A27"/>
    <w:rsid w:val="298C6232"/>
    <w:rsid w:val="29990502"/>
    <w:rsid w:val="29E6061F"/>
    <w:rsid w:val="2A3E5AEE"/>
    <w:rsid w:val="2B7DC5E7"/>
    <w:rsid w:val="2BF47C3E"/>
    <w:rsid w:val="2D2449BD"/>
    <w:rsid w:val="2E2F1264"/>
    <w:rsid w:val="2EB3162C"/>
    <w:rsid w:val="2EE465A5"/>
    <w:rsid w:val="2F142285"/>
    <w:rsid w:val="2F3645C5"/>
    <w:rsid w:val="2F3DE142"/>
    <w:rsid w:val="2FAC4B1B"/>
    <w:rsid w:val="2FF517D9"/>
    <w:rsid w:val="313E7D46"/>
    <w:rsid w:val="316C7C8A"/>
    <w:rsid w:val="31EE3102"/>
    <w:rsid w:val="31FB3A39"/>
    <w:rsid w:val="34190834"/>
    <w:rsid w:val="3505415D"/>
    <w:rsid w:val="35BE487C"/>
    <w:rsid w:val="365A03F2"/>
    <w:rsid w:val="36F6584D"/>
    <w:rsid w:val="3757F7CA"/>
    <w:rsid w:val="37B591AD"/>
    <w:rsid w:val="385D4246"/>
    <w:rsid w:val="38B72E3E"/>
    <w:rsid w:val="396661E0"/>
    <w:rsid w:val="39D46840"/>
    <w:rsid w:val="39FC9D6E"/>
    <w:rsid w:val="3ADF145F"/>
    <w:rsid w:val="3AE4639A"/>
    <w:rsid w:val="3B697A90"/>
    <w:rsid w:val="3C1C2BDE"/>
    <w:rsid w:val="3CA073AF"/>
    <w:rsid w:val="3CE3375A"/>
    <w:rsid w:val="3DBF7571"/>
    <w:rsid w:val="3DC668D9"/>
    <w:rsid w:val="3EB7A014"/>
    <w:rsid w:val="3EC14D35"/>
    <w:rsid w:val="3EF3F74B"/>
    <w:rsid w:val="3F732F2F"/>
    <w:rsid w:val="3FBF7077"/>
    <w:rsid w:val="3FBFDA26"/>
    <w:rsid w:val="3FC7C4F1"/>
    <w:rsid w:val="3FE620A2"/>
    <w:rsid w:val="3FEFB3D5"/>
    <w:rsid w:val="3FF3C106"/>
    <w:rsid w:val="3FFF4FC7"/>
    <w:rsid w:val="40353DED"/>
    <w:rsid w:val="40C57896"/>
    <w:rsid w:val="40D02D3C"/>
    <w:rsid w:val="41852724"/>
    <w:rsid w:val="419C619B"/>
    <w:rsid w:val="420E6E52"/>
    <w:rsid w:val="42296E75"/>
    <w:rsid w:val="43243DE7"/>
    <w:rsid w:val="43F97ACA"/>
    <w:rsid w:val="4602561E"/>
    <w:rsid w:val="46460D56"/>
    <w:rsid w:val="46E13712"/>
    <w:rsid w:val="470E1B72"/>
    <w:rsid w:val="4792414F"/>
    <w:rsid w:val="479A5FB8"/>
    <w:rsid w:val="47B807F3"/>
    <w:rsid w:val="47E81BB1"/>
    <w:rsid w:val="47FC6910"/>
    <w:rsid w:val="4A623313"/>
    <w:rsid w:val="4A726690"/>
    <w:rsid w:val="4B1B6C71"/>
    <w:rsid w:val="4C281EF3"/>
    <w:rsid w:val="4CDD4B47"/>
    <w:rsid w:val="4CE12E15"/>
    <w:rsid w:val="4D312DA7"/>
    <w:rsid w:val="4D69924D"/>
    <w:rsid w:val="4F055FF2"/>
    <w:rsid w:val="4F77935B"/>
    <w:rsid w:val="4FC53A84"/>
    <w:rsid w:val="50CD3132"/>
    <w:rsid w:val="51993F9E"/>
    <w:rsid w:val="52184D14"/>
    <w:rsid w:val="525D300E"/>
    <w:rsid w:val="533EB9E5"/>
    <w:rsid w:val="53681604"/>
    <w:rsid w:val="536979A6"/>
    <w:rsid w:val="54D7213B"/>
    <w:rsid w:val="55DFA0A0"/>
    <w:rsid w:val="561435A7"/>
    <w:rsid w:val="569F3D76"/>
    <w:rsid w:val="576818B0"/>
    <w:rsid w:val="57ED2858"/>
    <w:rsid w:val="57FA6D49"/>
    <w:rsid w:val="59143D47"/>
    <w:rsid w:val="59A71EE5"/>
    <w:rsid w:val="59CE51A9"/>
    <w:rsid w:val="59FF1B90"/>
    <w:rsid w:val="5A474332"/>
    <w:rsid w:val="5ABB9E54"/>
    <w:rsid w:val="5AD05F1E"/>
    <w:rsid w:val="5B152E64"/>
    <w:rsid w:val="5B7340B8"/>
    <w:rsid w:val="5BDFAB0E"/>
    <w:rsid w:val="5C32682B"/>
    <w:rsid w:val="5CDEEC0A"/>
    <w:rsid w:val="5D5F6243"/>
    <w:rsid w:val="5D7C6005"/>
    <w:rsid w:val="5DC77D97"/>
    <w:rsid w:val="5DD22168"/>
    <w:rsid w:val="5DF729D1"/>
    <w:rsid w:val="5FE2B437"/>
    <w:rsid w:val="5FEF5520"/>
    <w:rsid w:val="5FF71960"/>
    <w:rsid w:val="60147D4F"/>
    <w:rsid w:val="60B34342"/>
    <w:rsid w:val="616B3E01"/>
    <w:rsid w:val="61DE4A37"/>
    <w:rsid w:val="62066B73"/>
    <w:rsid w:val="628C5B80"/>
    <w:rsid w:val="638C42D9"/>
    <w:rsid w:val="63D97827"/>
    <w:rsid w:val="64B45E83"/>
    <w:rsid w:val="651152FC"/>
    <w:rsid w:val="65324317"/>
    <w:rsid w:val="65593F66"/>
    <w:rsid w:val="65FEE4FC"/>
    <w:rsid w:val="66F40245"/>
    <w:rsid w:val="67F7FEA5"/>
    <w:rsid w:val="69221657"/>
    <w:rsid w:val="697F3149"/>
    <w:rsid w:val="697FD160"/>
    <w:rsid w:val="6A6715B2"/>
    <w:rsid w:val="6A726147"/>
    <w:rsid w:val="6B300A25"/>
    <w:rsid w:val="6B535F74"/>
    <w:rsid w:val="6B7A4DE0"/>
    <w:rsid w:val="6BDDE3A2"/>
    <w:rsid w:val="6C163263"/>
    <w:rsid w:val="6C264620"/>
    <w:rsid w:val="6CD16191"/>
    <w:rsid w:val="6CFECA5E"/>
    <w:rsid w:val="6D7E1522"/>
    <w:rsid w:val="6D95125A"/>
    <w:rsid w:val="6E3BB05A"/>
    <w:rsid w:val="6ED06DC1"/>
    <w:rsid w:val="6EFB2B5A"/>
    <w:rsid w:val="6EFD1050"/>
    <w:rsid w:val="6F3C07B7"/>
    <w:rsid w:val="6F474F0B"/>
    <w:rsid w:val="6F565074"/>
    <w:rsid w:val="6F6F6081"/>
    <w:rsid w:val="6F7F96C5"/>
    <w:rsid w:val="6FD5E3EE"/>
    <w:rsid w:val="6FFFA188"/>
    <w:rsid w:val="701934AE"/>
    <w:rsid w:val="714B2ECB"/>
    <w:rsid w:val="716D4917"/>
    <w:rsid w:val="71D7CD63"/>
    <w:rsid w:val="72385629"/>
    <w:rsid w:val="731F0A75"/>
    <w:rsid w:val="73351169"/>
    <w:rsid w:val="736EF16B"/>
    <w:rsid w:val="73FB078E"/>
    <w:rsid w:val="741831B5"/>
    <w:rsid w:val="75C80649"/>
    <w:rsid w:val="75F6DF03"/>
    <w:rsid w:val="762F7860"/>
    <w:rsid w:val="76D6577B"/>
    <w:rsid w:val="76DD2D5E"/>
    <w:rsid w:val="773FEEE4"/>
    <w:rsid w:val="777E65A3"/>
    <w:rsid w:val="77CB17F7"/>
    <w:rsid w:val="77EF22B1"/>
    <w:rsid w:val="77F52A84"/>
    <w:rsid w:val="77FB6ED2"/>
    <w:rsid w:val="77FD8D83"/>
    <w:rsid w:val="79BF61C2"/>
    <w:rsid w:val="79C17D27"/>
    <w:rsid w:val="79FC7325"/>
    <w:rsid w:val="7A6B5CE7"/>
    <w:rsid w:val="7AE7FB34"/>
    <w:rsid w:val="7AFF2F06"/>
    <w:rsid w:val="7B767570"/>
    <w:rsid w:val="7B778066"/>
    <w:rsid w:val="7BAF23D3"/>
    <w:rsid w:val="7BB5E297"/>
    <w:rsid w:val="7BDA3581"/>
    <w:rsid w:val="7BF705FC"/>
    <w:rsid w:val="7C1EED7B"/>
    <w:rsid w:val="7C7C68B8"/>
    <w:rsid w:val="7C7E327A"/>
    <w:rsid w:val="7CADD60F"/>
    <w:rsid w:val="7CEB9D80"/>
    <w:rsid w:val="7D521B6D"/>
    <w:rsid w:val="7D572E14"/>
    <w:rsid w:val="7D8F0965"/>
    <w:rsid w:val="7DD87B8D"/>
    <w:rsid w:val="7DEFEC06"/>
    <w:rsid w:val="7DF5611B"/>
    <w:rsid w:val="7EF53BC8"/>
    <w:rsid w:val="7EFB987F"/>
    <w:rsid w:val="7F105FF7"/>
    <w:rsid w:val="7F1D43BF"/>
    <w:rsid w:val="7F7B3E5D"/>
    <w:rsid w:val="7F7F2E39"/>
    <w:rsid w:val="7F7F4C15"/>
    <w:rsid w:val="7F8BC6F0"/>
    <w:rsid w:val="7F8E71CE"/>
    <w:rsid w:val="7FB31639"/>
    <w:rsid w:val="7FB72670"/>
    <w:rsid w:val="7FD76BDF"/>
    <w:rsid w:val="7FDD52BF"/>
    <w:rsid w:val="7FDF009B"/>
    <w:rsid w:val="7FE2096C"/>
    <w:rsid w:val="7FFB0A25"/>
    <w:rsid w:val="7FFDE681"/>
    <w:rsid w:val="7FFF05AD"/>
    <w:rsid w:val="8F5F2450"/>
    <w:rsid w:val="8FBB11D5"/>
    <w:rsid w:val="9B2AD334"/>
    <w:rsid w:val="9BE64044"/>
    <w:rsid w:val="9EFF2E8A"/>
    <w:rsid w:val="A7FEB36C"/>
    <w:rsid w:val="AAB77870"/>
    <w:rsid w:val="ABB79F31"/>
    <w:rsid w:val="ABDB09F4"/>
    <w:rsid w:val="ABFE0459"/>
    <w:rsid w:val="ADF7198A"/>
    <w:rsid w:val="AEDF96FA"/>
    <w:rsid w:val="B6F9097E"/>
    <w:rsid w:val="B77FA827"/>
    <w:rsid w:val="B7BB53B6"/>
    <w:rsid w:val="B7BC8609"/>
    <w:rsid w:val="B7E7FED3"/>
    <w:rsid w:val="B7EECBBE"/>
    <w:rsid w:val="B9DE2A08"/>
    <w:rsid w:val="BADBFC01"/>
    <w:rsid w:val="BAFF9CE6"/>
    <w:rsid w:val="BDB3BEDA"/>
    <w:rsid w:val="BDED5869"/>
    <w:rsid w:val="BDF94A48"/>
    <w:rsid w:val="BDFF2131"/>
    <w:rsid w:val="BE9BB8A5"/>
    <w:rsid w:val="BEFF9D61"/>
    <w:rsid w:val="BF7F6555"/>
    <w:rsid w:val="BFD95782"/>
    <w:rsid w:val="BFDFE6F7"/>
    <w:rsid w:val="C1FB2E92"/>
    <w:rsid w:val="CD9F141D"/>
    <w:rsid w:val="D33F08CB"/>
    <w:rsid w:val="D3FEC497"/>
    <w:rsid w:val="D7F9BBB8"/>
    <w:rsid w:val="D7FB5501"/>
    <w:rsid w:val="DB76FCEA"/>
    <w:rsid w:val="DDB8AE9C"/>
    <w:rsid w:val="DDC7F1C7"/>
    <w:rsid w:val="DE5CD0B4"/>
    <w:rsid w:val="DEB574C0"/>
    <w:rsid w:val="DF5EF206"/>
    <w:rsid w:val="DF99275E"/>
    <w:rsid w:val="DFEE1A41"/>
    <w:rsid w:val="E2EEBFED"/>
    <w:rsid w:val="E4D6B171"/>
    <w:rsid w:val="E7F71888"/>
    <w:rsid w:val="E7FD4197"/>
    <w:rsid w:val="E9CD36B5"/>
    <w:rsid w:val="E9FE18FD"/>
    <w:rsid w:val="EABD96D6"/>
    <w:rsid w:val="EBEF0299"/>
    <w:rsid w:val="EED58912"/>
    <w:rsid w:val="EF3DC6D9"/>
    <w:rsid w:val="EFCDB375"/>
    <w:rsid w:val="EFE70C54"/>
    <w:rsid w:val="EFF86293"/>
    <w:rsid w:val="EFF95983"/>
    <w:rsid w:val="EFFF6BF9"/>
    <w:rsid w:val="EFFFF711"/>
    <w:rsid w:val="F0FF611E"/>
    <w:rsid w:val="F2F9C0B8"/>
    <w:rsid w:val="F3E58846"/>
    <w:rsid w:val="F4E6B735"/>
    <w:rsid w:val="F53E8D2B"/>
    <w:rsid w:val="F53F602B"/>
    <w:rsid w:val="F766CEF0"/>
    <w:rsid w:val="F7DDA3C1"/>
    <w:rsid w:val="F7E9F212"/>
    <w:rsid w:val="F7F7F6CD"/>
    <w:rsid w:val="F7FB6029"/>
    <w:rsid w:val="F7FF8A2D"/>
    <w:rsid w:val="F7FFC9F3"/>
    <w:rsid w:val="F9F55026"/>
    <w:rsid w:val="FA9B081B"/>
    <w:rsid w:val="FBD9C8D6"/>
    <w:rsid w:val="FBDF0488"/>
    <w:rsid w:val="FBFCC1D3"/>
    <w:rsid w:val="FBFF09F9"/>
    <w:rsid w:val="FCBDBC4F"/>
    <w:rsid w:val="FD3F9C51"/>
    <w:rsid w:val="FD77D307"/>
    <w:rsid w:val="FD7A8197"/>
    <w:rsid w:val="FDFF0B60"/>
    <w:rsid w:val="FE7F96F2"/>
    <w:rsid w:val="FEB9D9E7"/>
    <w:rsid w:val="FEDFB7BE"/>
    <w:rsid w:val="FEDFBB2E"/>
    <w:rsid w:val="FEF6BDA4"/>
    <w:rsid w:val="FEFA5DAB"/>
    <w:rsid w:val="FF3D962B"/>
    <w:rsid w:val="FF4F3287"/>
    <w:rsid w:val="FF7F4081"/>
    <w:rsid w:val="FF7FBDD9"/>
    <w:rsid w:val="FF9D1844"/>
    <w:rsid w:val="FFAFA4A9"/>
    <w:rsid w:val="FFD79843"/>
    <w:rsid w:val="FFDE9567"/>
    <w:rsid w:val="FFDF4F05"/>
    <w:rsid w:val="FFEB7C0D"/>
    <w:rsid w:val="FFF741D2"/>
    <w:rsid w:val="FFF75CCF"/>
    <w:rsid w:val="FFFB90EF"/>
    <w:rsid w:val="FFFF1F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sz w:val="44"/>
    </w:r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paragraph" w:customStyle="1" w:styleId="9">
    <w:name w:val="Char"/>
    <w:basedOn w:val="1"/>
    <w:qFormat/>
    <w:uiPriority w:val="0"/>
    <w:pPr>
      <w:widowControl/>
      <w:jc w:val="left"/>
    </w:pPr>
    <w:rPr>
      <w:rFonts w:ascii="Verdana" w:hAnsi="Verdana" w:eastAsia="仿宋_GB2312"/>
      <w:kern w:val="0"/>
      <w:sz w:val="28"/>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11</Pages>
  <Words>3255</Words>
  <Characters>3459</Characters>
  <Lines>22</Lines>
  <Paragraphs>6</Paragraphs>
  <TotalTime>15555</TotalTime>
  <ScaleCrop>false</ScaleCrop>
  <LinksUpToDate>false</LinksUpToDate>
  <CharactersWithSpaces>3506</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2017-03-01T09:02:00Z</dcterms:created>
  <dc:creator>预算处(税政处、编审中心)-王威</dc:creator>
  <cp:lastModifiedBy>pjxc</cp:lastModifiedBy>
  <cp:lastPrinted>2025-02-10T06:14:00Z</cp:lastPrinted>
  <dcterms:modified xsi:type="dcterms:W3CDTF">2025-02-24T15:02:14Z</dcterms:modified>
  <dc:title>辽宁省财政厅部门预算</dc:title>
  <cp:revision>217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KSOTemplateDocerSaveRecord">
    <vt:lpwstr>eyJoZGlkIjoiZDEyNmVlNjk3NGIzMDYwNGQxOWFmMmRhZmYxYmEyNWUiLCJ1c2VySWQiOiI2MTM0MDk5MDIifQ==</vt:lpwstr>
  </property>
  <property fmtid="{D5CDD505-2E9C-101B-9397-08002B2CF9AE}" pid="4" name="ICV">
    <vt:lpwstr>89E397BA069B48F2960BA812F92847A0_12</vt:lpwstr>
  </property>
</Properties>
</file>