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003E6">
      <w:pPr>
        <w:rPr>
          <w:rFonts w:hint="default" w:ascii="黑体" w:hAnsi="黑体" w:eastAsia="黑体" w:cs="黑体"/>
          <w:sz w:val="32"/>
          <w:szCs w:val="32"/>
          <w:lang w:val="en-US" w:eastAsia="zh-CN"/>
        </w:rPr>
      </w:pPr>
    </w:p>
    <w:p w14:paraId="4CFF4E52">
      <w:pPr>
        <w:pStyle w:val="2"/>
        <w:rPr>
          <w:rFonts w:hint="eastAsia" w:ascii="仿宋_GB2312" w:eastAsia="仿宋_GB2312"/>
          <w:sz w:val="32"/>
          <w:szCs w:val="32"/>
          <w:lang w:val="en-US" w:eastAsia="zh-CN"/>
        </w:rPr>
      </w:pPr>
    </w:p>
    <w:p w14:paraId="1640E18D">
      <w:pPr>
        <w:spacing w:line="560" w:lineRule="exact"/>
        <w:jc w:val="center"/>
        <w:rPr>
          <w:bCs/>
          <w:sz w:val="32"/>
          <w:szCs w:val="32"/>
          <w:u w:val="single"/>
        </w:rPr>
      </w:pPr>
    </w:p>
    <w:p w14:paraId="12746C67">
      <w:pPr>
        <w:spacing w:line="560" w:lineRule="exact"/>
        <w:jc w:val="center"/>
        <w:rPr>
          <w:b/>
          <w:sz w:val="44"/>
          <w:szCs w:val="44"/>
          <w:u w:val="single"/>
        </w:rPr>
      </w:pPr>
    </w:p>
    <w:p w14:paraId="05E91630">
      <w:pPr>
        <w:pStyle w:val="2"/>
      </w:pPr>
    </w:p>
    <w:p w14:paraId="0046E181">
      <w:pPr>
        <w:spacing w:line="560" w:lineRule="exact"/>
        <w:jc w:val="center"/>
        <w:rPr>
          <w:b/>
          <w:sz w:val="44"/>
          <w:szCs w:val="44"/>
          <w:u w:val="single"/>
        </w:rPr>
      </w:pPr>
    </w:p>
    <w:p w14:paraId="7568D9FF">
      <w:pPr>
        <w:spacing w:line="560" w:lineRule="exact"/>
        <w:jc w:val="both"/>
        <w:rPr>
          <w:rFonts w:hint="eastAsia"/>
          <w:b/>
          <w:sz w:val="44"/>
          <w:szCs w:val="44"/>
        </w:rPr>
      </w:pPr>
    </w:p>
    <w:p w14:paraId="03B5EB7D">
      <w:pPr>
        <w:spacing w:line="560" w:lineRule="exact"/>
        <w:jc w:val="center"/>
        <w:rPr>
          <w:rFonts w:hint="default" w:eastAsia="宋体"/>
          <w:b/>
          <w:sz w:val="44"/>
          <w:szCs w:val="44"/>
          <w:lang w:val="en-US" w:eastAsia="zh-CN"/>
        </w:rPr>
      </w:pPr>
      <w:r>
        <w:rPr>
          <w:rFonts w:hint="eastAsia"/>
          <w:b/>
          <w:sz w:val="44"/>
          <w:szCs w:val="44"/>
          <w:lang w:eastAsia="zh-CN"/>
        </w:rPr>
        <w:t>盘山县电商物流产业基地发展服务中心</w:t>
      </w:r>
      <w:r>
        <w:rPr>
          <w:rFonts w:hint="eastAsia"/>
          <w:b/>
          <w:sz w:val="44"/>
          <w:szCs w:val="44"/>
          <w:lang w:val="en-US" w:eastAsia="zh-CN"/>
        </w:rPr>
        <w:t>2025年度部门预算</w:t>
      </w:r>
    </w:p>
    <w:p w14:paraId="4203659B">
      <w:pPr>
        <w:spacing w:line="560" w:lineRule="exact"/>
        <w:jc w:val="center"/>
        <w:rPr>
          <w:rFonts w:hint="eastAsia"/>
          <w:b/>
          <w:sz w:val="44"/>
          <w:szCs w:val="44"/>
        </w:rPr>
      </w:pPr>
    </w:p>
    <w:p w14:paraId="1254B79A">
      <w:pPr>
        <w:spacing w:line="560" w:lineRule="exact"/>
        <w:jc w:val="center"/>
        <w:rPr>
          <w:rFonts w:hint="eastAsia"/>
          <w:b/>
          <w:sz w:val="44"/>
          <w:szCs w:val="44"/>
        </w:rPr>
      </w:pPr>
    </w:p>
    <w:p w14:paraId="3F305D22">
      <w:pPr>
        <w:spacing w:line="560" w:lineRule="exact"/>
        <w:jc w:val="center"/>
        <w:rPr>
          <w:rFonts w:hint="eastAsia"/>
          <w:b/>
          <w:sz w:val="44"/>
          <w:szCs w:val="44"/>
        </w:rPr>
      </w:pPr>
    </w:p>
    <w:p w14:paraId="7D6EA4FB">
      <w:pPr>
        <w:spacing w:line="560" w:lineRule="exact"/>
        <w:jc w:val="center"/>
        <w:rPr>
          <w:rFonts w:hint="eastAsia"/>
          <w:b/>
          <w:sz w:val="44"/>
          <w:szCs w:val="44"/>
        </w:rPr>
      </w:pPr>
    </w:p>
    <w:p w14:paraId="4D7E372E">
      <w:pPr>
        <w:spacing w:line="560" w:lineRule="exact"/>
        <w:jc w:val="center"/>
        <w:rPr>
          <w:rFonts w:hint="eastAsia"/>
          <w:b/>
          <w:sz w:val="44"/>
          <w:szCs w:val="44"/>
        </w:rPr>
      </w:pPr>
    </w:p>
    <w:p w14:paraId="7943B285">
      <w:pPr>
        <w:spacing w:line="560" w:lineRule="exact"/>
        <w:jc w:val="center"/>
        <w:rPr>
          <w:rFonts w:hint="eastAsia"/>
          <w:b/>
          <w:sz w:val="44"/>
          <w:szCs w:val="44"/>
        </w:rPr>
      </w:pPr>
    </w:p>
    <w:p w14:paraId="533FE25E">
      <w:pPr>
        <w:spacing w:line="560" w:lineRule="exact"/>
        <w:jc w:val="center"/>
        <w:rPr>
          <w:rFonts w:hint="eastAsia"/>
          <w:b/>
          <w:sz w:val="44"/>
          <w:szCs w:val="44"/>
        </w:rPr>
      </w:pPr>
    </w:p>
    <w:p w14:paraId="175ABF9F">
      <w:pPr>
        <w:spacing w:line="560" w:lineRule="exact"/>
        <w:jc w:val="center"/>
        <w:rPr>
          <w:rFonts w:hint="eastAsia"/>
          <w:b/>
          <w:sz w:val="44"/>
          <w:szCs w:val="44"/>
        </w:rPr>
      </w:pPr>
    </w:p>
    <w:p w14:paraId="151E6C1B">
      <w:pPr>
        <w:spacing w:line="560" w:lineRule="exact"/>
        <w:jc w:val="center"/>
        <w:rPr>
          <w:rFonts w:hint="eastAsia"/>
          <w:b/>
          <w:sz w:val="44"/>
          <w:szCs w:val="44"/>
        </w:rPr>
      </w:pPr>
    </w:p>
    <w:p w14:paraId="5BF61ACE">
      <w:pPr>
        <w:spacing w:line="560" w:lineRule="exact"/>
        <w:jc w:val="center"/>
        <w:rPr>
          <w:rFonts w:hint="eastAsia"/>
          <w:b/>
          <w:sz w:val="44"/>
          <w:szCs w:val="44"/>
        </w:rPr>
      </w:pPr>
    </w:p>
    <w:p w14:paraId="0C405250">
      <w:pPr>
        <w:spacing w:line="560" w:lineRule="exact"/>
        <w:jc w:val="center"/>
        <w:rPr>
          <w:rFonts w:hint="eastAsia"/>
          <w:b/>
          <w:sz w:val="44"/>
          <w:szCs w:val="44"/>
        </w:rPr>
      </w:pPr>
    </w:p>
    <w:p w14:paraId="1390D562">
      <w:pPr>
        <w:spacing w:line="560" w:lineRule="exact"/>
        <w:jc w:val="center"/>
        <w:rPr>
          <w:rFonts w:hint="eastAsia"/>
          <w:b/>
          <w:sz w:val="44"/>
          <w:szCs w:val="44"/>
        </w:rPr>
      </w:pPr>
    </w:p>
    <w:p w14:paraId="0BBD4B4F">
      <w:pPr>
        <w:spacing w:line="560" w:lineRule="exact"/>
        <w:jc w:val="center"/>
        <w:rPr>
          <w:rFonts w:hint="eastAsia"/>
          <w:b/>
          <w:sz w:val="44"/>
          <w:szCs w:val="44"/>
        </w:rPr>
      </w:pPr>
    </w:p>
    <w:p w14:paraId="04C0116E">
      <w:pPr>
        <w:spacing w:line="560" w:lineRule="exact"/>
        <w:jc w:val="center"/>
        <w:rPr>
          <w:rFonts w:hint="eastAsia"/>
          <w:b/>
          <w:sz w:val="44"/>
          <w:szCs w:val="44"/>
        </w:rPr>
      </w:pPr>
    </w:p>
    <w:p w14:paraId="59CEFD04">
      <w:pPr>
        <w:spacing w:line="560" w:lineRule="exact"/>
        <w:jc w:val="center"/>
        <w:rPr>
          <w:rFonts w:hint="eastAsia"/>
          <w:b/>
          <w:sz w:val="44"/>
          <w:szCs w:val="44"/>
        </w:rPr>
      </w:pPr>
    </w:p>
    <w:p w14:paraId="2EA15D77">
      <w:pPr>
        <w:spacing w:line="560" w:lineRule="exact"/>
        <w:jc w:val="center"/>
        <w:rPr>
          <w:b/>
          <w:sz w:val="44"/>
          <w:szCs w:val="44"/>
        </w:rPr>
      </w:pPr>
      <w:r>
        <w:rPr>
          <w:rFonts w:hint="eastAsia"/>
          <w:b/>
          <w:sz w:val="44"/>
          <w:szCs w:val="44"/>
        </w:rPr>
        <w:t>目    录</w:t>
      </w:r>
    </w:p>
    <w:p w14:paraId="72242347">
      <w:pPr>
        <w:spacing w:line="560" w:lineRule="exact"/>
        <w:rPr>
          <w:b/>
          <w:sz w:val="44"/>
          <w:szCs w:val="44"/>
          <w:u w:val="single"/>
        </w:rPr>
      </w:pPr>
    </w:p>
    <w:p w14:paraId="123DCDEA">
      <w:pPr>
        <w:spacing w:line="560" w:lineRule="exact"/>
        <w:rPr>
          <w:b/>
          <w:sz w:val="44"/>
          <w:szCs w:val="44"/>
          <w:u w:val="single"/>
        </w:rPr>
      </w:pPr>
    </w:p>
    <w:p w14:paraId="168846D3">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C758453">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eastAsia="宋体" w:cs="宋体"/>
          <w:b/>
          <w:sz w:val="32"/>
          <w:szCs w:val="32"/>
          <w:lang w:eastAsia="zh-CN"/>
        </w:rPr>
        <w:t>盘山县电商物流产业基地发展服务中心</w:t>
      </w:r>
      <w:r>
        <w:rPr>
          <w:rFonts w:hint="eastAsia" w:ascii="黑体" w:hAnsi="黑体" w:eastAsia="黑体"/>
          <w:sz w:val="32"/>
          <w:szCs w:val="32"/>
        </w:rPr>
        <w:t>概况</w:t>
      </w:r>
    </w:p>
    <w:p w14:paraId="5D3DAB9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841F93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5725072">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eastAsia="宋体" w:cs="宋体"/>
          <w:b/>
          <w:sz w:val="32"/>
          <w:szCs w:val="32"/>
          <w:lang w:eastAsia="zh-CN"/>
        </w:rPr>
        <w:t>盘山县电商物流产业基地发展服务中心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08AEA54D">
      <w:pPr>
        <w:spacing w:line="560" w:lineRule="exact"/>
        <w:rPr>
          <w:rFonts w:ascii="黑体" w:hAnsi="黑体" w:eastAsia="黑体"/>
          <w:sz w:val="32"/>
          <w:szCs w:val="32"/>
        </w:rPr>
      </w:pPr>
      <w:r>
        <w:rPr>
          <w:rFonts w:hint="eastAsia" w:ascii="黑体" w:hAnsi="黑体" w:eastAsia="黑体"/>
          <w:sz w:val="32"/>
          <w:szCs w:val="32"/>
        </w:rPr>
        <w:t>第四部分    名词解释</w:t>
      </w:r>
    </w:p>
    <w:p w14:paraId="38DDCAF7">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宋体" w:hAnsi="宋体" w:eastAsia="宋体" w:cs="宋体"/>
          <w:b/>
          <w:sz w:val="32"/>
          <w:szCs w:val="32"/>
          <w:lang w:eastAsia="zh-CN"/>
        </w:rPr>
        <w:t>盘山县电商物流产业基地发展服务中心</w:t>
      </w:r>
      <w:r>
        <w:rPr>
          <w:rFonts w:hint="eastAsia" w:ascii="宋体" w:hAnsi="宋体" w:cs="宋体"/>
          <w:b/>
          <w:sz w:val="32"/>
          <w:szCs w:val="32"/>
          <w:lang w:val="en-US" w:eastAsia="zh-CN"/>
        </w:rPr>
        <w:t>2025年</w:t>
      </w:r>
      <w:r>
        <w:rPr>
          <w:rFonts w:hint="eastAsia" w:ascii="黑体" w:hAnsi="黑体" w:eastAsia="黑体"/>
          <w:sz w:val="32"/>
          <w:szCs w:val="32"/>
        </w:rPr>
        <w:t>部门预算批复表</w:t>
      </w:r>
    </w:p>
    <w:p w14:paraId="2C50A8F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64B825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E29B5D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506F13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C267B8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6950908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1A793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5B96AD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4037C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E91913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034ED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6FE6A9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4A0CA7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5889E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8D1AA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4323BE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5CFD9A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346952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842F7C6">
      <w:pPr>
        <w:spacing w:line="560" w:lineRule="exact"/>
        <w:rPr>
          <w:rFonts w:ascii="黑体" w:hAnsi="黑体" w:eastAsia="黑体"/>
          <w:sz w:val="32"/>
          <w:szCs w:val="32"/>
        </w:rPr>
      </w:pPr>
      <w:r>
        <w:rPr>
          <w:rFonts w:hint="eastAsia" w:ascii="黑体" w:hAnsi="黑体" w:eastAsia="黑体"/>
          <w:sz w:val="32"/>
          <w:szCs w:val="32"/>
        </w:rPr>
        <w:t>　</w:t>
      </w:r>
    </w:p>
    <w:p w14:paraId="58418A3A">
      <w:pPr>
        <w:spacing w:line="560" w:lineRule="exact"/>
        <w:rPr>
          <w:rFonts w:ascii="黑体" w:hAnsi="黑体" w:eastAsia="黑体"/>
          <w:sz w:val="32"/>
          <w:szCs w:val="32"/>
        </w:rPr>
      </w:pPr>
    </w:p>
    <w:p w14:paraId="1C5B0B10">
      <w:pPr>
        <w:spacing w:line="560" w:lineRule="exact"/>
        <w:rPr>
          <w:rFonts w:ascii="黑体" w:hAnsi="黑体" w:eastAsia="黑体"/>
          <w:sz w:val="32"/>
          <w:szCs w:val="32"/>
        </w:rPr>
      </w:pPr>
    </w:p>
    <w:p w14:paraId="64844D54">
      <w:pPr>
        <w:spacing w:line="560" w:lineRule="exact"/>
        <w:rPr>
          <w:rFonts w:ascii="宋体" w:hAnsi="宋体"/>
          <w:b/>
          <w:sz w:val="36"/>
          <w:szCs w:val="36"/>
        </w:rPr>
      </w:pPr>
    </w:p>
    <w:p w14:paraId="41B6EB8D">
      <w:pPr>
        <w:spacing w:line="560" w:lineRule="exact"/>
        <w:rPr>
          <w:rFonts w:ascii="宋体" w:hAnsi="宋体"/>
          <w:b/>
          <w:sz w:val="36"/>
          <w:szCs w:val="36"/>
        </w:rPr>
      </w:pPr>
    </w:p>
    <w:p w14:paraId="2CE5D54F">
      <w:pPr>
        <w:spacing w:line="560" w:lineRule="exact"/>
        <w:jc w:val="center"/>
        <w:rPr>
          <w:rFonts w:ascii="宋体" w:hAnsi="宋体"/>
          <w:b/>
          <w:sz w:val="36"/>
          <w:szCs w:val="36"/>
        </w:rPr>
      </w:pPr>
    </w:p>
    <w:p w14:paraId="702CEC7B">
      <w:pPr>
        <w:spacing w:line="560" w:lineRule="exact"/>
        <w:jc w:val="center"/>
        <w:rPr>
          <w:rFonts w:ascii="宋体" w:hAnsi="宋体"/>
          <w:b/>
          <w:sz w:val="36"/>
          <w:szCs w:val="36"/>
        </w:rPr>
      </w:pPr>
    </w:p>
    <w:p w14:paraId="464D17C4">
      <w:pPr>
        <w:spacing w:line="560" w:lineRule="exact"/>
        <w:jc w:val="center"/>
        <w:rPr>
          <w:rFonts w:ascii="宋体" w:hAnsi="宋体"/>
          <w:b/>
          <w:sz w:val="36"/>
          <w:szCs w:val="36"/>
        </w:rPr>
      </w:pPr>
    </w:p>
    <w:p w14:paraId="775BE919">
      <w:pPr>
        <w:spacing w:line="560" w:lineRule="exact"/>
        <w:jc w:val="center"/>
        <w:rPr>
          <w:rFonts w:ascii="宋体" w:hAnsi="宋体"/>
          <w:b/>
          <w:sz w:val="36"/>
          <w:szCs w:val="36"/>
        </w:rPr>
      </w:pPr>
    </w:p>
    <w:p w14:paraId="0B72409A">
      <w:pPr>
        <w:spacing w:line="560" w:lineRule="exact"/>
        <w:jc w:val="center"/>
        <w:rPr>
          <w:rFonts w:ascii="宋体" w:hAnsi="宋体"/>
          <w:b/>
          <w:sz w:val="36"/>
          <w:szCs w:val="36"/>
        </w:rPr>
      </w:pPr>
    </w:p>
    <w:p w14:paraId="5860FAD2">
      <w:pPr>
        <w:spacing w:line="560" w:lineRule="exact"/>
        <w:jc w:val="center"/>
        <w:rPr>
          <w:rFonts w:ascii="宋体" w:hAnsi="宋体"/>
          <w:b/>
          <w:sz w:val="36"/>
          <w:szCs w:val="36"/>
        </w:rPr>
      </w:pPr>
    </w:p>
    <w:p w14:paraId="4D832A46">
      <w:pPr>
        <w:spacing w:line="560" w:lineRule="exact"/>
        <w:jc w:val="center"/>
        <w:rPr>
          <w:rFonts w:ascii="宋体" w:hAnsi="宋体"/>
          <w:b/>
          <w:sz w:val="36"/>
          <w:szCs w:val="36"/>
        </w:rPr>
      </w:pPr>
    </w:p>
    <w:p w14:paraId="07C7B8A4">
      <w:pPr>
        <w:spacing w:line="560" w:lineRule="exact"/>
        <w:jc w:val="center"/>
        <w:rPr>
          <w:rFonts w:ascii="宋体" w:hAnsi="宋体"/>
          <w:b/>
          <w:sz w:val="36"/>
          <w:szCs w:val="36"/>
        </w:rPr>
      </w:pPr>
    </w:p>
    <w:p w14:paraId="2160E368">
      <w:pPr>
        <w:spacing w:line="560" w:lineRule="exact"/>
        <w:jc w:val="center"/>
        <w:rPr>
          <w:rFonts w:ascii="宋体" w:hAnsi="宋体"/>
          <w:b/>
          <w:sz w:val="36"/>
          <w:szCs w:val="36"/>
        </w:rPr>
      </w:pPr>
    </w:p>
    <w:p w14:paraId="50831BB1">
      <w:pPr>
        <w:spacing w:line="560" w:lineRule="exact"/>
        <w:jc w:val="center"/>
        <w:rPr>
          <w:rFonts w:ascii="宋体" w:hAnsi="宋体"/>
          <w:b/>
          <w:sz w:val="36"/>
          <w:szCs w:val="36"/>
        </w:rPr>
      </w:pPr>
    </w:p>
    <w:p w14:paraId="106440EE">
      <w:pPr>
        <w:spacing w:line="560" w:lineRule="exact"/>
        <w:jc w:val="center"/>
        <w:rPr>
          <w:rFonts w:ascii="宋体" w:hAnsi="宋体"/>
          <w:b/>
          <w:sz w:val="36"/>
          <w:szCs w:val="36"/>
        </w:rPr>
      </w:pPr>
    </w:p>
    <w:p w14:paraId="63D85DDA">
      <w:pPr>
        <w:spacing w:line="560" w:lineRule="exact"/>
        <w:jc w:val="center"/>
        <w:rPr>
          <w:rFonts w:ascii="宋体" w:hAnsi="宋体"/>
          <w:b/>
          <w:sz w:val="36"/>
          <w:szCs w:val="36"/>
        </w:rPr>
      </w:pPr>
    </w:p>
    <w:p w14:paraId="4398D882">
      <w:pPr>
        <w:spacing w:line="560" w:lineRule="exact"/>
        <w:jc w:val="center"/>
        <w:rPr>
          <w:rFonts w:ascii="宋体" w:hAnsi="宋体"/>
          <w:b/>
          <w:sz w:val="36"/>
          <w:szCs w:val="36"/>
        </w:rPr>
      </w:pPr>
    </w:p>
    <w:p w14:paraId="7E1AFC07">
      <w:pPr>
        <w:spacing w:line="560" w:lineRule="exact"/>
        <w:jc w:val="center"/>
        <w:rPr>
          <w:rFonts w:ascii="宋体" w:hAnsi="宋体"/>
          <w:b/>
          <w:sz w:val="36"/>
          <w:szCs w:val="36"/>
        </w:rPr>
      </w:pPr>
    </w:p>
    <w:p w14:paraId="452B597B">
      <w:pPr>
        <w:pStyle w:val="2"/>
      </w:pPr>
    </w:p>
    <w:p w14:paraId="25333C4D">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D9042CC">
      <w:pPr>
        <w:spacing w:line="560" w:lineRule="exact"/>
        <w:jc w:val="center"/>
        <w:rPr>
          <w:rFonts w:ascii="宋体" w:hAnsi="宋体"/>
          <w:b/>
          <w:sz w:val="36"/>
          <w:szCs w:val="36"/>
        </w:rPr>
      </w:pPr>
    </w:p>
    <w:p w14:paraId="50574C12">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79E5530F">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C20A37D">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21A2A5FE">
      <w:pPr>
        <w:spacing w:line="560" w:lineRule="exact"/>
        <w:rPr>
          <w:rFonts w:ascii="宋体" w:hAnsi="宋体"/>
          <w:b/>
          <w:sz w:val="36"/>
          <w:szCs w:val="36"/>
        </w:rPr>
      </w:pPr>
    </w:p>
    <w:p w14:paraId="5AAAF18A">
      <w:pPr>
        <w:spacing w:line="560" w:lineRule="exact"/>
        <w:rPr>
          <w:rFonts w:ascii="宋体" w:hAnsi="宋体"/>
          <w:b/>
          <w:sz w:val="36"/>
          <w:szCs w:val="36"/>
        </w:rPr>
      </w:pPr>
    </w:p>
    <w:p w14:paraId="1FF588F0">
      <w:pPr>
        <w:spacing w:line="560" w:lineRule="exact"/>
        <w:rPr>
          <w:rFonts w:ascii="宋体" w:hAnsi="宋体"/>
          <w:b/>
          <w:sz w:val="36"/>
          <w:szCs w:val="36"/>
        </w:rPr>
      </w:pPr>
    </w:p>
    <w:p w14:paraId="7984BE54">
      <w:pPr>
        <w:spacing w:line="560" w:lineRule="exact"/>
        <w:rPr>
          <w:rFonts w:ascii="宋体" w:hAnsi="宋体"/>
          <w:b/>
          <w:sz w:val="36"/>
          <w:szCs w:val="36"/>
        </w:rPr>
      </w:pPr>
    </w:p>
    <w:p w14:paraId="24D87B98">
      <w:pPr>
        <w:spacing w:line="560" w:lineRule="exact"/>
        <w:rPr>
          <w:rFonts w:ascii="宋体" w:hAnsi="宋体"/>
          <w:b/>
          <w:sz w:val="36"/>
          <w:szCs w:val="36"/>
        </w:rPr>
      </w:pPr>
    </w:p>
    <w:p w14:paraId="74A3FB7F">
      <w:pPr>
        <w:spacing w:line="560" w:lineRule="exact"/>
        <w:rPr>
          <w:rFonts w:ascii="宋体" w:hAnsi="宋体"/>
          <w:b/>
          <w:sz w:val="36"/>
          <w:szCs w:val="36"/>
        </w:rPr>
      </w:pPr>
    </w:p>
    <w:p w14:paraId="6AC97F0D">
      <w:pPr>
        <w:spacing w:line="560" w:lineRule="exact"/>
        <w:rPr>
          <w:rFonts w:ascii="宋体" w:hAnsi="宋体"/>
          <w:b/>
          <w:sz w:val="36"/>
          <w:szCs w:val="36"/>
        </w:rPr>
      </w:pPr>
    </w:p>
    <w:p w14:paraId="7310B3F4">
      <w:pPr>
        <w:spacing w:line="560" w:lineRule="exact"/>
        <w:rPr>
          <w:rFonts w:ascii="宋体" w:hAnsi="宋体"/>
          <w:b/>
          <w:sz w:val="36"/>
          <w:szCs w:val="36"/>
        </w:rPr>
      </w:pPr>
    </w:p>
    <w:p w14:paraId="27BF94D3">
      <w:pPr>
        <w:spacing w:line="560" w:lineRule="exact"/>
        <w:rPr>
          <w:rFonts w:ascii="宋体" w:hAnsi="宋体"/>
          <w:b/>
          <w:sz w:val="36"/>
          <w:szCs w:val="36"/>
        </w:rPr>
      </w:pPr>
    </w:p>
    <w:p w14:paraId="6412CDD5">
      <w:pPr>
        <w:spacing w:line="560" w:lineRule="exact"/>
        <w:rPr>
          <w:rFonts w:ascii="宋体" w:hAnsi="宋体"/>
          <w:b/>
          <w:sz w:val="36"/>
          <w:szCs w:val="36"/>
        </w:rPr>
      </w:pPr>
    </w:p>
    <w:p w14:paraId="47FC1545">
      <w:pPr>
        <w:spacing w:line="560" w:lineRule="exact"/>
        <w:rPr>
          <w:rFonts w:ascii="宋体" w:hAnsi="宋体"/>
          <w:b/>
          <w:sz w:val="36"/>
          <w:szCs w:val="36"/>
        </w:rPr>
      </w:pPr>
    </w:p>
    <w:p w14:paraId="206F6D3F">
      <w:pPr>
        <w:spacing w:line="560" w:lineRule="exact"/>
        <w:rPr>
          <w:rFonts w:ascii="宋体" w:hAnsi="宋体"/>
          <w:b/>
          <w:sz w:val="36"/>
          <w:szCs w:val="36"/>
        </w:rPr>
      </w:pPr>
    </w:p>
    <w:p w14:paraId="2E4254A5">
      <w:pPr>
        <w:spacing w:line="560" w:lineRule="exact"/>
        <w:rPr>
          <w:rFonts w:ascii="宋体" w:hAnsi="宋体"/>
          <w:b/>
          <w:sz w:val="36"/>
          <w:szCs w:val="36"/>
        </w:rPr>
      </w:pPr>
    </w:p>
    <w:p w14:paraId="4D3685D4">
      <w:pPr>
        <w:spacing w:line="560" w:lineRule="exact"/>
        <w:rPr>
          <w:rFonts w:ascii="宋体" w:hAnsi="宋体"/>
          <w:b/>
          <w:sz w:val="36"/>
          <w:szCs w:val="36"/>
        </w:rPr>
      </w:pPr>
    </w:p>
    <w:p w14:paraId="019BF5B6">
      <w:pPr>
        <w:spacing w:line="560" w:lineRule="exact"/>
        <w:rPr>
          <w:rFonts w:ascii="宋体" w:hAnsi="宋体"/>
          <w:b/>
          <w:sz w:val="36"/>
          <w:szCs w:val="36"/>
        </w:rPr>
      </w:pPr>
    </w:p>
    <w:p w14:paraId="30E08D63">
      <w:pPr>
        <w:spacing w:line="560" w:lineRule="exact"/>
        <w:rPr>
          <w:rFonts w:ascii="宋体" w:hAnsi="宋体"/>
          <w:b/>
          <w:sz w:val="36"/>
          <w:szCs w:val="36"/>
        </w:rPr>
      </w:pPr>
    </w:p>
    <w:p w14:paraId="5EC64703">
      <w:pPr>
        <w:spacing w:line="560" w:lineRule="exact"/>
        <w:rPr>
          <w:rFonts w:ascii="宋体" w:hAnsi="宋体"/>
          <w:b/>
          <w:sz w:val="36"/>
          <w:szCs w:val="36"/>
        </w:rPr>
      </w:pPr>
    </w:p>
    <w:p w14:paraId="47EBC549">
      <w:pPr>
        <w:spacing w:line="560" w:lineRule="exact"/>
        <w:rPr>
          <w:rFonts w:ascii="宋体" w:hAnsi="宋体"/>
          <w:b/>
          <w:sz w:val="36"/>
          <w:szCs w:val="36"/>
        </w:rPr>
      </w:pPr>
    </w:p>
    <w:p w14:paraId="55DA27E2">
      <w:pPr>
        <w:spacing w:line="560" w:lineRule="exact"/>
        <w:rPr>
          <w:rFonts w:ascii="宋体" w:hAnsi="宋体"/>
          <w:b/>
          <w:sz w:val="36"/>
          <w:szCs w:val="36"/>
        </w:rPr>
      </w:pPr>
    </w:p>
    <w:p w14:paraId="23BE529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盘山县电商物流产业基地发展服务中心</w:t>
      </w:r>
      <w:r>
        <w:rPr>
          <w:rFonts w:hint="eastAsia" w:ascii="宋体" w:hAnsi="宋体"/>
          <w:b/>
          <w:sz w:val="36"/>
          <w:szCs w:val="36"/>
        </w:rPr>
        <w:t>概况</w:t>
      </w:r>
    </w:p>
    <w:p w14:paraId="632838B2">
      <w:pPr>
        <w:spacing w:line="560" w:lineRule="exact"/>
        <w:ind w:firstLine="646" w:firstLineChars="200"/>
        <w:jc w:val="left"/>
        <w:rPr>
          <w:rFonts w:ascii="黑体" w:eastAsia="黑体"/>
          <w:sz w:val="32"/>
          <w:szCs w:val="32"/>
        </w:rPr>
      </w:pPr>
    </w:p>
    <w:p w14:paraId="11473254">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0BACEE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pPr>
      <w:r>
        <w:rPr>
          <w:rFonts w:hint="eastAsia" w:ascii="仿宋" w:hAnsi="仿宋" w:eastAsia="仿宋" w:cs="仿宋"/>
          <w:i w:val="0"/>
          <w:iCs w:val="0"/>
          <w:caps w:val="0"/>
          <w:color w:val="333333"/>
          <w:spacing w:val="0"/>
          <w:sz w:val="32"/>
          <w:szCs w:val="32"/>
          <w:shd w:val="clear" w:color="auto" w:fill="FFFFFF"/>
        </w:rPr>
        <w:t>盘山县电商物流产业基地发展服务中心是县政府直属正科级事业单位。主要部门工作职责是：</w:t>
      </w:r>
    </w:p>
    <w:p w14:paraId="42F422B5">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（一）负责参与拟定电商物流战略发展规划以及有关政策、措施和标准并组织实施。</w:t>
      </w:r>
    </w:p>
    <w:p w14:paraId="0F155C06">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（二）负责研究拟定本地区邮政业发展规划，协助邮政管理部门监督管理本地区快递、集邮、邮政用品用具等邮政市场以及邮政普遍服务和机要通信等特殊服务的实施。</w:t>
      </w:r>
    </w:p>
    <w:p w14:paraId="663911A1">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（三）负责为电商、物流、仓储等企业提供相关政策、法规、办事流程和其他涉及投资的咨询服务工作。</w:t>
      </w:r>
    </w:p>
    <w:p w14:paraId="7133AABB">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（四）负责承担电商、物流、仓储及关联产业的招商引资工作，并组织实施宣传推广活动。</w:t>
      </w:r>
    </w:p>
    <w:p w14:paraId="18F9977B">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五）负责东北快递（电商）物流园区的运营和管理工作；负责物流园区项目以及基础设施的规划设计、管理、验收以及后期维护、养护工作；负责为企业项目建设协调办理注册、审核、变更、备案职责等行政审批工作，完善项目手续。</w:t>
      </w:r>
    </w:p>
    <w:p w14:paraId="04048086">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（六）负责对园区及园区内企业进行日常巡查、检查，做好安全监管工作。</w:t>
      </w:r>
    </w:p>
    <w:p w14:paraId="7111DC16">
      <w:pPr>
        <w:ind w:firstLine="323" w:firstLineChars="100"/>
        <w:rPr>
          <w:rFonts w:hint="eastAsia" w:ascii="仿宋" w:hAnsi="仿宋" w:eastAsia="仿宋" w:cs="方正仿宋_GB2312"/>
          <w:sz w:val="32"/>
          <w:szCs w:val="32"/>
        </w:rPr>
      </w:pPr>
      <w:r>
        <w:rPr>
          <w:rFonts w:hint="eastAsia" w:ascii="仿宋" w:hAnsi="仿宋" w:eastAsia="仿宋" w:cs="方正仿宋_GB2312"/>
          <w:sz w:val="32"/>
          <w:szCs w:val="32"/>
        </w:rPr>
        <w:t>（七）承办县委、县政府交办的其他事项。</w:t>
      </w:r>
    </w:p>
    <w:p w14:paraId="6032D396">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28323246">
      <w:pPr>
        <w:ind w:firstLine="646" w:firstLineChars="200"/>
        <w:rPr>
          <w:rFonts w:hint="eastAsia" w:ascii="仿宋" w:hAnsi="仿宋" w:eastAsia="仿宋" w:cs="方正仿宋_GB2312"/>
          <w:sz w:val="32"/>
          <w:szCs w:val="32"/>
        </w:rPr>
      </w:pPr>
      <w:r>
        <w:rPr>
          <w:rFonts w:hint="eastAsia" w:ascii="仿宋" w:hAnsi="仿宋" w:eastAsia="仿宋" w:cs="方正仿宋_GB2312"/>
          <w:sz w:val="32"/>
          <w:szCs w:val="32"/>
        </w:rPr>
        <w:t>根据本部门主要职责，内设机构如下：综合办公室、投资促进部、项目服务部、安全生产部、行业发展部。</w:t>
      </w:r>
    </w:p>
    <w:p w14:paraId="587AAFF7">
      <w:pPr>
        <w:ind w:firstLine="646" w:firstLineChars="200"/>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盘山县电商物流产业基地发展服务中心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6ADE8560">
      <w:pPr>
        <w:ind w:firstLine="646" w:firstLineChars="200"/>
        <w:rPr>
          <w:rFonts w:ascii="仿宋_GB2312" w:eastAsia="仿宋_GB2312"/>
          <w:b/>
          <w:sz w:val="32"/>
          <w:szCs w:val="32"/>
        </w:rPr>
      </w:pPr>
      <w:r>
        <w:rPr>
          <w:rFonts w:hint="eastAsia" w:ascii="仿宋_GB2312" w:hAnsi="仿宋" w:eastAsia="仿宋_GB2312"/>
          <w:sz w:val="32"/>
          <w:szCs w:val="32"/>
        </w:rPr>
        <w:t>我中心无</w:t>
      </w:r>
      <w:r>
        <w:rPr>
          <w:rFonts w:hint="eastAsia" w:ascii="仿宋_GB2312" w:hAnsi="仿宋" w:eastAsia="仿宋_GB2312"/>
          <w:sz w:val="32"/>
          <w:szCs w:val="32"/>
          <w:lang w:eastAsia="zh-CN"/>
        </w:rPr>
        <w:t>二</w:t>
      </w:r>
      <w:r>
        <w:rPr>
          <w:rFonts w:hint="eastAsia" w:ascii="仿宋_GB2312" w:hAnsi="仿宋" w:eastAsia="仿宋_GB2312"/>
          <w:sz w:val="32"/>
          <w:szCs w:val="32"/>
        </w:rPr>
        <w:t>级</w:t>
      </w:r>
      <w:r>
        <w:rPr>
          <w:rFonts w:hint="eastAsia" w:ascii="仿宋_GB2312" w:hAnsi="仿宋" w:eastAsia="仿宋_GB2312"/>
          <w:sz w:val="32"/>
          <w:szCs w:val="32"/>
          <w:lang w:eastAsia="zh-CN"/>
        </w:rPr>
        <w:t>预算</w:t>
      </w:r>
      <w:r>
        <w:rPr>
          <w:rFonts w:hint="eastAsia" w:ascii="仿宋_GB2312" w:hAnsi="仿宋" w:eastAsia="仿宋_GB2312"/>
          <w:sz w:val="32"/>
          <w:szCs w:val="32"/>
        </w:rPr>
        <w:t>单位。</w:t>
      </w:r>
    </w:p>
    <w:p w14:paraId="71E46197">
      <w:pPr>
        <w:spacing w:line="560" w:lineRule="exact"/>
        <w:ind w:firstLine="646" w:firstLineChars="200"/>
        <w:jc w:val="left"/>
        <w:rPr>
          <w:rFonts w:ascii="仿宋_GB2312" w:eastAsia="仿宋_GB2312"/>
          <w:sz w:val="32"/>
          <w:szCs w:val="32"/>
        </w:rPr>
      </w:pPr>
    </w:p>
    <w:p w14:paraId="5AF75427">
      <w:pPr>
        <w:spacing w:line="560" w:lineRule="exact"/>
        <w:rPr>
          <w:rFonts w:ascii="黑体" w:eastAsia="黑体"/>
          <w:sz w:val="36"/>
          <w:szCs w:val="36"/>
        </w:rPr>
      </w:pPr>
    </w:p>
    <w:p w14:paraId="1E732592">
      <w:pPr>
        <w:spacing w:line="560" w:lineRule="exact"/>
        <w:rPr>
          <w:rFonts w:ascii="黑体" w:eastAsia="黑体"/>
          <w:sz w:val="36"/>
          <w:szCs w:val="36"/>
        </w:rPr>
      </w:pPr>
    </w:p>
    <w:p w14:paraId="420E1CB0">
      <w:pPr>
        <w:spacing w:line="560" w:lineRule="exact"/>
        <w:rPr>
          <w:rFonts w:ascii="黑体" w:eastAsia="黑体"/>
          <w:sz w:val="36"/>
          <w:szCs w:val="36"/>
        </w:rPr>
      </w:pPr>
    </w:p>
    <w:p w14:paraId="615C6E79">
      <w:pPr>
        <w:spacing w:line="560" w:lineRule="exact"/>
        <w:rPr>
          <w:rFonts w:ascii="黑体" w:eastAsia="黑体"/>
          <w:sz w:val="36"/>
          <w:szCs w:val="36"/>
        </w:rPr>
      </w:pPr>
    </w:p>
    <w:p w14:paraId="2D0E9FD4">
      <w:pPr>
        <w:spacing w:line="560" w:lineRule="exact"/>
        <w:rPr>
          <w:rFonts w:ascii="黑体" w:eastAsia="黑体"/>
          <w:sz w:val="36"/>
          <w:szCs w:val="36"/>
        </w:rPr>
      </w:pPr>
    </w:p>
    <w:p w14:paraId="55DAD7F6">
      <w:pPr>
        <w:spacing w:line="560" w:lineRule="exact"/>
        <w:rPr>
          <w:rFonts w:ascii="黑体" w:eastAsia="黑体"/>
          <w:sz w:val="36"/>
          <w:szCs w:val="36"/>
        </w:rPr>
      </w:pPr>
    </w:p>
    <w:p w14:paraId="5D0572DA">
      <w:pPr>
        <w:spacing w:line="560" w:lineRule="exact"/>
        <w:rPr>
          <w:rFonts w:ascii="黑体" w:eastAsia="黑体"/>
          <w:sz w:val="36"/>
          <w:szCs w:val="36"/>
        </w:rPr>
      </w:pPr>
    </w:p>
    <w:p w14:paraId="4861B782">
      <w:pPr>
        <w:spacing w:line="560" w:lineRule="exact"/>
        <w:rPr>
          <w:rFonts w:ascii="黑体" w:eastAsia="黑体"/>
          <w:sz w:val="36"/>
          <w:szCs w:val="36"/>
        </w:rPr>
      </w:pPr>
    </w:p>
    <w:p w14:paraId="1195CE8B">
      <w:pPr>
        <w:spacing w:line="560" w:lineRule="exact"/>
        <w:rPr>
          <w:rFonts w:ascii="黑体" w:eastAsia="黑体"/>
          <w:sz w:val="36"/>
          <w:szCs w:val="36"/>
        </w:rPr>
      </w:pPr>
    </w:p>
    <w:p w14:paraId="19C9DF51">
      <w:pPr>
        <w:spacing w:line="560" w:lineRule="exact"/>
        <w:rPr>
          <w:rFonts w:ascii="黑体" w:eastAsia="黑体"/>
          <w:sz w:val="36"/>
          <w:szCs w:val="36"/>
        </w:rPr>
      </w:pPr>
    </w:p>
    <w:p w14:paraId="5ECD052B">
      <w:pPr>
        <w:spacing w:line="560" w:lineRule="exact"/>
        <w:rPr>
          <w:rFonts w:ascii="黑体" w:eastAsia="黑体"/>
          <w:sz w:val="36"/>
          <w:szCs w:val="36"/>
        </w:rPr>
      </w:pPr>
    </w:p>
    <w:p w14:paraId="66DFBE8D">
      <w:pPr>
        <w:spacing w:line="560" w:lineRule="exact"/>
        <w:rPr>
          <w:rFonts w:ascii="黑体" w:eastAsia="黑体"/>
          <w:sz w:val="36"/>
          <w:szCs w:val="36"/>
        </w:rPr>
      </w:pPr>
    </w:p>
    <w:p w14:paraId="12B36CC1">
      <w:pPr>
        <w:spacing w:line="560" w:lineRule="exact"/>
        <w:rPr>
          <w:rFonts w:ascii="黑体" w:eastAsia="黑体"/>
          <w:sz w:val="36"/>
          <w:szCs w:val="36"/>
        </w:rPr>
      </w:pPr>
    </w:p>
    <w:p w14:paraId="461D64A0">
      <w:pPr>
        <w:spacing w:line="560" w:lineRule="exact"/>
        <w:rPr>
          <w:rFonts w:ascii="黑体" w:eastAsia="黑体"/>
          <w:sz w:val="36"/>
          <w:szCs w:val="36"/>
        </w:rPr>
      </w:pPr>
    </w:p>
    <w:p w14:paraId="6431F5CD">
      <w:pPr>
        <w:spacing w:line="560" w:lineRule="exact"/>
        <w:rPr>
          <w:rFonts w:ascii="黑体" w:eastAsia="黑体"/>
          <w:sz w:val="36"/>
          <w:szCs w:val="36"/>
        </w:rPr>
      </w:pPr>
    </w:p>
    <w:p w14:paraId="109B2E60">
      <w:pPr>
        <w:spacing w:line="560" w:lineRule="exact"/>
        <w:rPr>
          <w:rFonts w:ascii="黑体" w:eastAsia="黑体"/>
          <w:sz w:val="36"/>
          <w:szCs w:val="36"/>
        </w:rPr>
      </w:pPr>
    </w:p>
    <w:p w14:paraId="2710A3EB">
      <w:pPr>
        <w:spacing w:line="560" w:lineRule="exact"/>
        <w:rPr>
          <w:rFonts w:ascii="黑体" w:eastAsia="黑体"/>
          <w:sz w:val="36"/>
          <w:szCs w:val="36"/>
        </w:rPr>
      </w:pPr>
    </w:p>
    <w:p w14:paraId="557D257F">
      <w:pPr>
        <w:spacing w:line="560" w:lineRule="exact"/>
        <w:rPr>
          <w:rFonts w:ascii="黑体" w:eastAsia="黑体"/>
          <w:sz w:val="36"/>
          <w:szCs w:val="36"/>
        </w:rPr>
      </w:pPr>
    </w:p>
    <w:p w14:paraId="08135DF8">
      <w:pPr>
        <w:spacing w:line="560" w:lineRule="exact"/>
        <w:rPr>
          <w:rFonts w:ascii="黑体" w:eastAsia="黑体"/>
          <w:sz w:val="36"/>
          <w:szCs w:val="36"/>
        </w:rPr>
      </w:pPr>
    </w:p>
    <w:p w14:paraId="05CDF975">
      <w:pPr>
        <w:spacing w:line="560" w:lineRule="exact"/>
        <w:rPr>
          <w:rFonts w:ascii="黑体" w:eastAsia="黑体"/>
          <w:sz w:val="36"/>
          <w:szCs w:val="36"/>
        </w:rPr>
      </w:pPr>
    </w:p>
    <w:p w14:paraId="5EFBE77C">
      <w:pPr>
        <w:spacing w:line="560" w:lineRule="exact"/>
        <w:jc w:val="both"/>
        <w:rPr>
          <w:rFonts w:ascii="宋体" w:hAnsi="宋体"/>
          <w:b/>
          <w:sz w:val="36"/>
          <w:szCs w:val="36"/>
        </w:rPr>
      </w:pPr>
    </w:p>
    <w:p w14:paraId="75465915">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黑体" w:hAnsi="黑体" w:eastAsia="黑体"/>
          <w:sz w:val="32"/>
          <w:szCs w:val="32"/>
        </w:rPr>
        <w:t xml:space="preserve"> </w:t>
      </w:r>
      <w:r>
        <w:rPr>
          <w:rFonts w:hint="eastAsia" w:ascii="宋体" w:hAnsi="宋体" w:eastAsia="宋体" w:cs="宋体"/>
          <w:b/>
          <w:sz w:val="36"/>
          <w:szCs w:val="36"/>
          <w:lang w:eastAsia="zh-CN"/>
        </w:rPr>
        <w:t>盘山县电商物流产业基地发展服务中心</w:t>
      </w:r>
      <w:r>
        <w:rPr>
          <w:rFonts w:hint="eastAsia" w:ascii="宋体" w:hAnsi="宋体"/>
          <w:b/>
          <w:sz w:val="36"/>
          <w:szCs w:val="36"/>
          <w:lang w:val="en-US" w:eastAsia="zh-CN"/>
        </w:rPr>
        <w:t>2025</w:t>
      </w:r>
      <w:r>
        <w:rPr>
          <w:rFonts w:hint="eastAsia" w:ascii="宋体" w:hAnsi="宋体"/>
          <w:b/>
          <w:sz w:val="36"/>
          <w:szCs w:val="36"/>
        </w:rPr>
        <w:t>年部门预算情况说明</w:t>
      </w:r>
    </w:p>
    <w:p w14:paraId="6A1786A3">
      <w:pPr>
        <w:spacing w:line="560" w:lineRule="exact"/>
        <w:jc w:val="center"/>
        <w:rPr>
          <w:rFonts w:ascii="宋体" w:hAnsi="宋体"/>
          <w:b/>
          <w:sz w:val="36"/>
          <w:szCs w:val="36"/>
        </w:rPr>
      </w:pPr>
    </w:p>
    <w:p w14:paraId="50DC43A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E80650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389.27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0EA134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389.27</w:t>
      </w:r>
      <w:r>
        <w:rPr>
          <w:rFonts w:hint="eastAsia" w:ascii="仿宋_GB2312" w:hAnsi="宋体" w:eastAsia="仿宋_GB2312"/>
          <w:sz w:val="32"/>
          <w:szCs w:val="32"/>
          <w:highlight w:val="none"/>
        </w:rPr>
        <w:t>万元；</w:t>
      </w:r>
    </w:p>
    <w:p w14:paraId="37BEBFC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BEBC4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0E4858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A9CF3A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0F1E88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7CB0475">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389.27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337850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231.27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BD13A2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158</w:t>
      </w:r>
      <w:r>
        <w:rPr>
          <w:rFonts w:hint="eastAsia" w:ascii="仿宋_GB2312" w:eastAsia="仿宋_GB2312"/>
          <w:sz w:val="32"/>
          <w:szCs w:val="32"/>
          <w:highlight w:val="none"/>
        </w:rPr>
        <w:t>万元。</w:t>
      </w:r>
    </w:p>
    <w:p w14:paraId="1FBB221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E3E627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158</w:t>
      </w:r>
      <w:r>
        <w:rPr>
          <w:rFonts w:hint="eastAsia" w:ascii="仿宋_GB2312" w:eastAsia="仿宋_GB2312" w:cs="仿宋_GB2312"/>
          <w:sz w:val="32"/>
          <w:szCs w:val="32"/>
          <w:highlight w:val="none"/>
        </w:rPr>
        <w:t xml:space="preserve">万元。 </w:t>
      </w:r>
    </w:p>
    <w:p w14:paraId="1F414B14">
      <w:pPr>
        <w:spacing w:line="560" w:lineRule="exact"/>
        <w:ind w:firstLine="646" w:firstLineChars="200"/>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59.93</w:t>
      </w:r>
      <w:bookmarkStart w:id="0" w:name="_GoBack"/>
      <w:bookmarkEnd w:id="0"/>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2024年本单位调走1人，退休1人；2025年度压减项目支出。</w:t>
      </w:r>
    </w:p>
    <w:p w14:paraId="765A6EE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059BD8D">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盘山县电商物流产业基地发展服务中心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716135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黑体" w:hAnsi="黑体" w:eastAsia="黑体" w:cs="黑体"/>
          <w:sz w:val="32"/>
          <w:szCs w:val="32"/>
        </w:rPr>
      </w:pPr>
      <w:r>
        <w:rPr>
          <w:rFonts w:hint="eastAsia" w:ascii="黑体" w:hAnsi="宋体" w:eastAsia="黑体"/>
          <w:sz w:val="32"/>
          <w:szCs w:val="32"/>
        </w:rPr>
        <w:t>三、</w:t>
      </w:r>
      <w:r>
        <w:rPr>
          <w:rFonts w:hint="eastAsia" w:ascii="黑体" w:hAnsi="黑体" w:eastAsia="黑体" w:cs="黑体"/>
          <w:i w:val="0"/>
          <w:iCs w:val="0"/>
          <w:caps w:val="0"/>
          <w:color w:val="333333"/>
          <w:spacing w:val="0"/>
          <w:sz w:val="32"/>
          <w:szCs w:val="32"/>
          <w:shd w:val="clear" w:color="auto" w:fill="FFFFFF"/>
        </w:rPr>
        <w:t>事业运行经费预算安排使用情况说明</w:t>
      </w:r>
    </w:p>
    <w:p w14:paraId="526A7A03">
      <w:pPr>
        <w:spacing w:line="560" w:lineRule="exact"/>
        <w:ind w:firstLine="645"/>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盘山县电商物流产业基地发展服务中心事业</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8.34</w:t>
      </w:r>
      <w:r>
        <w:rPr>
          <w:rFonts w:hint="eastAsia" w:ascii="仿宋_GB2312" w:hAnsi="宋体" w:eastAsia="仿宋_GB2312"/>
          <w:sz w:val="32"/>
          <w:szCs w:val="32"/>
        </w:rPr>
        <w:t>万元，</w:t>
      </w:r>
      <w:r>
        <w:rPr>
          <w:rFonts w:hint="eastAsia" w:ascii="仿宋_GB2312" w:hAnsi="宋体" w:eastAsia="仿宋_GB2312"/>
          <w:sz w:val="32"/>
          <w:szCs w:val="32"/>
          <w:lang w:eastAsia="zh-CN"/>
        </w:rPr>
        <w:t>比</w:t>
      </w:r>
      <w:r>
        <w:rPr>
          <w:rFonts w:hint="eastAsia" w:ascii="仿宋_GB2312" w:hAnsi="宋体" w:eastAsia="仿宋_GB2312"/>
          <w:sz w:val="32"/>
          <w:szCs w:val="32"/>
          <w:lang w:val="en-US" w:eastAsia="zh-CN"/>
        </w:rPr>
        <w:t>2024年预算减少0.77万元，主要原因是2025年比2024年减少2人，因此经费减少。</w:t>
      </w:r>
      <w:r>
        <w:rPr>
          <w:rFonts w:hint="eastAsia" w:ascii="仿宋_GB2312" w:hAnsi="宋体" w:eastAsia="仿宋_GB2312"/>
          <w:sz w:val="32"/>
          <w:szCs w:val="32"/>
          <w:lang w:eastAsia="zh-CN"/>
        </w:rPr>
        <w:t>事业</w:t>
      </w:r>
      <w:r>
        <w:rPr>
          <w:rFonts w:hint="eastAsia" w:ascii="仿宋_GB2312" w:hAnsi="宋体" w:eastAsia="仿宋_GB2312"/>
          <w:sz w:val="32"/>
          <w:szCs w:val="32"/>
        </w:rPr>
        <w:t>运行经费主要包括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1.50万元，</w:t>
      </w:r>
      <w:r>
        <w:rPr>
          <w:rFonts w:hint="eastAsia" w:ascii="仿宋_GB2312" w:hAnsi="宋体" w:eastAsia="仿宋_GB2312"/>
          <w:sz w:val="32"/>
          <w:szCs w:val="32"/>
          <w:lang w:eastAsia="zh-CN"/>
        </w:rPr>
        <w:t>印刷费</w:t>
      </w:r>
      <w:r>
        <w:rPr>
          <w:rFonts w:hint="eastAsia" w:ascii="仿宋_GB2312" w:hAnsi="宋体" w:eastAsia="仿宋_GB2312"/>
          <w:sz w:val="32"/>
          <w:szCs w:val="32"/>
          <w:lang w:val="en-US" w:eastAsia="zh-CN"/>
        </w:rPr>
        <w:t>0.50万元，</w:t>
      </w:r>
      <w:r>
        <w:rPr>
          <w:rFonts w:hint="eastAsia" w:ascii="仿宋_GB2312" w:hAnsi="宋体" w:eastAsia="仿宋_GB2312"/>
          <w:sz w:val="32"/>
          <w:szCs w:val="32"/>
          <w:lang w:eastAsia="zh-CN"/>
        </w:rPr>
        <w:t>手续</w:t>
      </w:r>
      <w:r>
        <w:rPr>
          <w:rFonts w:hint="eastAsia" w:ascii="仿宋_GB2312" w:hAnsi="宋体" w:eastAsia="仿宋_GB2312"/>
          <w:sz w:val="32"/>
          <w:szCs w:val="32"/>
          <w:lang w:val="en-US" w:eastAsia="zh-CN"/>
        </w:rPr>
        <w:t>0.08万元,</w:t>
      </w:r>
      <w:r>
        <w:rPr>
          <w:rFonts w:hint="eastAsia" w:ascii="仿宋_GB2312" w:hAnsi="宋体" w:eastAsia="仿宋_GB2312"/>
          <w:sz w:val="32"/>
          <w:szCs w:val="32"/>
          <w:lang w:eastAsia="zh-CN"/>
        </w:rPr>
        <w:t>水费</w:t>
      </w:r>
      <w:r>
        <w:rPr>
          <w:rFonts w:hint="eastAsia" w:ascii="仿宋_GB2312" w:hAnsi="宋体" w:eastAsia="仿宋_GB2312"/>
          <w:sz w:val="32"/>
          <w:szCs w:val="32"/>
          <w:lang w:val="en-US" w:eastAsia="zh-CN"/>
        </w:rPr>
        <w:t>0.80万元,</w:t>
      </w:r>
      <w:r>
        <w:rPr>
          <w:rFonts w:hint="eastAsia" w:ascii="仿宋_GB2312" w:hAnsi="宋体" w:eastAsia="仿宋_GB2312"/>
          <w:sz w:val="32"/>
          <w:szCs w:val="32"/>
          <w:lang w:eastAsia="zh-CN"/>
        </w:rPr>
        <w:t>电费</w:t>
      </w:r>
      <w:r>
        <w:rPr>
          <w:rFonts w:hint="eastAsia" w:ascii="仿宋_GB2312" w:hAnsi="宋体" w:eastAsia="仿宋_GB2312"/>
          <w:sz w:val="32"/>
          <w:szCs w:val="32"/>
          <w:lang w:val="en-US" w:eastAsia="zh-CN"/>
        </w:rPr>
        <w:t>万元0.70,</w:t>
      </w:r>
      <w:r>
        <w:rPr>
          <w:rFonts w:hint="eastAsia" w:ascii="仿宋_GB2312" w:hAnsi="宋体" w:eastAsia="仿宋_GB2312"/>
          <w:sz w:val="32"/>
          <w:szCs w:val="32"/>
          <w:lang w:eastAsia="zh-CN"/>
        </w:rPr>
        <w:t>邮电费</w:t>
      </w:r>
      <w:r>
        <w:rPr>
          <w:rFonts w:hint="eastAsia" w:ascii="仿宋_GB2312" w:hAnsi="宋体" w:eastAsia="仿宋_GB2312"/>
          <w:sz w:val="32"/>
          <w:szCs w:val="32"/>
          <w:lang w:val="en-US" w:eastAsia="zh-CN"/>
        </w:rPr>
        <w:t>0.80万元,</w:t>
      </w:r>
      <w:r>
        <w:rPr>
          <w:rFonts w:hint="eastAsia" w:ascii="仿宋_GB2312" w:hAnsi="宋体" w:eastAsia="仿宋_GB2312"/>
          <w:sz w:val="32"/>
          <w:szCs w:val="32"/>
          <w:lang w:eastAsia="zh-CN"/>
        </w:rPr>
        <w:t>公务用车维护费</w:t>
      </w:r>
      <w:r>
        <w:rPr>
          <w:rFonts w:hint="eastAsia" w:ascii="仿宋_GB2312" w:hAnsi="宋体" w:eastAsia="仿宋_GB2312"/>
          <w:sz w:val="32"/>
          <w:szCs w:val="32"/>
          <w:lang w:val="en-US" w:eastAsia="zh-CN"/>
        </w:rPr>
        <w:t>4万元,</w:t>
      </w:r>
      <w:r>
        <w:rPr>
          <w:rFonts w:hint="eastAsia" w:ascii="仿宋_GB2312" w:hAnsi="宋体" w:eastAsia="仿宋_GB2312"/>
          <w:sz w:val="32"/>
          <w:szCs w:val="32"/>
          <w:lang w:eastAsia="zh-CN"/>
        </w:rPr>
        <w:t>对个人和家庭的补助（退休费）</w:t>
      </w:r>
      <w:r>
        <w:rPr>
          <w:rFonts w:hint="eastAsia" w:ascii="仿宋_GB2312" w:hAnsi="宋体" w:eastAsia="仿宋_GB2312"/>
          <w:sz w:val="32"/>
          <w:szCs w:val="32"/>
          <w:lang w:val="en-US" w:eastAsia="zh-CN"/>
        </w:rPr>
        <w:t>0.26万元。</w:t>
      </w:r>
    </w:p>
    <w:p w14:paraId="009CB16A">
      <w:pPr>
        <w:spacing w:line="560" w:lineRule="exact"/>
        <w:ind w:firstLine="646" w:firstLineChars="200"/>
        <w:rPr>
          <w:rFonts w:ascii="黑体" w:hAnsi="黑体" w:eastAsia="黑体"/>
          <w:sz w:val="32"/>
          <w:szCs w:val="32"/>
        </w:rPr>
      </w:pPr>
      <w:r>
        <w:rPr>
          <w:rFonts w:hint="eastAsia" w:ascii="黑体" w:hAnsi="黑体" w:eastAsia="黑体"/>
          <w:sz w:val="32"/>
          <w:szCs w:val="32"/>
        </w:rPr>
        <w:t>四、政府采购情况</w:t>
      </w:r>
    </w:p>
    <w:p w14:paraId="4B617D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盘山县电商物流产业基地发展服务中心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07B430B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C8A02B1">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盘山县电商物流产业基地发展服务中心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w:t>
      </w:r>
      <w:r>
        <w:rPr>
          <w:rFonts w:hint="eastAsia" w:ascii="仿宋_GB2312" w:eastAsia="仿宋_GB2312"/>
          <w:sz w:val="32"/>
          <w:szCs w:val="32"/>
        </w:rPr>
        <w:t>万元，下降</w:t>
      </w:r>
      <w:r>
        <w:rPr>
          <w:rFonts w:hint="eastAsia" w:ascii="仿宋_GB2312" w:eastAsia="仿宋_GB2312"/>
          <w:sz w:val="32"/>
          <w:szCs w:val="32"/>
          <w:lang w:val="en-US" w:eastAsia="zh-CN"/>
        </w:rPr>
        <w:t>14.29</w:t>
      </w:r>
      <w:r>
        <w:rPr>
          <w:rFonts w:hint="eastAsia" w:ascii="仿宋_GB2312" w:eastAsia="仿宋_GB2312"/>
          <w:sz w:val="32"/>
          <w:szCs w:val="32"/>
        </w:rPr>
        <w:t>%。其中：</w:t>
      </w:r>
    </w:p>
    <w:p w14:paraId="5D30DE7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5C391E0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w:t>
      </w:r>
      <w:r>
        <w:rPr>
          <w:rFonts w:hint="eastAsia" w:ascii="仿宋_GB2312" w:eastAsia="仿宋_GB2312"/>
          <w:sz w:val="32"/>
          <w:szCs w:val="32"/>
        </w:rPr>
        <w:t>万元，下降</w:t>
      </w:r>
      <w:r>
        <w:rPr>
          <w:rFonts w:hint="eastAsia" w:ascii="仿宋_GB2312" w:eastAsia="仿宋_GB2312"/>
          <w:sz w:val="32"/>
          <w:szCs w:val="32"/>
          <w:lang w:val="en-US" w:eastAsia="zh-CN"/>
        </w:rPr>
        <w:t>14.29</w:t>
      </w:r>
      <w:r>
        <w:rPr>
          <w:rFonts w:hint="eastAsia" w:ascii="仿宋_GB2312" w:eastAsia="仿宋_GB2312"/>
          <w:sz w:val="32"/>
          <w:szCs w:val="32"/>
        </w:rPr>
        <w:t>%。主要原因为</w:t>
      </w:r>
      <w:r>
        <w:rPr>
          <w:rFonts w:hint="eastAsia" w:ascii="仿宋_GB2312" w:eastAsia="仿宋_GB2312"/>
          <w:sz w:val="32"/>
          <w:szCs w:val="32"/>
          <w:lang w:val="en-US" w:eastAsia="zh-CN"/>
        </w:rPr>
        <w:t>2025年压减“三公”经费支出，因此公务接待费预算减少</w:t>
      </w:r>
      <w:r>
        <w:rPr>
          <w:rFonts w:hint="eastAsia" w:ascii="仿宋_GB2312" w:eastAsia="仿宋_GB2312"/>
          <w:sz w:val="32"/>
          <w:szCs w:val="32"/>
        </w:rPr>
        <w:t>。</w:t>
      </w:r>
    </w:p>
    <w:p w14:paraId="2A51FB0D">
      <w:pPr>
        <w:spacing w:line="560" w:lineRule="exact"/>
        <w:ind w:firstLine="646" w:firstLineChars="20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A8454E8">
      <w:pPr>
        <w:pStyle w:val="2"/>
      </w:pPr>
    </w:p>
    <w:p w14:paraId="45BB0F30"/>
    <w:p w14:paraId="6D692FB2">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21764462">
        <w:tblPrEx>
          <w:tblCellMar>
            <w:top w:w="15" w:type="dxa"/>
            <w:left w:w="108" w:type="dxa"/>
            <w:bottom w:w="15" w:type="dxa"/>
            <w:right w:w="108" w:type="dxa"/>
          </w:tblCellMar>
        </w:tblPrEx>
        <w:trPr>
          <w:trHeight w:val="570" w:hRule="atLeast"/>
        </w:trPr>
        <w:tc>
          <w:tcPr>
            <w:tcW w:w="8835" w:type="dxa"/>
            <w:gridSpan w:val="4"/>
            <w:vAlign w:val="center"/>
          </w:tcPr>
          <w:p w14:paraId="740E111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362A01C">
        <w:tblPrEx>
          <w:tblCellMar>
            <w:top w:w="15" w:type="dxa"/>
            <w:left w:w="108" w:type="dxa"/>
            <w:bottom w:w="15" w:type="dxa"/>
            <w:right w:w="108" w:type="dxa"/>
          </w:tblCellMar>
        </w:tblPrEx>
        <w:trPr>
          <w:trHeight w:val="480" w:hRule="atLeast"/>
        </w:trPr>
        <w:tc>
          <w:tcPr>
            <w:tcW w:w="3423" w:type="dxa"/>
            <w:vAlign w:val="center"/>
          </w:tcPr>
          <w:p w14:paraId="53CD184B">
            <w:pPr>
              <w:widowControl/>
              <w:spacing w:line="560" w:lineRule="exact"/>
              <w:jc w:val="left"/>
              <w:rPr>
                <w:rFonts w:ascii="宋体" w:hAnsi="宋体" w:cs="宋体"/>
                <w:color w:val="000000"/>
                <w:kern w:val="0"/>
                <w:sz w:val="24"/>
              </w:rPr>
            </w:pPr>
          </w:p>
        </w:tc>
        <w:tc>
          <w:tcPr>
            <w:tcW w:w="2026" w:type="dxa"/>
            <w:vAlign w:val="center"/>
          </w:tcPr>
          <w:p w14:paraId="2EF83671">
            <w:pPr>
              <w:widowControl/>
              <w:spacing w:line="560" w:lineRule="exact"/>
              <w:jc w:val="left"/>
              <w:rPr>
                <w:rFonts w:ascii="宋体" w:hAnsi="宋体" w:cs="宋体"/>
                <w:color w:val="000000"/>
                <w:kern w:val="0"/>
                <w:sz w:val="24"/>
              </w:rPr>
            </w:pPr>
          </w:p>
        </w:tc>
        <w:tc>
          <w:tcPr>
            <w:tcW w:w="3386" w:type="dxa"/>
            <w:gridSpan w:val="2"/>
            <w:vAlign w:val="center"/>
          </w:tcPr>
          <w:p w14:paraId="4B9A2C4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378B35B">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E5A3A8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B2CE17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47A69C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3869E8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395F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6A43A5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4BF28C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8178B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6C013E">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7</w:t>
            </w:r>
          </w:p>
        </w:tc>
        <w:tc>
          <w:tcPr>
            <w:tcW w:w="2583" w:type="dxa"/>
            <w:tcBorders>
              <w:top w:val="single" w:color="000000" w:sz="4" w:space="0"/>
              <w:left w:val="single" w:color="000000" w:sz="4" w:space="0"/>
              <w:bottom w:val="single" w:color="000000" w:sz="4" w:space="0"/>
              <w:right w:val="single" w:color="000000" w:sz="4" w:space="0"/>
            </w:tcBorders>
            <w:vAlign w:val="center"/>
          </w:tcPr>
          <w:p w14:paraId="03350AFE">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w:t>
            </w:r>
          </w:p>
        </w:tc>
      </w:tr>
      <w:tr w14:paraId="47A3628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D11A1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C557B6">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B574AD">
            <w:pPr>
              <w:widowControl/>
              <w:spacing w:line="560" w:lineRule="exact"/>
              <w:jc w:val="center"/>
              <w:rPr>
                <w:rFonts w:ascii="宋体" w:hAnsi="宋体" w:cs="宋体"/>
                <w:color w:val="000000"/>
                <w:kern w:val="0"/>
                <w:sz w:val="24"/>
              </w:rPr>
            </w:pPr>
          </w:p>
        </w:tc>
      </w:tr>
      <w:tr w14:paraId="4BBAD4B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8EF49D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7413FE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2583" w:type="dxa"/>
            <w:tcBorders>
              <w:top w:val="single" w:color="000000" w:sz="4" w:space="0"/>
              <w:left w:val="single" w:color="000000" w:sz="4" w:space="0"/>
              <w:bottom w:val="single" w:color="000000" w:sz="4" w:space="0"/>
              <w:right w:val="single" w:color="000000" w:sz="4" w:space="0"/>
            </w:tcBorders>
            <w:vAlign w:val="center"/>
          </w:tcPr>
          <w:p w14:paraId="29D1F1D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451595C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47F007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1205A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588D2A1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37E3DE4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BD7E7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F2F15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1B8355">
            <w:pPr>
              <w:widowControl/>
              <w:spacing w:line="560" w:lineRule="exact"/>
              <w:jc w:val="center"/>
              <w:rPr>
                <w:rFonts w:ascii="宋体" w:hAnsi="宋体" w:cs="宋体"/>
                <w:color w:val="000000"/>
                <w:kern w:val="0"/>
                <w:sz w:val="24"/>
              </w:rPr>
            </w:pPr>
          </w:p>
        </w:tc>
      </w:tr>
      <w:tr w14:paraId="7482261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65314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359025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6C7CA8E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5B70586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9B35C4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盘山县电商物流产业基地发展服务中心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10B6837">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F523921">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盘山县电商物流产业基地发展服务中心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DE6840B">
      <w:pPr>
        <w:spacing w:line="560" w:lineRule="exact"/>
        <w:jc w:val="center"/>
        <w:rPr>
          <w:rFonts w:ascii="宋体" w:hAnsi="宋体"/>
          <w:b/>
          <w:sz w:val="36"/>
          <w:szCs w:val="36"/>
        </w:rPr>
      </w:pPr>
      <w:r>
        <w:rPr>
          <w:rFonts w:hint="eastAsia" w:ascii="宋体" w:hAnsi="宋体"/>
          <w:b/>
          <w:sz w:val="36"/>
          <w:szCs w:val="36"/>
        </w:rPr>
        <w:t>第四部分 名词解释</w:t>
      </w:r>
    </w:p>
    <w:p w14:paraId="7AFA72F6">
      <w:pPr>
        <w:spacing w:line="560" w:lineRule="exact"/>
        <w:jc w:val="center"/>
        <w:rPr>
          <w:rFonts w:ascii="仿宋_GB2312" w:eastAsia="仿宋_GB2312"/>
          <w:sz w:val="32"/>
          <w:szCs w:val="32"/>
        </w:rPr>
      </w:pPr>
    </w:p>
    <w:p w14:paraId="145312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1.一般公共预算收入：</w:t>
      </w:r>
      <w:r>
        <w:rPr>
          <w:rFonts w:hint="eastAsia" w:ascii="仿宋" w:hAnsi="仿宋" w:eastAsia="仿宋" w:cs="仿宋"/>
          <w:i w:val="0"/>
          <w:iCs w:val="0"/>
          <w:caps w:val="0"/>
          <w:color w:val="333333"/>
          <w:spacing w:val="0"/>
          <w:sz w:val="32"/>
          <w:szCs w:val="32"/>
          <w:shd w:val="clear" w:color="auto" w:fill="FFFFFF"/>
        </w:rPr>
        <w:t>指县级财政当年拨付的资金。</w:t>
      </w:r>
    </w:p>
    <w:p w14:paraId="64814B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2.上级补助收入：</w:t>
      </w:r>
      <w:r>
        <w:rPr>
          <w:rFonts w:hint="eastAsia" w:ascii="仿宋" w:hAnsi="仿宋" w:eastAsia="仿宋" w:cs="仿宋"/>
          <w:i w:val="0"/>
          <w:iCs w:val="0"/>
          <w:caps w:val="0"/>
          <w:color w:val="333333"/>
          <w:spacing w:val="0"/>
          <w:sz w:val="32"/>
          <w:szCs w:val="32"/>
          <w:shd w:val="clear" w:color="auto" w:fill="FFFFFF"/>
        </w:rPr>
        <w:t>指单位从主管部门和上级单位取得的非财政性补助收入。</w:t>
      </w:r>
    </w:p>
    <w:p w14:paraId="5E27A5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3.事业收入</w:t>
      </w:r>
      <w:r>
        <w:rPr>
          <w:rFonts w:hint="eastAsia" w:ascii="仿宋" w:hAnsi="仿宋" w:eastAsia="仿宋" w:cs="仿宋"/>
          <w:i w:val="0"/>
          <w:iCs w:val="0"/>
          <w:caps w:val="0"/>
          <w:color w:val="333333"/>
          <w:spacing w:val="0"/>
          <w:sz w:val="32"/>
          <w:szCs w:val="32"/>
          <w:shd w:val="clear" w:color="auto" w:fill="FFFFFF"/>
        </w:rPr>
        <w:t>：指事业单位开展专业业务活动及辅助活动所取得的收入。</w:t>
      </w:r>
    </w:p>
    <w:p w14:paraId="04EC3C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4.事业单位经营收入：</w:t>
      </w:r>
      <w:r>
        <w:rPr>
          <w:rFonts w:hint="eastAsia" w:ascii="仿宋" w:hAnsi="仿宋" w:eastAsia="仿宋" w:cs="仿宋"/>
          <w:i w:val="0"/>
          <w:iCs w:val="0"/>
          <w:caps w:val="0"/>
          <w:color w:val="333333"/>
          <w:spacing w:val="0"/>
          <w:sz w:val="32"/>
          <w:szCs w:val="32"/>
          <w:shd w:val="clear" w:color="auto" w:fill="FFFFFF"/>
        </w:rPr>
        <w:t>指事业单位在专业业务活动及辅助活动之外开展非独立核算经营活动取得的收入。</w:t>
      </w:r>
    </w:p>
    <w:p w14:paraId="0999FF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5.附属单位上缴收入：</w:t>
      </w:r>
      <w:r>
        <w:rPr>
          <w:rFonts w:hint="eastAsia" w:ascii="仿宋" w:hAnsi="仿宋" w:eastAsia="仿宋" w:cs="仿宋"/>
          <w:i w:val="0"/>
          <w:iCs w:val="0"/>
          <w:caps w:val="0"/>
          <w:color w:val="333333"/>
          <w:spacing w:val="0"/>
          <w:sz w:val="32"/>
          <w:szCs w:val="32"/>
          <w:shd w:val="clear" w:color="auto" w:fill="FFFFFF"/>
        </w:rPr>
        <w:t>指单位附属的独立核算单位按照规定上缴的收入。</w:t>
      </w:r>
    </w:p>
    <w:p w14:paraId="40D800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6.其他收入</w:t>
      </w:r>
      <w:r>
        <w:rPr>
          <w:rFonts w:hint="eastAsia" w:ascii="仿宋" w:hAnsi="仿宋" w:eastAsia="仿宋" w:cs="仿宋"/>
          <w:i w:val="0"/>
          <w:iCs w:val="0"/>
          <w:caps w:val="0"/>
          <w:color w:val="333333"/>
          <w:spacing w:val="0"/>
          <w:sz w:val="32"/>
          <w:szCs w:val="32"/>
          <w:shd w:val="clear" w:color="auto" w:fill="FFFFFF"/>
        </w:rPr>
        <w:t>：指除上述“一般公共预算”、 “上级补助收入”、“事业收入”、“事业单位经营收入”、“附属单位上缴收入”等以外的收入。</w:t>
      </w:r>
    </w:p>
    <w:p w14:paraId="7EEB2E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7.上年结转：</w:t>
      </w:r>
      <w:r>
        <w:rPr>
          <w:rFonts w:hint="eastAsia" w:ascii="仿宋" w:hAnsi="仿宋" w:eastAsia="仿宋" w:cs="仿宋"/>
          <w:i w:val="0"/>
          <w:iCs w:val="0"/>
          <w:caps w:val="0"/>
          <w:color w:val="333333"/>
          <w:spacing w:val="0"/>
          <w:sz w:val="32"/>
          <w:szCs w:val="32"/>
          <w:shd w:val="clear" w:color="auto" w:fill="FFFFFF"/>
        </w:rPr>
        <w:t>指以前年度尚未完成、结转到本年按有关规定继续使用的资金。</w:t>
      </w:r>
    </w:p>
    <w:p w14:paraId="1B129B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8.基本支出：</w:t>
      </w:r>
      <w:r>
        <w:rPr>
          <w:rFonts w:hint="eastAsia" w:ascii="仿宋" w:hAnsi="仿宋" w:eastAsia="仿宋" w:cs="仿宋"/>
          <w:i w:val="0"/>
          <w:iCs w:val="0"/>
          <w:caps w:val="0"/>
          <w:color w:val="333333"/>
          <w:spacing w:val="0"/>
          <w:sz w:val="32"/>
          <w:szCs w:val="32"/>
          <w:shd w:val="clear" w:color="auto" w:fill="FFFFFF"/>
        </w:rPr>
        <w:t>指保障机构正常运转、完成日常工作任务而发生的人员支出和公用支出。</w:t>
      </w:r>
    </w:p>
    <w:p w14:paraId="7292A3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9.项目支出：</w:t>
      </w:r>
      <w:r>
        <w:rPr>
          <w:rFonts w:hint="eastAsia" w:ascii="仿宋" w:hAnsi="仿宋" w:eastAsia="仿宋" w:cs="仿宋"/>
          <w:i w:val="0"/>
          <w:iCs w:val="0"/>
          <w:caps w:val="0"/>
          <w:color w:val="333333"/>
          <w:spacing w:val="0"/>
          <w:sz w:val="32"/>
          <w:szCs w:val="32"/>
          <w:shd w:val="clear" w:color="auto" w:fill="FFFFFF"/>
        </w:rPr>
        <w:t>指在基本支出之外为完成特定行政任务和事业发展目标所发生的支出。</w:t>
      </w:r>
    </w:p>
    <w:p w14:paraId="299C51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10.“三公”经费：</w:t>
      </w:r>
      <w:r>
        <w:rPr>
          <w:rFonts w:hint="eastAsia" w:ascii="仿宋" w:hAnsi="仿宋" w:eastAsia="仿宋" w:cs="仿宋"/>
          <w:i w:val="0"/>
          <w:iCs w:val="0"/>
          <w:caps w:val="0"/>
          <w:color w:val="333333"/>
          <w:spacing w:val="0"/>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17A34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11.一般公共服务（类）商贸事务（款）招商引资（项）：</w:t>
      </w:r>
      <w:r>
        <w:rPr>
          <w:rFonts w:hint="eastAsia" w:ascii="仿宋" w:hAnsi="仿宋" w:eastAsia="仿宋" w:cs="仿宋"/>
          <w:i w:val="0"/>
          <w:iCs w:val="0"/>
          <w:caps w:val="0"/>
          <w:color w:val="333333"/>
          <w:spacing w:val="0"/>
          <w:sz w:val="32"/>
          <w:szCs w:val="32"/>
          <w:shd w:val="clear" w:color="auto" w:fill="FFFFFF"/>
        </w:rPr>
        <w:t>反映用于招商引资、优化经济环境等方面的支出。</w:t>
      </w:r>
    </w:p>
    <w:p w14:paraId="7C3B8C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12.一般公共服务（类）商贸事务（款）事业运行（项）：</w:t>
      </w:r>
      <w:r>
        <w:rPr>
          <w:rFonts w:hint="eastAsia" w:ascii="仿宋" w:hAnsi="仿宋" w:eastAsia="仿宋" w:cs="仿宋"/>
          <w:i w:val="0"/>
          <w:iCs w:val="0"/>
          <w:caps w:val="0"/>
          <w:color w:val="333333"/>
          <w:spacing w:val="0"/>
          <w:sz w:val="32"/>
          <w:szCs w:val="32"/>
          <w:shd w:val="clear" w:color="auto" w:fill="FFFFFF"/>
        </w:rPr>
        <w:t>反映事业单位的基本支出，不包括行政单位（包括实行公务员管理的事业单位）后勤服务中心、医务室等附属事业单位。</w:t>
      </w:r>
    </w:p>
    <w:p w14:paraId="608FD9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13.一般公共服务（类）商贸事务（款）其他商贸事务支出（项）：</w:t>
      </w:r>
      <w:r>
        <w:rPr>
          <w:rFonts w:hint="eastAsia" w:ascii="仿宋" w:hAnsi="仿宋" w:eastAsia="仿宋" w:cs="仿宋"/>
          <w:i w:val="0"/>
          <w:iCs w:val="0"/>
          <w:caps w:val="0"/>
          <w:color w:val="333333"/>
          <w:spacing w:val="0"/>
          <w:sz w:val="32"/>
          <w:szCs w:val="32"/>
          <w:shd w:val="clear" w:color="auto" w:fill="FFFFFF"/>
        </w:rPr>
        <w:t>反映除上述项目以外其他用于商贸事务方面的支出。</w:t>
      </w:r>
    </w:p>
    <w:p w14:paraId="12BC46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14.社会保障和就业（类）行政事业单位离退休（款）机关事业单位基本养老保险缴费支出（项）：</w:t>
      </w:r>
      <w:r>
        <w:rPr>
          <w:rFonts w:hint="eastAsia" w:ascii="仿宋" w:hAnsi="仿宋" w:eastAsia="仿宋" w:cs="仿宋"/>
          <w:i w:val="0"/>
          <w:iCs w:val="0"/>
          <w:caps w:val="0"/>
          <w:color w:val="333333"/>
          <w:spacing w:val="0"/>
          <w:sz w:val="32"/>
          <w:szCs w:val="32"/>
          <w:shd w:val="clear" w:color="auto" w:fill="FFFFFF"/>
        </w:rPr>
        <w:t>反映机关事业单位实施养老保险制度由单位缴纳的基本养老保险费支出。</w:t>
      </w:r>
    </w:p>
    <w:p w14:paraId="5F2466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15.住房保障支出（类）住房改革支出（款）住房公积金（项）：</w:t>
      </w:r>
      <w:r>
        <w:rPr>
          <w:rFonts w:hint="eastAsia" w:ascii="仿宋" w:hAnsi="仿宋" w:eastAsia="仿宋" w:cs="仿宋"/>
          <w:i w:val="0"/>
          <w:iCs w:val="0"/>
          <w:caps w:val="0"/>
          <w:color w:val="333333"/>
          <w:spacing w:val="0"/>
          <w:sz w:val="32"/>
          <w:szCs w:val="32"/>
          <w:shd w:val="clear" w:color="auto" w:fill="FFFFFF"/>
        </w:rPr>
        <w:t>反映行政事业单位按人力资源和社会保障部、财政部规定的基本工资和津贴补贴以及规定比例为职工缴纳的住房公积金。</w:t>
      </w:r>
    </w:p>
    <w:p w14:paraId="6FAA99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16.卫生健康支出（类）行政事业单位医疗（款）事业单位医疗（项）：</w:t>
      </w:r>
      <w:r>
        <w:rPr>
          <w:rFonts w:hint="eastAsia" w:ascii="仿宋" w:hAnsi="仿宋" w:eastAsia="仿宋" w:cs="仿宋"/>
          <w:i w:val="0"/>
          <w:iCs w:val="0"/>
          <w:caps w:val="0"/>
          <w:color w:val="333333"/>
          <w:spacing w:val="0"/>
          <w:sz w:val="32"/>
          <w:szCs w:val="32"/>
          <w:shd w:val="clear" w:color="auto" w:fill="FFFFFF"/>
        </w:rPr>
        <w:t>反映财政部门安排的事业单位基本医疗保险缴费经费，未参加医疗保险的事业单位的公费医疗经费，按国家规定享受离休人员待遇的医疗经费。</w:t>
      </w:r>
    </w:p>
    <w:p w14:paraId="1AA25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17.社会保障和就业（类）行政事业单位养老支出（款）机关事业单位职业年金缴费支出（项）：</w:t>
      </w:r>
      <w:r>
        <w:rPr>
          <w:rFonts w:hint="eastAsia" w:ascii="仿宋" w:hAnsi="仿宋" w:eastAsia="仿宋" w:cs="仿宋"/>
          <w:i w:val="0"/>
          <w:iCs w:val="0"/>
          <w:caps w:val="0"/>
          <w:color w:val="333333"/>
          <w:spacing w:val="0"/>
          <w:sz w:val="32"/>
          <w:szCs w:val="32"/>
          <w:shd w:val="clear" w:color="auto" w:fill="FFFFFF"/>
        </w:rPr>
        <w:t>反映机关事业单位实施养老保险制度有单位实际缴纳的职业年金支出。</w:t>
      </w:r>
    </w:p>
    <w:p w14:paraId="39BA2D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color="auto" w:fill="FFFFFF"/>
        </w:rPr>
        <w:t>18.社会保障和就业（类）其他社会保障和就业支出（款）</w:t>
      </w:r>
    </w:p>
    <w:p w14:paraId="4A360E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color="auto" w:fill="FFFFFF"/>
        </w:rPr>
        <w:t>其他社会保障和就业支出（项）：</w:t>
      </w:r>
      <w:r>
        <w:rPr>
          <w:rFonts w:hint="eastAsia" w:ascii="仿宋" w:hAnsi="仿宋" w:eastAsia="仿宋" w:cs="仿宋"/>
          <w:i w:val="0"/>
          <w:iCs w:val="0"/>
          <w:caps w:val="0"/>
          <w:color w:val="333333"/>
          <w:spacing w:val="0"/>
          <w:sz w:val="32"/>
          <w:szCs w:val="32"/>
          <w:shd w:val="clear" w:color="auto" w:fill="FFFFFF"/>
        </w:rPr>
        <w:t>反映除上述项目以外其他用于社会保障和就业方面的支出。</w:t>
      </w:r>
    </w:p>
    <w:p w14:paraId="10E7DBFA">
      <w:pPr>
        <w:rPr>
          <w:rFonts w:hint="eastAsia" w:ascii="仿宋" w:hAnsi="仿宋" w:eastAsia="仿宋" w:cs="仿宋"/>
          <w:sz w:val="32"/>
          <w:szCs w:val="32"/>
        </w:rPr>
      </w:pPr>
    </w:p>
    <w:p w14:paraId="0E02F639">
      <w:pPr>
        <w:pStyle w:val="2"/>
        <w:rPr>
          <w:rFonts w:hint="eastAsia" w:ascii="仿宋" w:hAnsi="仿宋" w:eastAsia="仿宋" w:cs="仿宋"/>
          <w:b/>
          <w:sz w:val="32"/>
          <w:szCs w:val="32"/>
        </w:rPr>
      </w:pPr>
    </w:p>
    <w:p w14:paraId="603CF2FA">
      <w:pPr>
        <w:spacing w:line="560" w:lineRule="exact"/>
        <w:jc w:val="both"/>
        <w:rPr>
          <w:rFonts w:hint="eastAsia" w:ascii="仿宋" w:hAnsi="仿宋" w:eastAsia="仿宋" w:cs="仿宋"/>
          <w:b/>
          <w:sz w:val="32"/>
          <w:szCs w:val="32"/>
        </w:rPr>
        <w:sectPr>
          <w:footerReference r:id="rId3" w:type="default"/>
          <w:pgSz w:w="11906" w:h="16838"/>
          <w:pgMar w:top="1440" w:right="1797" w:bottom="1440" w:left="1797" w:header="851" w:footer="992" w:gutter="0"/>
          <w:cols w:space="0" w:num="1"/>
          <w:titlePg/>
          <w:docGrid w:type="linesAndChars" w:linePitch="312" w:charSpace="640"/>
        </w:sectPr>
      </w:pPr>
    </w:p>
    <w:p w14:paraId="0FFE1702">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ADE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CB0CCF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B96BF"/>
    <w:multiLevelType w:val="singleLevel"/>
    <w:tmpl w:val="2C6B96BF"/>
    <w:lvl w:ilvl="0" w:tentative="0">
      <w:start w:val="1"/>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B35707"/>
    <w:rsid w:val="08D65034"/>
    <w:rsid w:val="09236A9D"/>
    <w:rsid w:val="09B35DC1"/>
    <w:rsid w:val="0A344626"/>
    <w:rsid w:val="0A7E50A7"/>
    <w:rsid w:val="0AD42FF7"/>
    <w:rsid w:val="0B053EC8"/>
    <w:rsid w:val="0B642054"/>
    <w:rsid w:val="0BB208C5"/>
    <w:rsid w:val="0C085D6A"/>
    <w:rsid w:val="0C423125"/>
    <w:rsid w:val="0D2427C1"/>
    <w:rsid w:val="0E5D2B9E"/>
    <w:rsid w:val="0E6D4386"/>
    <w:rsid w:val="0F2A085F"/>
    <w:rsid w:val="0F7349CC"/>
    <w:rsid w:val="106E56DE"/>
    <w:rsid w:val="116E6670"/>
    <w:rsid w:val="11B20219"/>
    <w:rsid w:val="126B66EF"/>
    <w:rsid w:val="127267ED"/>
    <w:rsid w:val="1302138E"/>
    <w:rsid w:val="130D280B"/>
    <w:rsid w:val="132428BF"/>
    <w:rsid w:val="14ED5081"/>
    <w:rsid w:val="172D2B29"/>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71F26"/>
    <w:rsid w:val="1FFF5969"/>
    <w:rsid w:val="200C59D1"/>
    <w:rsid w:val="200D6146"/>
    <w:rsid w:val="215A4D90"/>
    <w:rsid w:val="2197576F"/>
    <w:rsid w:val="21FF3314"/>
    <w:rsid w:val="225F55CE"/>
    <w:rsid w:val="22A30143"/>
    <w:rsid w:val="233A2855"/>
    <w:rsid w:val="236C7BA9"/>
    <w:rsid w:val="23E13ABE"/>
    <w:rsid w:val="24D3660E"/>
    <w:rsid w:val="24DB746F"/>
    <w:rsid w:val="25B30F15"/>
    <w:rsid w:val="260B259C"/>
    <w:rsid w:val="260E190B"/>
    <w:rsid w:val="266A177F"/>
    <w:rsid w:val="270615B9"/>
    <w:rsid w:val="270B1A4A"/>
    <w:rsid w:val="27727FFE"/>
    <w:rsid w:val="27773A27"/>
    <w:rsid w:val="298C6232"/>
    <w:rsid w:val="29990502"/>
    <w:rsid w:val="29E6061F"/>
    <w:rsid w:val="2A3E5AEE"/>
    <w:rsid w:val="2B7DC5E7"/>
    <w:rsid w:val="2BF47C3E"/>
    <w:rsid w:val="2C6646BB"/>
    <w:rsid w:val="2D2449BD"/>
    <w:rsid w:val="2EB3162C"/>
    <w:rsid w:val="2EE465A5"/>
    <w:rsid w:val="2F142285"/>
    <w:rsid w:val="2F3DE142"/>
    <w:rsid w:val="2FAC4B1B"/>
    <w:rsid w:val="2FDA5B67"/>
    <w:rsid w:val="313E7D46"/>
    <w:rsid w:val="316C7C8A"/>
    <w:rsid w:val="31EE3102"/>
    <w:rsid w:val="31FB3A39"/>
    <w:rsid w:val="32D818D5"/>
    <w:rsid w:val="34190834"/>
    <w:rsid w:val="35003318"/>
    <w:rsid w:val="3505415D"/>
    <w:rsid w:val="35BE487C"/>
    <w:rsid w:val="365A03F2"/>
    <w:rsid w:val="36F6584D"/>
    <w:rsid w:val="3757F7CA"/>
    <w:rsid w:val="385D4246"/>
    <w:rsid w:val="396661E0"/>
    <w:rsid w:val="39D46840"/>
    <w:rsid w:val="39FC9D6E"/>
    <w:rsid w:val="3AB826D3"/>
    <w:rsid w:val="3ADF145F"/>
    <w:rsid w:val="3AE4639A"/>
    <w:rsid w:val="3B697A90"/>
    <w:rsid w:val="3B9A7EDD"/>
    <w:rsid w:val="3C1C2BDE"/>
    <w:rsid w:val="3C4D4F50"/>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F14D67"/>
    <w:rsid w:val="42296E75"/>
    <w:rsid w:val="42640622"/>
    <w:rsid w:val="42767012"/>
    <w:rsid w:val="43243DE7"/>
    <w:rsid w:val="43F97ACA"/>
    <w:rsid w:val="44FF7003"/>
    <w:rsid w:val="4602561E"/>
    <w:rsid w:val="46460D56"/>
    <w:rsid w:val="46E13712"/>
    <w:rsid w:val="470E1B72"/>
    <w:rsid w:val="4792414F"/>
    <w:rsid w:val="479A5FB8"/>
    <w:rsid w:val="47B807F3"/>
    <w:rsid w:val="47E81BB1"/>
    <w:rsid w:val="47FC6910"/>
    <w:rsid w:val="4A623313"/>
    <w:rsid w:val="4A726690"/>
    <w:rsid w:val="4A801F33"/>
    <w:rsid w:val="4B1B6C71"/>
    <w:rsid w:val="4C281EF3"/>
    <w:rsid w:val="4CDD4B47"/>
    <w:rsid w:val="4CE12E15"/>
    <w:rsid w:val="4D312DA7"/>
    <w:rsid w:val="4D69924D"/>
    <w:rsid w:val="4F055FF2"/>
    <w:rsid w:val="4F77935B"/>
    <w:rsid w:val="4FC53A84"/>
    <w:rsid w:val="50CD3132"/>
    <w:rsid w:val="50D457E8"/>
    <w:rsid w:val="51993F9E"/>
    <w:rsid w:val="52184D14"/>
    <w:rsid w:val="525D300E"/>
    <w:rsid w:val="52DB2E5E"/>
    <w:rsid w:val="53681604"/>
    <w:rsid w:val="536979A6"/>
    <w:rsid w:val="55DFA0A0"/>
    <w:rsid w:val="561435A7"/>
    <w:rsid w:val="569F3D76"/>
    <w:rsid w:val="576818B0"/>
    <w:rsid w:val="57DE6F4C"/>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273712"/>
    <w:rsid w:val="616B3E01"/>
    <w:rsid w:val="61DE4A37"/>
    <w:rsid w:val="62066B73"/>
    <w:rsid w:val="628C5B80"/>
    <w:rsid w:val="63691DC0"/>
    <w:rsid w:val="638C42D9"/>
    <w:rsid w:val="63D97827"/>
    <w:rsid w:val="648945D8"/>
    <w:rsid w:val="64B45E83"/>
    <w:rsid w:val="651152FC"/>
    <w:rsid w:val="65324317"/>
    <w:rsid w:val="65593F66"/>
    <w:rsid w:val="65603B04"/>
    <w:rsid w:val="65841133"/>
    <w:rsid w:val="65FEE4FC"/>
    <w:rsid w:val="66F40245"/>
    <w:rsid w:val="68455D61"/>
    <w:rsid w:val="69221657"/>
    <w:rsid w:val="69D00DEB"/>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9096F"/>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8A0B42"/>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1D3E13"/>
    <w:rsid w:val="7EF53BC8"/>
    <w:rsid w:val="7EFB1BF0"/>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959</Words>
  <Characters>978</Characters>
  <Lines>22</Lines>
  <Paragraphs>6</Paragraphs>
  <TotalTime>1</TotalTime>
  <ScaleCrop>false</ScaleCrop>
  <LinksUpToDate>false</LinksUpToDate>
  <CharactersWithSpaces>1009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2025-01-23T08:15:44Z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195A24C7D0B248F09E999269A48CECD5_13</vt:lpwstr>
  </property>
</Properties>
</file>