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C6366">
      <w:pPr>
        <w:pStyle w:val="2"/>
        <w:rPr>
          <w:rFonts w:ascii="仿宋_GB2312" w:eastAsia="仿宋_GB2312"/>
          <w:sz w:val="32"/>
          <w:szCs w:val="32"/>
        </w:rPr>
      </w:pPr>
    </w:p>
    <w:p w14:paraId="454705A6">
      <w:pPr>
        <w:spacing w:line="560" w:lineRule="exact"/>
        <w:jc w:val="center"/>
        <w:rPr>
          <w:rFonts w:ascii="宋体" w:hAnsi="宋体" w:cs="宋体"/>
          <w:b/>
          <w:bCs/>
          <w:sz w:val="44"/>
          <w:szCs w:val="44"/>
        </w:rPr>
      </w:pPr>
      <w:r>
        <w:rPr>
          <w:rFonts w:hint="eastAsia" w:ascii="宋体" w:hAnsi="宋体" w:cs="宋体"/>
          <w:b/>
          <w:bCs/>
          <w:sz w:val="44"/>
          <w:szCs w:val="44"/>
        </w:rPr>
        <w:t>盘山县国有资产事务管理中心</w:t>
      </w:r>
    </w:p>
    <w:p w14:paraId="3FCB8CB6">
      <w:pPr>
        <w:spacing w:line="560" w:lineRule="exact"/>
        <w:jc w:val="center"/>
        <w:rPr>
          <w:bCs/>
          <w:sz w:val="32"/>
          <w:szCs w:val="32"/>
          <w:u w:val="single"/>
        </w:rPr>
      </w:pPr>
      <w:r>
        <w:rPr>
          <w:rFonts w:hint="eastAsia" w:ascii="宋体" w:hAnsi="宋体" w:cs="宋体"/>
          <w:b/>
          <w:bCs/>
          <w:sz w:val="44"/>
          <w:szCs w:val="44"/>
        </w:rPr>
        <w:t>2025年度单位预算公开说明</w:t>
      </w:r>
    </w:p>
    <w:p w14:paraId="5A4B21EE">
      <w:pPr>
        <w:spacing w:line="560" w:lineRule="exact"/>
        <w:jc w:val="center"/>
        <w:rPr>
          <w:b/>
          <w:sz w:val="44"/>
          <w:szCs w:val="44"/>
          <w:u w:val="single"/>
        </w:rPr>
      </w:pPr>
    </w:p>
    <w:p w14:paraId="7FD90F5F">
      <w:pPr>
        <w:pStyle w:val="2"/>
      </w:pPr>
    </w:p>
    <w:p w14:paraId="1DC5F041">
      <w:pPr>
        <w:spacing w:line="560" w:lineRule="exact"/>
        <w:jc w:val="center"/>
        <w:rPr>
          <w:b/>
          <w:sz w:val="44"/>
          <w:szCs w:val="44"/>
          <w:u w:val="single"/>
        </w:rPr>
      </w:pPr>
    </w:p>
    <w:p w14:paraId="0A0CD818">
      <w:pPr>
        <w:spacing w:line="560" w:lineRule="exact"/>
        <w:rPr>
          <w:b/>
          <w:sz w:val="44"/>
          <w:szCs w:val="44"/>
        </w:rPr>
      </w:pPr>
    </w:p>
    <w:p w14:paraId="3FC52ABB">
      <w:pPr>
        <w:spacing w:line="560" w:lineRule="exact"/>
        <w:jc w:val="center"/>
        <w:rPr>
          <w:b/>
          <w:sz w:val="44"/>
          <w:szCs w:val="44"/>
        </w:rPr>
      </w:pPr>
    </w:p>
    <w:p w14:paraId="0148185D">
      <w:pPr>
        <w:spacing w:line="560" w:lineRule="exact"/>
        <w:jc w:val="center"/>
        <w:rPr>
          <w:b/>
          <w:sz w:val="44"/>
          <w:szCs w:val="44"/>
        </w:rPr>
      </w:pPr>
    </w:p>
    <w:p w14:paraId="4C01A37E">
      <w:pPr>
        <w:spacing w:line="560" w:lineRule="exact"/>
        <w:jc w:val="center"/>
        <w:rPr>
          <w:b/>
          <w:sz w:val="44"/>
          <w:szCs w:val="44"/>
        </w:rPr>
      </w:pPr>
    </w:p>
    <w:p w14:paraId="51F42444">
      <w:pPr>
        <w:spacing w:line="560" w:lineRule="exact"/>
        <w:jc w:val="center"/>
        <w:rPr>
          <w:b/>
          <w:sz w:val="44"/>
          <w:szCs w:val="44"/>
        </w:rPr>
      </w:pPr>
    </w:p>
    <w:p w14:paraId="00BC051C">
      <w:pPr>
        <w:spacing w:line="560" w:lineRule="exact"/>
        <w:jc w:val="center"/>
        <w:rPr>
          <w:b/>
          <w:sz w:val="44"/>
          <w:szCs w:val="44"/>
        </w:rPr>
      </w:pPr>
    </w:p>
    <w:p w14:paraId="7E8BCA0F">
      <w:pPr>
        <w:spacing w:line="560" w:lineRule="exact"/>
        <w:jc w:val="center"/>
        <w:rPr>
          <w:b/>
          <w:sz w:val="44"/>
          <w:szCs w:val="44"/>
        </w:rPr>
      </w:pPr>
    </w:p>
    <w:p w14:paraId="7A0AC9A2">
      <w:pPr>
        <w:spacing w:line="560" w:lineRule="exact"/>
        <w:jc w:val="center"/>
        <w:rPr>
          <w:b/>
          <w:sz w:val="44"/>
          <w:szCs w:val="44"/>
        </w:rPr>
      </w:pPr>
    </w:p>
    <w:p w14:paraId="20258161">
      <w:pPr>
        <w:spacing w:line="560" w:lineRule="exact"/>
        <w:jc w:val="center"/>
        <w:rPr>
          <w:b/>
          <w:sz w:val="44"/>
          <w:szCs w:val="44"/>
        </w:rPr>
      </w:pPr>
    </w:p>
    <w:p w14:paraId="0E879044">
      <w:pPr>
        <w:spacing w:line="560" w:lineRule="exact"/>
        <w:jc w:val="center"/>
        <w:rPr>
          <w:b/>
          <w:sz w:val="44"/>
          <w:szCs w:val="44"/>
        </w:rPr>
      </w:pPr>
    </w:p>
    <w:p w14:paraId="1E438076">
      <w:pPr>
        <w:spacing w:line="560" w:lineRule="exact"/>
        <w:jc w:val="center"/>
        <w:rPr>
          <w:b/>
          <w:sz w:val="44"/>
          <w:szCs w:val="44"/>
        </w:rPr>
      </w:pPr>
    </w:p>
    <w:p w14:paraId="25436430">
      <w:pPr>
        <w:spacing w:line="560" w:lineRule="exact"/>
        <w:jc w:val="center"/>
        <w:rPr>
          <w:b/>
          <w:sz w:val="44"/>
          <w:szCs w:val="44"/>
        </w:rPr>
      </w:pPr>
    </w:p>
    <w:p w14:paraId="30818680">
      <w:pPr>
        <w:spacing w:line="560" w:lineRule="exact"/>
        <w:jc w:val="center"/>
        <w:rPr>
          <w:b/>
          <w:sz w:val="44"/>
          <w:szCs w:val="44"/>
        </w:rPr>
      </w:pPr>
    </w:p>
    <w:p w14:paraId="23AF3BD0">
      <w:pPr>
        <w:spacing w:line="560" w:lineRule="exact"/>
        <w:jc w:val="center"/>
        <w:rPr>
          <w:b/>
          <w:sz w:val="44"/>
          <w:szCs w:val="44"/>
        </w:rPr>
      </w:pPr>
    </w:p>
    <w:p w14:paraId="6A67797A">
      <w:pPr>
        <w:spacing w:line="560" w:lineRule="exact"/>
        <w:jc w:val="center"/>
        <w:rPr>
          <w:b/>
          <w:sz w:val="44"/>
          <w:szCs w:val="44"/>
        </w:rPr>
      </w:pPr>
    </w:p>
    <w:p w14:paraId="1B04C7A1">
      <w:pPr>
        <w:spacing w:line="560" w:lineRule="exact"/>
        <w:jc w:val="center"/>
        <w:rPr>
          <w:b/>
          <w:sz w:val="44"/>
          <w:szCs w:val="44"/>
        </w:rPr>
      </w:pPr>
    </w:p>
    <w:p w14:paraId="5D2A108E">
      <w:pPr>
        <w:spacing w:line="560" w:lineRule="exact"/>
        <w:jc w:val="center"/>
        <w:rPr>
          <w:b/>
          <w:sz w:val="44"/>
          <w:szCs w:val="44"/>
        </w:rPr>
      </w:pPr>
    </w:p>
    <w:p w14:paraId="426785AC">
      <w:pPr>
        <w:spacing w:line="560" w:lineRule="exact"/>
        <w:jc w:val="center"/>
        <w:rPr>
          <w:b/>
          <w:sz w:val="44"/>
          <w:szCs w:val="44"/>
        </w:rPr>
      </w:pPr>
    </w:p>
    <w:p w14:paraId="0028851B">
      <w:pPr>
        <w:spacing w:line="560" w:lineRule="exact"/>
        <w:jc w:val="center"/>
        <w:rPr>
          <w:b/>
          <w:sz w:val="44"/>
          <w:szCs w:val="44"/>
        </w:rPr>
      </w:pPr>
      <w:r>
        <w:rPr>
          <w:rFonts w:hint="eastAsia"/>
          <w:b/>
          <w:sz w:val="44"/>
          <w:szCs w:val="44"/>
        </w:rPr>
        <w:t>目    录</w:t>
      </w:r>
    </w:p>
    <w:p w14:paraId="1F5AB6F8">
      <w:pPr>
        <w:spacing w:line="560" w:lineRule="exact"/>
        <w:rPr>
          <w:b/>
          <w:sz w:val="44"/>
          <w:szCs w:val="44"/>
          <w:u w:val="single"/>
        </w:rPr>
      </w:pPr>
    </w:p>
    <w:p w14:paraId="721291D8">
      <w:pPr>
        <w:spacing w:line="560" w:lineRule="exact"/>
        <w:rPr>
          <w:b/>
          <w:sz w:val="44"/>
          <w:szCs w:val="44"/>
          <w:u w:val="single"/>
        </w:rPr>
      </w:pPr>
    </w:p>
    <w:p w14:paraId="138E622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D25CD01">
      <w:pPr>
        <w:spacing w:line="560" w:lineRule="exact"/>
        <w:rPr>
          <w:rFonts w:ascii="黑体" w:hAnsi="黑体" w:eastAsia="黑体"/>
          <w:sz w:val="32"/>
          <w:szCs w:val="32"/>
        </w:rPr>
      </w:pPr>
      <w:r>
        <w:rPr>
          <w:rFonts w:hint="eastAsia" w:ascii="黑体" w:hAnsi="黑体" w:eastAsia="黑体"/>
          <w:sz w:val="32"/>
          <w:szCs w:val="32"/>
        </w:rPr>
        <w:t>第二部分    盘山县国有资产事务管理中心单位概况</w:t>
      </w:r>
    </w:p>
    <w:p w14:paraId="705A0A8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一、单位职责</w:t>
      </w:r>
    </w:p>
    <w:p w14:paraId="18D0E4F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6569529">
      <w:pPr>
        <w:spacing w:line="560" w:lineRule="exact"/>
        <w:rPr>
          <w:rFonts w:ascii="黑体" w:hAnsi="黑体" w:eastAsia="黑体"/>
          <w:sz w:val="32"/>
          <w:szCs w:val="32"/>
        </w:rPr>
      </w:pPr>
      <w:r>
        <w:rPr>
          <w:rFonts w:hint="eastAsia" w:ascii="黑体" w:hAnsi="黑体" w:eastAsia="黑体"/>
          <w:sz w:val="32"/>
          <w:szCs w:val="32"/>
        </w:rPr>
        <w:t>第三部分    盘山县国有资产事务管理中心单位预算情况说明</w:t>
      </w:r>
    </w:p>
    <w:p w14:paraId="29A7464F">
      <w:pPr>
        <w:spacing w:line="560" w:lineRule="exact"/>
        <w:rPr>
          <w:rFonts w:ascii="黑体" w:hAnsi="黑体" w:eastAsia="黑体"/>
          <w:sz w:val="32"/>
          <w:szCs w:val="32"/>
        </w:rPr>
      </w:pPr>
      <w:r>
        <w:rPr>
          <w:rFonts w:hint="eastAsia" w:ascii="黑体" w:hAnsi="黑体" w:eastAsia="黑体"/>
          <w:sz w:val="32"/>
          <w:szCs w:val="32"/>
        </w:rPr>
        <w:t>第四部分    名词解释</w:t>
      </w:r>
    </w:p>
    <w:p w14:paraId="5FABF921">
      <w:pPr>
        <w:spacing w:line="560" w:lineRule="exact"/>
        <w:rPr>
          <w:rFonts w:ascii="黑体" w:hAnsi="黑体" w:eastAsia="黑体"/>
          <w:sz w:val="32"/>
          <w:szCs w:val="32"/>
        </w:rPr>
      </w:pPr>
      <w:r>
        <w:rPr>
          <w:rFonts w:hint="eastAsia" w:ascii="黑体" w:hAnsi="黑体" w:eastAsia="黑体"/>
          <w:sz w:val="32"/>
          <w:szCs w:val="32"/>
        </w:rPr>
        <w:t>第五部分    2025年盘山县国有资产事务管理中心单位预算批复表</w:t>
      </w:r>
    </w:p>
    <w:p w14:paraId="317DF068">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28269CF1">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07C9D880">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71838EAC">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165CD8D0">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74146656">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35662DE6">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6A7DC44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407F3E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637C6D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A9E393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CC95F2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0EF46A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5BC983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8880D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C53C2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9B818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89D4EB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7C91D29">
      <w:pPr>
        <w:spacing w:line="560" w:lineRule="exact"/>
        <w:rPr>
          <w:rFonts w:ascii="黑体" w:hAnsi="黑体" w:eastAsia="黑体"/>
          <w:sz w:val="32"/>
          <w:szCs w:val="32"/>
        </w:rPr>
      </w:pPr>
      <w:r>
        <w:rPr>
          <w:rFonts w:hint="eastAsia" w:ascii="黑体" w:hAnsi="黑体" w:eastAsia="黑体"/>
          <w:sz w:val="32"/>
          <w:szCs w:val="32"/>
        </w:rPr>
        <w:t>　</w:t>
      </w:r>
    </w:p>
    <w:p w14:paraId="5F53F861">
      <w:pPr>
        <w:spacing w:line="560" w:lineRule="exact"/>
        <w:rPr>
          <w:rFonts w:ascii="黑体" w:hAnsi="黑体" w:eastAsia="黑体"/>
          <w:sz w:val="32"/>
          <w:szCs w:val="32"/>
        </w:rPr>
      </w:pPr>
    </w:p>
    <w:p w14:paraId="7EEAEA3D">
      <w:pPr>
        <w:spacing w:line="560" w:lineRule="exact"/>
        <w:rPr>
          <w:rFonts w:ascii="黑体" w:hAnsi="黑体" w:eastAsia="黑体"/>
          <w:sz w:val="32"/>
          <w:szCs w:val="32"/>
        </w:rPr>
      </w:pPr>
    </w:p>
    <w:p w14:paraId="368AC830">
      <w:pPr>
        <w:spacing w:line="560" w:lineRule="exact"/>
        <w:rPr>
          <w:rFonts w:ascii="宋体" w:hAnsi="宋体"/>
          <w:b/>
          <w:sz w:val="36"/>
          <w:szCs w:val="36"/>
        </w:rPr>
      </w:pPr>
    </w:p>
    <w:p w14:paraId="5E5AB065">
      <w:pPr>
        <w:spacing w:line="560" w:lineRule="exact"/>
        <w:rPr>
          <w:rFonts w:ascii="宋体" w:hAnsi="宋体"/>
          <w:b/>
          <w:sz w:val="36"/>
          <w:szCs w:val="36"/>
        </w:rPr>
      </w:pPr>
    </w:p>
    <w:p w14:paraId="6DE42F31">
      <w:pPr>
        <w:spacing w:line="560" w:lineRule="exact"/>
        <w:jc w:val="center"/>
        <w:rPr>
          <w:rFonts w:ascii="宋体" w:hAnsi="宋体"/>
          <w:b/>
          <w:sz w:val="36"/>
          <w:szCs w:val="36"/>
        </w:rPr>
      </w:pPr>
    </w:p>
    <w:p w14:paraId="73E2A505">
      <w:pPr>
        <w:spacing w:line="560" w:lineRule="exact"/>
        <w:jc w:val="center"/>
        <w:rPr>
          <w:rFonts w:ascii="宋体" w:hAnsi="宋体"/>
          <w:b/>
          <w:sz w:val="36"/>
          <w:szCs w:val="36"/>
        </w:rPr>
      </w:pPr>
    </w:p>
    <w:p w14:paraId="1EEC34AD">
      <w:pPr>
        <w:spacing w:line="560" w:lineRule="exact"/>
        <w:jc w:val="center"/>
        <w:rPr>
          <w:rFonts w:ascii="宋体" w:hAnsi="宋体"/>
          <w:b/>
          <w:sz w:val="36"/>
          <w:szCs w:val="36"/>
        </w:rPr>
      </w:pPr>
    </w:p>
    <w:p w14:paraId="43C6240B">
      <w:pPr>
        <w:spacing w:line="560" w:lineRule="exact"/>
        <w:jc w:val="center"/>
        <w:rPr>
          <w:rFonts w:ascii="宋体" w:hAnsi="宋体"/>
          <w:b/>
          <w:sz w:val="36"/>
          <w:szCs w:val="36"/>
        </w:rPr>
      </w:pPr>
    </w:p>
    <w:p w14:paraId="3BB76D7F">
      <w:pPr>
        <w:spacing w:line="560" w:lineRule="exact"/>
        <w:jc w:val="center"/>
        <w:rPr>
          <w:rFonts w:ascii="宋体" w:hAnsi="宋体"/>
          <w:b/>
          <w:sz w:val="36"/>
          <w:szCs w:val="36"/>
        </w:rPr>
      </w:pPr>
    </w:p>
    <w:p w14:paraId="5B29AA16">
      <w:pPr>
        <w:spacing w:line="560" w:lineRule="exact"/>
        <w:jc w:val="center"/>
        <w:rPr>
          <w:rFonts w:ascii="宋体" w:hAnsi="宋体"/>
          <w:b/>
          <w:sz w:val="36"/>
          <w:szCs w:val="36"/>
        </w:rPr>
      </w:pPr>
    </w:p>
    <w:p w14:paraId="37F10AB8">
      <w:pPr>
        <w:spacing w:line="560" w:lineRule="exact"/>
        <w:jc w:val="center"/>
        <w:rPr>
          <w:rFonts w:ascii="宋体" w:hAnsi="宋体"/>
          <w:b/>
          <w:sz w:val="36"/>
          <w:szCs w:val="36"/>
        </w:rPr>
      </w:pPr>
    </w:p>
    <w:p w14:paraId="0A551F0A">
      <w:pPr>
        <w:spacing w:line="560" w:lineRule="exact"/>
        <w:jc w:val="center"/>
        <w:rPr>
          <w:rFonts w:ascii="宋体" w:hAnsi="宋体"/>
          <w:b/>
          <w:sz w:val="36"/>
          <w:szCs w:val="36"/>
        </w:rPr>
      </w:pPr>
    </w:p>
    <w:p w14:paraId="53F51D5D">
      <w:pPr>
        <w:spacing w:line="560" w:lineRule="exact"/>
        <w:jc w:val="center"/>
        <w:rPr>
          <w:rFonts w:ascii="宋体" w:hAnsi="宋体"/>
          <w:b/>
          <w:sz w:val="36"/>
          <w:szCs w:val="36"/>
        </w:rPr>
      </w:pPr>
    </w:p>
    <w:p w14:paraId="6442342B">
      <w:pPr>
        <w:spacing w:line="560" w:lineRule="exact"/>
        <w:jc w:val="center"/>
        <w:rPr>
          <w:rFonts w:ascii="宋体" w:hAnsi="宋体"/>
          <w:b/>
          <w:sz w:val="36"/>
          <w:szCs w:val="36"/>
        </w:rPr>
      </w:pPr>
    </w:p>
    <w:p w14:paraId="3CD5D810">
      <w:pPr>
        <w:spacing w:line="560" w:lineRule="exact"/>
        <w:jc w:val="center"/>
        <w:rPr>
          <w:rFonts w:ascii="宋体" w:hAnsi="宋体"/>
          <w:b/>
          <w:sz w:val="36"/>
          <w:szCs w:val="36"/>
        </w:rPr>
      </w:pPr>
    </w:p>
    <w:p w14:paraId="0AAE69F4">
      <w:pPr>
        <w:spacing w:line="560" w:lineRule="exact"/>
        <w:jc w:val="center"/>
        <w:rPr>
          <w:rFonts w:ascii="宋体" w:hAnsi="宋体"/>
          <w:b/>
          <w:sz w:val="36"/>
          <w:szCs w:val="36"/>
        </w:rPr>
      </w:pPr>
    </w:p>
    <w:p w14:paraId="60245FF3">
      <w:pPr>
        <w:spacing w:line="560" w:lineRule="exact"/>
        <w:jc w:val="center"/>
        <w:rPr>
          <w:rFonts w:ascii="宋体" w:hAnsi="宋体"/>
          <w:b/>
          <w:sz w:val="36"/>
          <w:szCs w:val="36"/>
        </w:rPr>
      </w:pPr>
    </w:p>
    <w:p w14:paraId="73AD6F8D">
      <w:pPr>
        <w:spacing w:line="560" w:lineRule="exact"/>
        <w:jc w:val="center"/>
        <w:rPr>
          <w:rFonts w:ascii="宋体" w:hAnsi="宋体"/>
          <w:b/>
          <w:sz w:val="36"/>
          <w:szCs w:val="36"/>
        </w:rPr>
      </w:pPr>
    </w:p>
    <w:p w14:paraId="05AE9875">
      <w:pPr>
        <w:pStyle w:val="2"/>
      </w:pPr>
    </w:p>
    <w:p w14:paraId="1A37DA0F">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0849530">
      <w:pPr>
        <w:spacing w:line="560" w:lineRule="exact"/>
        <w:jc w:val="center"/>
        <w:rPr>
          <w:rFonts w:ascii="宋体" w:hAnsi="宋体"/>
          <w:b/>
          <w:sz w:val="36"/>
          <w:szCs w:val="36"/>
        </w:rPr>
      </w:pPr>
    </w:p>
    <w:p w14:paraId="3A673EC9">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283B6517">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74FBA2C2">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39AEA36E">
      <w:pPr>
        <w:spacing w:line="560" w:lineRule="exact"/>
        <w:rPr>
          <w:rFonts w:ascii="宋体" w:hAnsi="宋体"/>
          <w:b/>
          <w:sz w:val="36"/>
          <w:szCs w:val="36"/>
        </w:rPr>
      </w:pPr>
    </w:p>
    <w:p w14:paraId="010C2E93">
      <w:pPr>
        <w:spacing w:line="560" w:lineRule="exact"/>
        <w:rPr>
          <w:rFonts w:ascii="宋体" w:hAnsi="宋体"/>
          <w:b/>
          <w:sz w:val="36"/>
          <w:szCs w:val="36"/>
        </w:rPr>
      </w:pPr>
    </w:p>
    <w:p w14:paraId="24C1CDDB">
      <w:pPr>
        <w:spacing w:line="560" w:lineRule="exact"/>
        <w:rPr>
          <w:rFonts w:ascii="宋体" w:hAnsi="宋体"/>
          <w:b/>
          <w:sz w:val="36"/>
          <w:szCs w:val="36"/>
        </w:rPr>
      </w:pPr>
    </w:p>
    <w:p w14:paraId="711F705D">
      <w:pPr>
        <w:spacing w:line="560" w:lineRule="exact"/>
        <w:rPr>
          <w:rFonts w:ascii="宋体" w:hAnsi="宋体"/>
          <w:b/>
          <w:sz w:val="36"/>
          <w:szCs w:val="36"/>
        </w:rPr>
      </w:pPr>
    </w:p>
    <w:p w14:paraId="125F61A9">
      <w:pPr>
        <w:spacing w:line="560" w:lineRule="exact"/>
        <w:rPr>
          <w:rFonts w:ascii="宋体" w:hAnsi="宋体"/>
          <w:b/>
          <w:sz w:val="36"/>
          <w:szCs w:val="36"/>
        </w:rPr>
      </w:pPr>
    </w:p>
    <w:p w14:paraId="2641CA1D">
      <w:pPr>
        <w:spacing w:line="560" w:lineRule="exact"/>
        <w:rPr>
          <w:rFonts w:ascii="宋体" w:hAnsi="宋体"/>
          <w:b/>
          <w:sz w:val="36"/>
          <w:szCs w:val="36"/>
        </w:rPr>
      </w:pPr>
    </w:p>
    <w:p w14:paraId="496385F1">
      <w:pPr>
        <w:spacing w:line="560" w:lineRule="exact"/>
        <w:rPr>
          <w:rFonts w:ascii="宋体" w:hAnsi="宋体"/>
          <w:b/>
          <w:sz w:val="36"/>
          <w:szCs w:val="36"/>
        </w:rPr>
      </w:pPr>
    </w:p>
    <w:p w14:paraId="58BA3AE0">
      <w:pPr>
        <w:spacing w:line="560" w:lineRule="exact"/>
        <w:rPr>
          <w:rFonts w:ascii="宋体" w:hAnsi="宋体"/>
          <w:b/>
          <w:sz w:val="36"/>
          <w:szCs w:val="36"/>
        </w:rPr>
      </w:pPr>
    </w:p>
    <w:p w14:paraId="52A9CEB9">
      <w:pPr>
        <w:spacing w:line="560" w:lineRule="exact"/>
        <w:rPr>
          <w:rFonts w:ascii="宋体" w:hAnsi="宋体"/>
          <w:b/>
          <w:sz w:val="36"/>
          <w:szCs w:val="36"/>
        </w:rPr>
      </w:pPr>
    </w:p>
    <w:p w14:paraId="609E1948">
      <w:pPr>
        <w:spacing w:line="560" w:lineRule="exact"/>
        <w:rPr>
          <w:rFonts w:ascii="宋体" w:hAnsi="宋体"/>
          <w:b/>
          <w:sz w:val="36"/>
          <w:szCs w:val="36"/>
        </w:rPr>
      </w:pPr>
    </w:p>
    <w:p w14:paraId="79DD8B48">
      <w:pPr>
        <w:spacing w:line="560" w:lineRule="exact"/>
        <w:rPr>
          <w:rFonts w:ascii="宋体" w:hAnsi="宋体"/>
          <w:b/>
          <w:sz w:val="36"/>
          <w:szCs w:val="36"/>
        </w:rPr>
      </w:pPr>
    </w:p>
    <w:p w14:paraId="06D6B66F">
      <w:pPr>
        <w:spacing w:line="560" w:lineRule="exact"/>
        <w:rPr>
          <w:rFonts w:ascii="宋体" w:hAnsi="宋体"/>
          <w:b/>
          <w:sz w:val="36"/>
          <w:szCs w:val="36"/>
        </w:rPr>
      </w:pPr>
    </w:p>
    <w:p w14:paraId="36EA489D">
      <w:pPr>
        <w:spacing w:line="560" w:lineRule="exact"/>
        <w:rPr>
          <w:rFonts w:ascii="宋体" w:hAnsi="宋体"/>
          <w:b/>
          <w:sz w:val="36"/>
          <w:szCs w:val="36"/>
        </w:rPr>
      </w:pPr>
    </w:p>
    <w:p w14:paraId="07819A02">
      <w:pPr>
        <w:spacing w:line="560" w:lineRule="exact"/>
        <w:rPr>
          <w:rFonts w:ascii="宋体" w:hAnsi="宋体"/>
          <w:b/>
          <w:sz w:val="36"/>
          <w:szCs w:val="36"/>
        </w:rPr>
      </w:pPr>
    </w:p>
    <w:p w14:paraId="04FAF714">
      <w:pPr>
        <w:spacing w:line="560" w:lineRule="exact"/>
        <w:rPr>
          <w:rFonts w:ascii="宋体" w:hAnsi="宋体"/>
          <w:b/>
          <w:sz w:val="36"/>
          <w:szCs w:val="36"/>
        </w:rPr>
      </w:pPr>
    </w:p>
    <w:p w14:paraId="65A8BEBC">
      <w:pPr>
        <w:spacing w:line="560" w:lineRule="exact"/>
        <w:rPr>
          <w:rFonts w:ascii="宋体" w:hAnsi="宋体"/>
          <w:b/>
          <w:sz w:val="36"/>
          <w:szCs w:val="36"/>
        </w:rPr>
      </w:pPr>
    </w:p>
    <w:p w14:paraId="354D3FA5">
      <w:pPr>
        <w:spacing w:line="560" w:lineRule="exact"/>
        <w:rPr>
          <w:rFonts w:ascii="宋体" w:hAnsi="宋体"/>
          <w:b/>
          <w:sz w:val="36"/>
          <w:szCs w:val="36"/>
        </w:rPr>
      </w:pPr>
    </w:p>
    <w:p w14:paraId="6AF3FE56">
      <w:pPr>
        <w:spacing w:line="560" w:lineRule="exact"/>
        <w:rPr>
          <w:rFonts w:ascii="宋体" w:hAnsi="宋体"/>
          <w:b/>
          <w:sz w:val="36"/>
          <w:szCs w:val="36"/>
        </w:rPr>
      </w:pPr>
    </w:p>
    <w:p w14:paraId="42CDE6A0">
      <w:pPr>
        <w:spacing w:line="560" w:lineRule="exact"/>
        <w:rPr>
          <w:rFonts w:ascii="宋体" w:hAnsi="宋体"/>
          <w:b/>
          <w:sz w:val="36"/>
          <w:szCs w:val="36"/>
        </w:rPr>
      </w:pPr>
    </w:p>
    <w:p w14:paraId="6C96F84D">
      <w:pPr>
        <w:spacing w:line="560" w:lineRule="exact"/>
        <w:jc w:val="center"/>
        <w:rPr>
          <w:rFonts w:ascii="宋体" w:hAnsi="宋体"/>
          <w:b/>
          <w:sz w:val="36"/>
          <w:szCs w:val="36"/>
        </w:rPr>
      </w:pPr>
      <w:r>
        <w:rPr>
          <w:rFonts w:hint="eastAsia" w:ascii="宋体" w:hAnsi="宋体"/>
          <w:b/>
          <w:sz w:val="36"/>
          <w:szCs w:val="36"/>
        </w:rPr>
        <w:t>第二部分 盘山县国有资产事务管理中心单位概况</w:t>
      </w:r>
    </w:p>
    <w:p w14:paraId="0ACB3C4E">
      <w:pPr>
        <w:spacing w:line="560" w:lineRule="exact"/>
        <w:ind w:firstLine="646" w:firstLineChars="200"/>
        <w:jc w:val="left"/>
        <w:rPr>
          <w:rFonts w:ascii="黑体" w:eastAsia="黑体"/>
          <w:sz w:val="32"/>
          <w:szCs w:val="32"/>
        </w:rPr>
      </w:pPr>
    </w:p>
    <w:p w14:paraId="5BF8F13F">
      <w:pPr>
        <w:spacing w:line="560" w:lineRule="exact"/>
        <w:ind w:firstLine="646" w:firstLineChars="200"/>
        <w:jc w:val="left"/>
        <w:rPr>
          <w:rFonts w:ascii="黑体" w:eastAsia="黑体"/>
          <w:sz w:val="32"/>
          <w:szCs w:val="32"/>
        </w:rPr>
      </w:pPr>
      <w:r>
        <w:rPr>
          <w:rFonts w:hint="eastAsia" w:ascii="黑体" w:eastAsia="黑体"/>
          <w:sz w:val="32"/>
          <w:szCs w:val="32"/>
        </w:rPr>
        <w:t>一、单位职责</w:t>
      </w:r>
    </w:p>
    <w:p w14:paraId="6C7E9DE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盘山县国有资产事务管理中心是县政府直属事业单位。其主要部门工作职能是：</w:t>
      </w:r>
    </w:p>
    <w:p w14:paraId="7F3F76D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（一）承担县属国有企业资产管理的各项服务性、事务性工作。</w:t>
      </w:r>
    </w:p>
    <w:p w14:paraId="29BC1C7D">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（二）参与拟订国有资产的规范性文件；承担国有企业混合所有制改革、股份制改革、并购、重组的事务性工作。</w:t>
      </w:r>
    </w:p>
    <w:p w14:paraId="3DF7E4A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（三）参与建立健全资产台账，承担经营性资产盘活的事务性工作，为优化国有资产布局提供服务保障。</w:t>
      </w:r>
    </w:p>
    <w:p w14:paraId="1C5DF4D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（四）承担国有资产保值增值的事务性工作，参与制定企业收入分配、完善经营者激励和约束机制，承担国企负责人薪酬考核的事务性工作。</w:t>
      </w:r>
    </w:p>
    <w:p w14:paraId="1C58C30D">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五）参与建立健全国有企业选人用人机制，为企业的人才工作提供服务保障；承担国有企业招录员工人事档案的归档、留存备案工作；承担国资系统内相关人员定期参加政治教育、理论学习和业务培训等的事务性工作。</w:t>
      </w:r>
    </w:p>
    <w:p w14:paraId="48E33F3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（六）负责对国有企业党支部开展党建活动进行业务指导，夯实国有企业基层组织建设，推动国有企业党建与经济建设共同发展，为国有企业党的建设工作提供服务保障。</w:t>
      </w:r>
    </w:p>
    <w:p w14:paraId="40DF1A5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  （七）承办县政府交办的其他工作。</w:t>
      </w:r>
    </w:p>
    <w:p w14:paraId="39E432A4">
      <w:pPr>
        <w:spacing w:line="560" w:lineRule="exact"/>
        <w:ind w:firstLine="646" w:firstLineChars="200"/>
        <w:jc w:val="left"/>
        <w:rPr>
          <w:rFonts w:ascii="黑体" w:eastAsia="黑体"/>
          <w:sz w:val="32"/>
          <w:szCs w:val="32"/>
        </w:rPr>
      </w:pPr>
      <w:r>
        <w:rPr>
          <w:rFonts w:hint="eastAsia" w:ascii="黑体" w:eastAsia="黑体"/>
          <w:sz w:val="32"/>
          <w:szCs w:val="32"/>
        </w:rPr>
        <w:t>二、机构设置情况</w:t>
      </w:r>
    </w:p>
    <w:p w14:paraId="7DC407C6">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根据本单位主要职责，内设机构如下：综合办公室、规划发展与改革股、产权管理股。</w:t>
      </w:r>
    </w:p>
    <w:p w14:paraId="2379B597">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三、部门预算单位构成</w:t>
      </w:r>
    </w:p>
    <w:p w14:paraId="1283CD30">
      <w:pPr>
        <w:spacing w:line="560" w:lineRule="exact"/>
        <w:ind w:firstLine="646" w:firstLineChars="200"/>
        <w:jc w:val="left"/>
        <w:rPr>
          <w:rFonts w:ascii="黑体" w:eastAsia="黑体"/>
          <w:sz w:val="32"/>
          <w:szCs w:val="32"/>
        </w:rPr>
      </w:pPr>
      <w:bookmarkStart w:id="0" w:name="_GoBack"/>
      <w:bookmarkEnd w:id="0"/>
      <w:r>
        <w:rPr>
          <w:rFonts w:hint="eastAsia" w:ascii="仿宋_GB2312" w:eastAsia="仿宋_GB2312"/>
          <w:sz w:val="32"/>
          <w:szCs w:val="32"/>
        </w:rPr>
        <w:t>纳入 2025年度单位预算编制范围的二级预算单位:盘山县国有资产事务管理中心。</w:t>
      </w:r>
    </w:p>
    <w:p w14:paraId="172CC4C9">
      <w:pPr>
        <w:spacing w:line="560" w:lineRule="exact"/>
        <w:rPr>
          <w:rFonts w:ascii="黑体" w:eastAsia="黑体"/>
          <w:sz w:val="36"/>
          <w:szCs w:val="36"/>
        </w:rPr>
      </w:pPr>
    </w:p>
    <w:p w14:paraId="4EE2CECA">
      <w:pPr>
        <w:spacing w:line="560" w:lineRule="exact"/>
        <w:rPr>
          <w:rFonts w:ascii="黑体" w:eastAsia="黑体"/>
          <w:sz w:val="36"/>
          <w:szCs w:val="36"/>
        </w:rPr>
      </w:pPr>
    </w:p>
    <w:p w14:paraId="69F831C5">
      <w:pPr>
        <w:spacing w:line="560" w:lineRule="exact"/>
        <w:rPr>
          <w:rFonts w:ascii="黑体" w:eastAsia="黑体"/>
          <w:sz w:val="36"/>
          <w:szCs w:val="36"/>
        </w:rPr>
      </w:pPr>
    </w:p>
    <w:p w14:paraId="6BDAF5CB">
      <w:pPr>
        <w:spacing w:line="560" w:lineRule="exact"/>
        <w:rPr>
          <w:rFonts w:ascii="黑体" w:eastAsia="黑体"/>
          <w:sz w:val="36"/>
          <w:szCs w:val="36"/>
        </w:rPr>
      </w:pPr>
    </w:p>
    <w:p w14:paraId="35F25A01">
      <w:pPr>
        <w:spacing w:line="560" w:lineRule="exact"/>
        <w:rPr>
          <w:rFonts w:ascii="黑体" w:eastAsia="黑体"/>
          <w:sz w:val="36"/>
          <w:szCs w:val="36"/>
        </w:rPr>
      </w:pPr>
    </w:p>
    <w:p w14:paraId="6E7FBDD8">
      <w:pPr>
        <w:spacing w:line="560" w:lineRule="exact"/>
        <w:rPr>
          <w:rFonts w:ascii="黑体" w:eastAsia="黑体"/>
          <w:sz w:val="36"/>
          <w:szCs w:val="36"/>
        </w:rPr>
      </w:pPr>
    </w:p>
    <w:p w14:paraId="4BFC03EF">
      <w:pPr>
        <w:spacing w:line="560" w:lineRule="exact"/>
        <w:rPr>
          <w:rFonts w:ascii="黑体" w:eastAsia="黑体"/>
          <w:sz w:val="36"/>
          <w:szCs w:val="36"/>
        </w:rPr>
      </w:pPr>
    </w:p>
    <w:p w14:paraId="63FAB149">
      <w:pPr>
        <w:spacing w:line="560" w:lineRule="exact"/>
        <w:rPr>
          <w:rFonts w:ascii="黑体" w:eastAsia="黑体"/>
          <w:sz w:val="36"/>
          <w:szCs w:val="36"/>
        </w:rPr>
      </w:pPr>
    </w:p>
    <w:p w14:paraId="6F626ACC">
      <w:pPr>
        <w:spacing w:line="560" w:lineRule="exact"/>
        <w:rPr>
          <w:rFonts w:ascii="黑体" w:eastAsia="黑体"/>
          <w:sz w:val="36"/>
          <w:szCs w:val="36"/>
        </w:rPr>
      </w:pPr>
    </w:p>
    <w:p w14:paraId="7077FE01">
      <w:pPr>
        <w:spacing w:line="560" w:lineRule="exact"/>
        <w:rPr>
          <w:rFonts w:ascii="黑体" w:eastAsia="黑体"/>
          <w:sz w:val="36"/>
          <w:szCs w:val="36"/>
        </w:rPr>
      </w:pPr>
    </w:p>
    <w:p w14:paraId="4B63E938">
      <w:pPr>
        <w:spacing w:line="560" w:lineRule="exact"/>
        <w:rPr>
          <w:rFonts w:ascii="黑体" w:eastAsia="黑体"/>
          <w:sz w:val="36"/>
          <w:szCs w:val="36"/>
        </w:rPr>
      </w:pPr>
    </w:p>
    <w:p w14:paraId="79E577DB">
      <w:pPr>
        <w:spacing w:line="560" w:lineRule="exact"/>
        <w:rPr>
          <w:rFonts w:ascii="黑体" w:eastAsia="黑体"/>
          <w:sz w:val="36"/>
          <w:szCs w:val="36"/>
        </w:rPr>
      </w:pPr>
    </w:p>
    <w:p w14:paraId="0FC4029D">
      <w:pPr>
        <w:spacing w:line="560" w:lineRule="exact"/>
        <w:rPr>
          <w:rFonts w:ascii="黑体" w:eastAsia="黑体"/>
          <w:sz w:val="36"/>
          <w:szCs w:val="36"/>
        </w:rPr>
      </w:pPr>
    </w:p>
    <w:p w14:paraId="45E6B1C1">
      <w:pPr>
        <w:spacing w:line="560" w:lineRule="exact"/>
        <w:rPr>
          <w:rFonts w:ascii="黑体" w:eastAsia="黑体"/>
          <w:sz w:val="36"/>
          <w:szCs w:val="36"/>
        </w:rPr>
      </w:pPr>
    </w:p>
    <w:p w14:paraId="07EA9D72">
      <w:pPr>
        <w:pStyle w:val="2"/>
      </w:pPr>
    </w:p>
    <w:p w14:paraId="12AEE695"/>
    <w:p w14:paraId="5ED1BBB0">
      <w:pPr>
        <w:pStyle w:val="2"/>
      </w:pPr>
    </w:p>
    <w:p w14:paraId="0F3D19B7">
      <w:pPr>
        <w:spacing w:line="560" w:lineRule="exact"/>
        <w:rPr>
          <w:rFonts w:ascii="宋体" w:hAnsi="宋体"/>
          <w:b/>
          <w:sz w:val="36"/>
          <w:szCs w:val="36"/>
        </w:rPr>
      </w:pPr>
    </w:p>
    <w:p w14:paraId="49FB9BFE">
      <w:pPr>
        <w:spacing w:line="560" w:lineRule="exact"/>
        <w:jc w:val="center"/>
        <w:rPr>
          <w:rFonts w:ascii="宋体" w:hAnsi="宋体"/>
          <w:b/>
          <w:sz w:val="36"/>
          <w:szCs w:val="36"/>
        </w:rPr>
      </w:pPr>
      <w:r>
        <w:rPr>
          <w:rFonts w:hint="eastAsia" w:ascii="宋体" w:hAnsi="宋体"/>
          <w:b/>
          <w:sz w:val="36"/>
          <w:szCs w:val="36"/>
        </w:rPr>
        <w:t>第三部分盘山县国有资产事务管理中心</w:t>
      </w:r>
    </w:p>
    <w:p w14:paraId="4759E527">
      <w:pPr>
        <w:spacing w:line="560" w:lineRule="exact"/>
        <w:jc w:val="center"/>
        <w:rPr>
          <w:rFonts w:ascii="宋体" w:hAnsi="宋体"/>
          <w:b/>
          <w:sz w:val="36"/>
          <w:szCs w:val="36"/>
        </w:rPr>
      </w:pPr>
      <w:r>
        <w:rPr>
          <w:rFonts w:hint="eastAsia" w:ascii="宋体" w:hAnsi="宋体"/>
          <w:b/>
          <w:sz w:val="36"/>
          <w:szCs w:val="36"/>
        </w:rPr>
        <w:t>2025年度单位预算相关情况说明</w:t>
      </w:r>
    </w:p>
    <w:p w14:paraId="2FB93D22">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A7174EA">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（一）收入预算808.66万元，</w:t>
      </w:r>
      <w:r>
        <w:rPr>
          <w:rFonts w:hint="eastAsia" w:ascii="仿宋_GB2312" w:hAnsi="宋体" w:eastAsia="仿宋_GB2312"/>
          <w:sz w:val="32"/>
          <w:szCs w:val="32"/>
        </w:rPr>
        <w:t>其中：</w:t>
      </w:r>
    </w:p>
    <w:p w14:paraId="6352B5C1">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1.一般公共预算拨款收入808.66万元；</w:t>
      </w:r>
    </w:p>
    <w:p w14:paraId="407FD39B">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107717EC">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34567E6">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2319F257">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1E26F1E">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0EAEF8CB">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（二）支出预算808.66万元，</w:t>
      </w:r>
      <w:r>
        <w:rPr>
          <w:rFonts w:hint="eastAsia" w:ascii="仿宋_GB2312" w:hAnsi="宋体" w:eastAsia="仿宋_GB2312"/>
          <w:sz w:val="32"/>
          <w:szCs w:val="32"/>
        </w:rPr>
        <w:t>其中：</w:t>
      </w:r>
    </w:p>
    <w:p w14:paraId="0AA3AE49">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198.24万元</w:t>
      </w:r>
      <w:r>
        <w:rPr>
          <w:rFonts w:hint="eastAsia" w:ascii="仿宋_GB2312" w:eastAsia="仿宋_GB2312"/>
          <w:sz w:val="32"/>
          <w:szCs w:val="32"/>
        </w:rPr>
        <w:t>；</w:t>
      </w:r>
    </w:p>
    <w:p w14:paraId="4B098481">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610.42</w:t>
      </w:r>
      <w:r>
        <w:rPr>
          <w:rFonts w:hint="eastAsia" w:ascii="仿宋_GB2312" w:eastAsia="仿宋_GB2312"/>
          <w:sz w:val="32"/>
          <w:szCs w:val="32"/>
        </w:rPr>
        <w:t>万元。</w:t>
      </w:r>
    </w:p>
    <w:p w14:paraId="765D954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95833D6">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0</w:t>
      </w:r>
      <w:r>
        <w:rPr>
          <w:rFonts w:hint="eastAsia" w:ascii="仿宋_GB2312" w:eastAsia="仿宋_GB2312" w:cs="仿宋_GB2312"/>
          <w:sz w:val="32"/>
          <w:szCs w:val="32"/>
        </w:rPr>
        <w:t>个，涉及资金</w:t>
      </w:r>
      <w:r>
        <w:rPr>
          <w:rFonts w:hint="eastAsia" w:ascii="仿宋_GB2312" w:hAnsi="宋体" w:eastAsia="仿宋_GB2312"/>
          <w:sz w:val="32"/>
          <w:szCs w:val="32"/>
        </w:rPr>
        <w:t>0</w:t>
      </w:r>
      <w:r>
        <w:rPr>
          <w:rFonts w:hint="eastAsia" w:ascii="仿宋_GB2312" w:eastAsia="仿宋_GB2312" w:cs="仿宋_GB2312"/>
          <w:sz w:val="32"/>
          <w:szCs w:val="32"/>
        </w:rPr>
        <w:t xml:space="preserve">万元。 </w:t>
      </w:r>
    </w:p>
    <w:p w14:paraId="5C998D0B">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2025年预算收支比上年减少51.95万元，增减变化的主要原因为对企业补助减少</w:t>
      </w:r>
    </w:p>
    <w:p w14:paraId="1FB03084">
      <w:pPr>
        <w:spacing w:line="560" w:lineRule="exact"/>
        <w:ind w:firstLine="646" w:firstLineChars="200"/>
        <w:rPr>
          <w:rFonts w:ascii="黑体" w:hAnsi="黑体" w:eastAsia="黑体"/>
          <w:sz w:val="32"/>
          <w:szCs w:val="32"/>
        </w:rPr>
      </w:pPr>
      <w:r>
        <w:rPr>
          <w:rFonts w:hint="eastAsia" w:ascii="黑体" w:hAnsi="黑体" w:eastAsia="黑体"/>
          <w:sz w:val="32"/>
          <w:szCs w:val="32"/>
        </w:rPr>
        <w:t>二、单位管理专项资金情况</w:t>
      </w:r>
    </w:p>
    <w:p w14:paraId="729D561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2025年，盘山县国有资产事务管理中心专项资金共0个，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79E6DE23">
      <w:pPr>
        <w:spacing w:line="560" w:lineRule="exact"/>
        <w:ind w:firstLine="645"/>
        <w:rPr>
          <w:rFonts w:ascii="黑体" w:hAnsi="宋体" w:eastAsia="黑体"/>
          <w:sz w:val="32"/>
          <w:szCs w:val="32"/>
        </w:rPr>
      </w:pPr>
      <w:r>
        <w:rPr>
          <w:rFonts w:hint="eastAsia" w:ascii="黑体" w:hAnsi="宋体" w:eastAsia="黑体"/>
          <w:sz w:val="32"/>
          <w:szCs w:val="32"/>
        </w:rPr>
        <w:t>三、事业运行经费安排情况</w:t>
      </w:r>
    </w:p>
    <w:p w14:paraId="625031B3">
      <w:pPr>
        <w:spacing w:line="360" w:lineRule="auto"/>
        <w:ind w:firstLine="629" w:firstLineChars="195"/>
        <w:rPr>
          <w:rFonts w:ascii="仿宋_GB2312" w:hAnsi="宋体" w:eastAsia="仿宋_GB2312"/>
          <w:sz w:val="32"/>
          <w:szCs w:val="32"/>
        </w:rPr>
      </w:pPr>
      <w:r>
        <w:rPr>
          <w:rFonts w:hint="eastAsia" w:ascii="仿宋_GB2312" w:hAnsi="宋体" w:eastAsia="仿宋_GB2312"/>
          <w:sz w:val="32"/>
          <w:szCs w:val="32"/>
        </w:rPr>
        <w:t>2025年盘山县国有资产事务管理中心事业运行经费预算为4.59万元，主要包括：办公费2万元、手续费0.16万元、邮电费0.3万元、维修（护）费1.13万元、办公设备购置1万元。</w:t>
      </w:r>
    </w:p>
    <w:p w14:paraId="654E42EA">
      <w:pPr>
        <w:spacing w:line="560" w:lineRule="exact"/>
        <w:ind w:firstLine="645"/>
        <w:rPr>
          <w:rFonts w:ascii="仿宋_GB2312" w:hAnsi="宋体" w:eastAsia="仿宋_GB2312"/>
          <w:sz w:val="32"/>
          <w:szCs w:val="32"/>
        </w:rPr>
      </w:pPr>
    </w:p>
    <w:p w14:paraId="07D7651A">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269A3C1">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2025年盘山县国有资产事务管理中心安排政府采购预算0万元，具体为货物0万元，服务0万元，工程0万元；预留面向中小企业采购份额0万元，其中预留给小微企业0万元。</w:t>
      </w:r>
    </w:p>
    <w:p w14:paraId="08F3C12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657FCEF">
      <w:pPr>
        <w:spacing w:line="560" w:lineRule="exact"/>
        <w:ind w:firstLine="660"/>
        <w:rPr>
          <w:rFonts w:ascii="仿宋_GB2312" w:eastAsia="仿宋_GB2312"/>
          <w:sz w:val="32"/>
          <w:szCs w:val="32"/>
        </w:rPr>
      </w:pPr>
      <w:r>
        <w:rPr>
          <w:rFonts w:hint="eastAsia" w:ascii="仿宋_GB2312" w:eastAsia="仿宋_GB2312"/>
          <w:sz w:val="32"/>
          <w:szCs w:val="32"/>
        </w:rPr>
        <w:t>2025年，盘山县国有资产事务管理中心拨款预算安排的 “三公”经费预算为0万元，比上年减少（增加）0万元，下降（增长）0%。其中：</w:t>
      </w:r>
    </w:p>
    <w:p w14:paraId="51C5160B">
      <w:pPr>
        <w:spacing w:line="560" w:lineRule="exact"/>
        <w:ind w:firstLine="660"/>
        <w:rPr>
          <w:rFonts w:ascii="仿宋_GB2312" w:eastAsia="仿宋_GB2312"/>
          <w:sz w:val="32"/>
          <w:szCs w:val="32"/>
        </w:rPr>
      </w:pPr>
      <w:r>
        <w:rPr>
          <w:rFonts w:hint="eastAsia" w:ascii="仿宋_GB2312" w:eastAsia="仿宋_GB2312"/>
          <w:sz w:val="32"/>
          <w:szCs w:val="32"/>
        </w:rPr>
        <w:t>1.因公出国（境）费0元，比上年减少（增加）0万元，下降（增长）0%。</w:t>
      </w:r>
    </w:p>
    <w:p w14:paraId="7E08BFC0">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3E40D53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0万元（其中：公务用车购置费0万元，比上年减少（增加）0万元，下降（增长）0%；公务用车运行费2万元，比上年减少（增加）0万元，下降（增长）0%），比上年减少（增加）0万元，下降（增长）0%。</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DEADEA4">
        <w:tblPrEx>
          <w:tblCellMar>
            <w:top w:w="15" w:type="dxa"/>
            <w:left w:w="108" w:type="dxa"/>
            <w:bottom w:w="15" w:type="dxa"/>
            <w:right w:w="108" w:type="dxa"/>
          </w:tblCellMar>
        </w:tblPrEx>
        <w:trPr>
          <w:trHeight w:val="570" w:hRule="atLeast"/>
        </w:trPr>
        <w:tc>
          <w:tcPr>
            <w:tcW w:w="8835" w:type="dxa"/>
            <w:gridSpan w:val="4"/>
            <w:vAlign w:val="center"/>
          </w:tcPr>
          <w:p w14:paraId="55FF32DB">
            <w:pPr>
              <w:widowControl/>
              <w:spacing w:line="560" w:lineRule="exact"/>
              <w:jc w:val="center"/>
              <w:rPr>
                <w:rFonts w:ascii="宋体" w:hAnsi="宋体" w:cs="宋体"/>
                <w:b/>
                <w:bCs/>
                <w:color w:val="000000"/>
                <w:kern w:val="0"/>
                <w:sz w:val="30"/>
                <w:szCs w:val="30"/>
              </w:rPr>
            </w:pPr>
          </w:p>
          <w:p w14:paraId="7ECECF7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557D36C3">
        <w:tblPrEx>
          <w:tblCellMar>
            <w:top w:w="15" w:type="dxa"/>
            <w:left w:w="108" w:type="dxa"/>
            <w:bottom w:w="15" w:type="dxa"/>
            <w:right w:w="108" w:type="dxa"/>
          </w:tblCellMar>
        </w:tblPrEx>
        <w:trPr>
          <w:trHeight w:val="480" w:hRule="atLeast"/>
        </w:trPr>
        <w:tc>
          <w:tcPr>
            <w:tcW w:w="3423" w:type="dxa"/>
            <w:vAlign w:val="center"/>
          </w:tcPr>
          <w:p w14:paraId="7430D3E0">
            <w:pPr>
              <w:widowControl/>
              <w:spacing w:line="560" w:lineRule="exact"/>
              <w:jc w:val="left"/>
              <w:rPr>
                <w:rFonts w:ascii="宋体" w:hAnsi="宋体" w:cs="宋体"/>
                <w:color w:val="000000"/>
                <w:kern w:val="0"/>
                <w:sz w:val="24"/>
              </w:rPr>
            </w:pPr>
          </w:p>
        </w:tc>
        <w:tc>
          <w:tcPr>
            <w:tcW w:w="2026" w:type="dxa"/>
            <w:vAlign w:val="center"/>
          </w:tcPr>
          <w:p w14:paraId="434F713A">
            <w:pPr>
              <w:widowControl/>
              <w:spacing w:line="560" w:lineRule="exact"/>
              <w:jc w:val="left"/>
              <w:rPr>
                <w:rFonts w:ascii="宋体" w:hAnsi="宋体" w:cs="宋体"/>
                <w:color w:val="000000"/>
                <w:kern w:val="0"/>
                <w:sz w:val="24"/>
              </w:rPr>
            </w:pPr>
          </w:p>
        </w:tc>
        <w:tc>
          <w:tcPr>
            <w:tcW w:w="3386" w:type="dxa"/>
            <w:gridSpan w:val="2"/>
            <w:vAlign w:val="center"/>
          </w:tcPr>
          <w:p w14:paraId="17A8341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B52C767">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186215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9C870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4A728C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3F1110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22134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B5A8A8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28F8BD9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98E2E5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A255A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54ADAA0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r>
      <w:tr w14:paraId="7FCD1F3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58B6E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DD8D3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841310D">
            <w:pPr>
              <w:widowControl/>
              <w:spacing w:line="560" w:lineRule="exact"/>
              <w:jc w:val="left"/>
              <w:rPr>
                <w:rFonts w:ascii="宋体" w:hAnsi="宋体" w:cs="宋体"/>
                <w:color w:val="000000"/>
                <w:kern w:val="0"/>
                <w:sz w:val="24"/>
              </w:rPr>
            </w:pPr>
          </w:p>
        </w:tc>
      </w:tr>
      <w:tr w14:paraId="33A5785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CB45C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B642B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C0473D8">
            <w:pPr>
              <w:widowControl/>
              <w:spacing w:line="560" w:lineRule="exact"/>
              <w:jc w:val="left"/>
              <w:rPr>
                <w:rFonts w:ascii="宋体" w:hAnsi="宋体" w:cs="宋体"/>
                <w:color w:val="000000"/>
                <w:kern w:val="0"/>
                <w:sz w:val="24"/>
              </w:rPr>
            </w:pPr>
          </w:p>
        </w:tc>
      </w:tr>
      <w:tr w14:paraId="5E479FF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31545C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73055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A4BBB93">
            <w:pPr>
              <w:widowControl/>
              <w:spacing w:line="560" w:lineRule="exact"/>
              <w:jc w:val="left"/>
              <w:rPr>
                <w:rFonts w:ascii="宋体" w:hAnsi="宋体" w:cs="宋体"/>
                <w:color w:val="000000"/>
                <w:kern w:val="0"/>
                <w:sz w:val="24"/>
              </w:rPr>
            </w:pPr>
          </w:p>
        </w:tc>
      </w:tr>
      <w:tr w14:paraId="1FC379C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8E826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CFE6A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8120D1E">
            <w:pPr>
              <w:widowControl/>
              <w:spacing w:line="560" w:lineRule="exact"/>
              <w:jc w:val="left"/>
              <w:rPr>
                <w:rFonts w:ascii="宋体" w:hAnsi="宋体" w:cs="宋体"/>
                <w:color w:val="000000"/>
                <w:kern w:val="0"/>
                <w:sz w:val="24"/>
              </w:rPr>
            </w:pPr>
          </w:p>
        </w:tc>
      </w:tr>
      <w:tr w14:paraId="776B3DD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40CB1C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B66AD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B7495B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r>
    </w:tbl>
    <w:p w14:paraId="571FFAA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B09CFF7">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盘山县国有资产事务管理中心2025年年初预算购置车辆0台，金额0万元，单位价值50万元以上的通用设备0台，单位价值100万元以上的专用设备0台。</w:t>
      </w:r>
    </w:p>
    <w:p w14:paraId="601B57D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D5CC04E">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国有资产事务管理中心年应编制单位整体绩效目标共1个，实际编制单位整体绩效目标共1个，编制单位整体绩效目标覆盖率（实际编制绩效目标的数量/应编制绩效目标的数量）为100%。2025年应编制绩效目标的特定目标类和其他运转类项目共0个，实际编制绩效目标的特定目标类和其他运转类项目共0个，涉及资金0万元，编制特定目标类和其他运转类绩效目标的项目覆盖率（实际编制绩效目标的数量/应编制绩效目标的数量）为0%。</w:t>
      </w:r>
    </w:p>
    <w:p w14:paraId="5CF047BF">
      <w:pPr>
        <w:spacing w:line="560" w:lineRule="exact"/>
        <w:jc w:val="center"/>
        <w:rPr>
          <w:rFonts w:ascii="宋体" w:hAnsi="宋体"/>
          <w:b/>
          <w:sz w:val="36"/>
          <w:szCs w:val="36"/>
        </w:rPr>
      </w:pPr>
      <w:r>
        <w:rPr>
          <w:rFonts w:hint="eastAsia" w:ascii="宋体" w:hAnsi="宋体"/>
          <w:b/>
          <w:sz w:val="36"/>
          <w:szCs w:val="36"/>
        </w:rPr>
        <w:t>第四部分 名词解释</w:t>
      </w:r>
    </w:p>
    <w:p w14:paraId="129275E9">
      <w:pPr>
        <w:spacing w:line="560" w:lineRule="exact"/>
        <w:jc w:val="center"/>
        <w:rPr>
          <w:rFonts w:ascii="仿宋_GB2312" w:eastAsia="仿宋_GB2312"/>
          <w:sz w:val="32"/>
          <w:szCs w:val="32"/>
        </w:rPr>
      </w:pPr>
    </w:p>
    <w:p w14:paraId="2D11CD18">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F42BC9D">
      <w:pPr>
        <w:spacing w:line="540" w:lineRule="exact"/>
        <w:ind w:firstLine="646" w:firstLineChars="200"/>
        <w:jc w:val="left"/>
        <w:rPr>
          <w:rFonts w:ascii="仿宋_GB2312" w:hAnsi="仿宋_GB2312" w:eastAsia="仿宋_GB2312" w:cs="仿宋_GB2312"/>
          <w:sz w:val="32"/>
          <w:szCs w:val="32"/>
        </w:rPr>
      </w:pPr>
      <w:r>
        <w:rPr>
          <w:rFonts w:hint="eastAsia" w:ascii="宋体" w:hAnsi="宋体" w:cs="宋体"/>
          <w:bCs/>
          <w:sz w:val="32"/>
          <w:szCs w:val="32"/>
        </w:rPr>
        <w:t>2.</w:t>
      </w:r>
      <w:r>
        <w:rPr>
          <w:rFonts w:hint="eastAsia" w:ascii="仿宋_GB2312" w:eastAsia="仿宋_GB2312"/>
          <w:b/>
          <w:sz w:val="32"/>
          <w:szCs w:val="32"/>
        </w:rPr>
        <w:t>上级补助收入</w:t>
      </w:r>
      <w:r>
        <w:rPr>
          <w:rFonts w:hint="eastAsia" w:ascii="宋体" w:hAnsi="宋体" w:cs="宋体"/>
          <w:bCs/>
          <w:sz w:val="32"/>
          <w:szCs w:val="32"/>
        </w:rPr>
        <w:t>：</w:t>
      </w:r>
      <w:r>
        <w:rPr>
          <w:rFonts w:hint="eastAsia" w:ascii="仿宋_GB2312" w:hAnsi="仿宋_GB2312" w:eastAsia="仿宋_GB2312" w:cs="仿宋_GB2312"/>
          <w:sz w:val="32"/>
          <w:szCs w:val="32"/>
        </w:rPr>
        <w:t>指单位从主管部门和上级单位取得的非财政性补助收入。</w:t>
      </w:r>
    </w:p>
    <w:p w14:paraId="5938717A">
      <w:pPr>
        <w:spacing w:line="540" w:lineRule="exact"/>
        <w:ind w:firstLine="646" w:firstLineChars="200"/>
        <w:jc w:val="left"/>
        <w:rPr>
          <w:rFonts w:ascii="仿宋_GB2312" w:hAnsi="仿宋_GB2312" w:eastAsia="仿宋_GB2312" w:cs="仿宋_GB2312"/>
          <w:sz w:val="32"/>
          <w:szCs w:val="32"/>
        </w:rPr>
      </w:pPr>
      <w:r>
        <w:rPr>
          <w:rFonts w:hint="eastAsia" w:ascii="宋体" w:hAnsi="宋体" w:cs="宋体"/>
          <w:bCs/>
          <w:sz w:val="32"/>
          <w:szCs w:val="32"/>
        </w:rPr>
        <w:t>3</w:t>
      </w:r>
      <w:r>
        <w:rPr>
          <w:rFonts w:hint="eastAsia" w:ascii="宋体" w:hAnsi="宋体" w:cs="宋体"/>
          <w:b/>
          <w:sz w:val="32"/>
          <w:szCs w:val="32"/>
        </w:rPr>
        <w:t>.</w:t>
      </w:r>
      <w:r>
        <w:rPr>
          <w:rFonts w:hint="eastAsia" w:ascii="仿宋_GB2312" w:eastAsia="仿宋_GB2312"/>
          <w:b/>
          <w:sz w:val="32"/>
          <w:szCs w:val="32"/>
        </w:rPr>
        <w:t>事业收入</w:t>
      </w:r>
      <w:r>
        <w:rPr>
          <w:rFonts w:hint="eastAsia" w:ascii="宋体" w:hAnsi="宋体" w:cs="宋体"/>
          <w:bCs/>
          <w:sz w:val="32"/>
          <w:szCs w:val="32"/>
        </w:rPr>
        <w:t>：</w:t>
      </w:r>
      <w:r>
        <w:rPr>
          <w:rFonts w:hint="eastAsia" w:ascii="仿宋_GB2312" w:hAnsi="仿宋_GB2312" w:eastAsia="仿宋_GB2312" w:cs="仿宋_GB2312"/>
          <w:sz w:val="32"/>
          <w:szCs w:val="32"/>
        </w:rPr>
        <w:t>指事业单位开展专业业务活动及辅助活动所取得的收入。</w:t>
      </w:r>
    </w:p>
    <w:p w14:paraId="32927040">
      <w:pPr>
        <w:spacing w:line="360" w:lineRule="auto"/>
        <w:ind w:firstLine="629" w:firstLineChars="195"/>
        <w:rPr>
          <w:rFonts w:ascii="仿宋_GB2312" w:hAnsi="仿宋_GB2312" w:eastAsia="仿宋_GB2312" w:cs="仿宋_GB2312"/>
          <w:sz w:val="32"/>
          <w:szCs w:val="32"/>
        </w:rPr>
      </w:pPr>
      <w:r>
        <w:rPr>
          <w:rFonts w:hint="eastAsia" w:ascii="宋体" w:hAnsi="宋体" w:cs="宋体"/>
          <w:bCs/>
          <w:sz w:val="32"/>
          <w:szCs w:val="32"/>
        </w:rPr>
        <w:t>4.</w:t>
      </w:r>
      <w:r>
        <w:rPr>
          <w:rFonts w:hint="eastAsia" w:ascii="仿宋_GB2312" w:eastAsia="仿宋_GB2312"/>
          <w:b/>
          <w:sz w:val="32"/>
          <w:szCs w:val="32"/>
        </w:rPr>
        <w:t>事业单位经营收入</w:t>
      </w:r>
      <w:r>
        <w:rPr>
          <w:rFonts w:hint="eastAsia" w:ascii="宋体" w:hAnsi="宋体" w:cs="宋体"/>
          <w:bCs/>
          <w:sz w:val="32"/>
          <w:szCs w:val="32"/>
        </w:rPr>
        <w:t>：</w:t>
      </w:r>
      <w:r>
        <w:rPr>
          <w:rFonts w:hint="eastAsia" w:ascii="仿宋_GB2312" w:hAnsi="仿宋_GB2312" w:eastAsia="仿宋_GB2312" w:cs="仿宋_GB2312"/>
          <w:sz w:val="32"/>
          <w:szCs w:val="32"/>
        </w:rPr>
        <w:t>指事业单位在专业业务活动及辅助活动之外开展非独立核算经营活动取得的收入。</w:t>
      </w:r>
    </w:p>
    <w:p w14:paraId="1A4E9BD5">
      <w:pPr>
        <w:spacing w:line="540" w:lineRule="exact"/>
        <w:ind w:firstLine="646" w:firstLineChars="200"/>
        <w:jc w:val="left"/>
        <w:rPr>
          <w:rFonts w:ascii="仿宋_GB2312" w:hAnsi="仿宋_GB2312" w:eastAsia="仿宋_GB2312" w:cs="仿宋_GB2312"/>
          <w:sz w:val="32"/>
          <w:szCs w:val="32"/>
        </w:rPr>
      </w:pPr>
      <w:r>
        <w:rPr>
          <w:rFonts w:hint="eastAsia" w:ascii="宋体" w:hAnsi="宋体" w:cs="宋体"/>
          <w:bCs/>
          <w:sz w:val="32"/>
          <w:szCs w:val="32"/>
        </w:rPr>
        <w:t>5.</w:t>
      </w:r>
      <w:r>
        <w:rPr>
          <w:rFonts w:hint="eastAsia" w:ascii="仿宋_GB2312" w:eastAsia="仿宋_GB2312"/>
          <w:b/>
          <w:sz w:val="32"/>
          <w:szCs w:val="32"/>
        </w:rPr>
        <w:t>附属单位上缴收入：</w:t>
      </w:r>
      <w:r>
        <w:rPr>
          <w:rFonts w:hint="eastAsia" w:ascii="仿宋_GB2312" w:hAnsi="仿宋_GB2312" w:eastAsia="仿宋_GB2312" w:cs="仿宋_GB2312"/>
          <w:sz w:val="32"/>
          <w:szCs w:val="32"/>
        </w:rPr>
        <w:t>指单位附属的独立核算单位按照规定上缴的收入。</w:t>
      </w:r>
    </w:p>
    <w:p w14:paraId="03563988">
      <w:pPr>
        <w:spacing w:line="360" w:lineRule="auto"/>
        <w:ind w:firstLine="629" w:firstLineChars="195"/>
        <w:rPr>
          <w:rFonts w:ascii="宋体" w:hAnsi="宋体" w:cs="宋体"/>
          <w:sz w:val="32"/>
          <w:szCs w:val="32"/>
        </w:rPr>
      </w:pPr>
      <w:r>
        <w:rPr>
          <w:rFonts w:hint="eastAsia" w:ascii="宋体" w:hAnsi="宋体" w:cs="宋体"/>
          <w:bCs/>
          <w:sz w:val="32"/>
          <w:szCs w:val="32"/>
        </w:rPr>
        <w:t>6.</w:t>
      </w:r>
      <w:r>
        <w:rPr>
          <w:rFonts w:hint="eastAsia" w:ascii="仿宋_GB2312" w:eastAsia="仿宋_GB2312"/>
          <w:b/>
          <w:sz w:val="32"/>
          <w:szCs w:val="32"/>
        </w:rPr>
        <w:t>其他收入</w:t>
      </w:r>
      <w:r>
        <w:rPr>
          <w:rFonts w:hint="eastAsia" w:ascii="宋体" w:hAnsi="宋体" w:cs="宋体"/>
          <w:sz w:val="32"/>
        </w:rPr>
        <w:t>：指除上述“</w:t>
      </w:r>
      <w:r>
        <w:rPr>
          <w:rFonts w:hint="eastAsia" w:ascii="宋体" w:hAnsi="宋体" w:cs="宋体"/>
          <w:color w:val="000000"/>
          <w:sz w:val="32"/>
        </w:rPr>
        <w:t>一般公共预算</w:t>
      </w:r>
      <w:r>
        <w:rPr>
          <w:rFonts w:hint="eastAsia" w:ascii="宋体" w:hAnsi="宋体" w:cs="宋体"/>
          <w:sz w:val="32"/>
        </w:rPr>
        <w:t>”、 “上级补助收入”、“事业收入”、“</w:t>
      </w:r>
      <w:r>
        <w:rPr>
          <w:rFonts w:hint="eastAsia" w:ascii="宋体" w:hAnsi="宋体" w:cs="宋体"/>
          <w:color w:val="000000"/>
          <w:sz w:val="32"/>
        </w:rPr>
        <w:t>事业单位</w:t>
      </w:r>
      <w:r>
        <w:rPr>
          <w:rFonts w:hint="eastAsia" w:ascii="宋体" w:hAnsi="宋体" w:cs="宋体"/>
          <w:sz w:val="32"/>
        </w:rPr>
        <w:t>经营收入”、“附属单位上缴</w:t>
      </w:r>
      <w:r>
        <w:rPr>
          <w:rFonts w:hint="eastAsia" w:ascii="宋体" w:hAnsi="宋体" w:cs="宋体"/>
          <w:sz w:val="32"/>
          <w:szCs w:val="32"/>
        </w:rPr>
        <w:t>收入”等以外的收入。</w:t>
      </w:r>
    </w:p>
    <w:p w14:paraId="133BAE1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7.基本支出：</w:t>
      </w:r>
      <w:r>
        <w:rPr>
          <w:rFonts w:hint="eastAsia" w:ascii="仿宋_GB2312" w:eastAsia="仿宋_GB2312"/>
          <w:sz w:val="32"/>
          <w:szCs w:val="32"/>
        </w:rPr>
        <w:t>是为保障机构正常运转、完成日常工作任务而发生的支出，包括人员经费和公用经费。</w:t>
      </w:r>
    </w:p>
    <w:p w14:paraId="359DF6E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8.项目支出：</w:t>
      </w:r>
      <w:r>
        <w:rPr>
          <w:rFonts w:hint="eastAsia" w:ascii="仿宋_GB2312" w:eastAsia="仿宋_GB2312"/>
          <w:sz w:val="32"/>
          <w:szCs w:val="32"/>
        </w:rPr>
        <w:t>指为完成特定工作任务和事业发展目标所发生的支出。</w:t>
      </w:r>
    </w:p>
    <w:p w14:paraId="4CAD109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9.上年结转：</w:t>
      </w:r>
      <w:r>
        <w:rPr>
          <w:rFonts w:hint="eastAsia" w:ascii="仿宋_GB2312" w:eastAsia="仿宋_GB2312"/>
          <w:sz w:val="32"/>
          <w:szCs w:val="32"/>
        </w:rPr>
        <w:t>指以前年度尚未使用完毕，结转到本年仍按原规定用途继续使用的资金。</w:t>
      </w:r>
    </w:p>
    <w:p w14:paraId="732ED9D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44FE08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11.</w:t>
      </w:r>
      <w:r>
        <w:rPr>
          <w:rFonts w:hint="eastAsia"/>
        </w:rPr>
        <w:t xml:space="preserve"> </w:t>
      </w:r>
      <w:r>
        <w:rPr>
          <w:rFonts w:hint="eastAsia" w:ascii="仿宋_GB2312" w:eastAsia="仿宋_GB2312"/>
          <w:b/>
          <w:sz w:val="32"/>
          <w:szCs w:val="32"/>
        </w:rPr>
        <w:t>一般公共服务（类）政府办公厅（室）及相关机构事务（款）事业运行（项）：</w:t>
      </w:r>
      <w:r>
        <w:rPr>
          <w:rFonts w:hint="eastAsia" w:ascii="仿宋_GB2312" w:eastAsia="仿宋_GB2312"/>
          <w:sz w:val="32"/>
          <w:szCs w:val="32"/>
        </w:rPr>
        <w:t>反映事业单位不包括行政单位（包括实行公务员管理的事业单位）后勤服务中心、医务室等附属事业单位。</w:t>
      </w:r>
    </w:p>
    <w:p w14:paraId="3D73DE5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12.</w:t>
      </w:r>
      <w:r>
        <w:rPr>
          <w:rFonts w:hint="eastAsia"/>
        </w:rPr>
        <w:t xml:space="preserve"> </w:t>
      </w:r>
      <w:r>
        <w:rPr>
          <w:rFonts w:hint="eastAsia" w:ascii="仿宋_GB2312" w:eastAsia="仿宋_GB2312"/>
          <w:b/>
          <w:sz w:val="32"/>
          <w:szCs w:val="32"/>
        </w:rPr>
        <w:t>一般公共服务（类）其他一般公共服务支出（款）其他一般公共服务支出（项）：</w:t>
      </w:r>
      <w:r>
        <w:rPr>
          <w:rFonts w:hint="eastAsia" w:ascii="仿宋_GB2312" w:eastAsia="仿宋_GB2312"/>
          <w:sz w:val="32"/>
          <w:szCs w:val="32"/>
        </w:rPr>
        <w:t>反映除上述项目以外的其他一般公共服务支出。</w:t>
      </w:r>
    </w:p>
    <w:p w14:paraId="2FE392F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13.社会保障和就业（类）行政事业单位养老支出（项）事业单位离退休（项）：</w:t>
      </w:r>
      <w:r>
        <w:rPr>
          <w:rFonts w:hint="eastAsia" w:ascii="仿宋_GB2312" w:eastAsia="仿宋_GB2312"/>
          <w:sz w:val="32"/>
          <w:szCs w:val="32"/>
        </w:rPr>
        <w:t>反映事业单位开支的离退休经费</w:t>
      </w:r>
      <w:r>
        <w:rPr>
          <w:rFonts w:hint="eastAsia" w:ascii="仿宋_GB2312" w:eastAsia="仿宋_GB2312"/>
          <w:b/>
          <w:sz w:val="32"/>
          <w:szCs w:val="32"/>
        </w:rPr>
        <w:t>。</w:t>
      </w:r>
    </w:p>
    <w:p w14:paraId="2CC25FE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9.社会保障和就业（类）行政事业单位离退休（款）机关事业单位基本养老保险缴费支出（项）：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74ACD60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 xml:space="preserve">14. 社会保障和就业（类）其他社会保障和就业支出（项）其他社会保障和就业支出（项）: </w:t>
      </w:r>
      <w:r>
        <w:rPr>
          <w:rFonts w:hint="eastAsia" w:ascii="仿宋_GB2312" w:eastAsia="仿宋_GB2312"/>
          <w:sz w:val="32"/>
          <w:szCs w:val="32"/>
        </w:rPr>
        <w:t>反映除上述项目以外其他用于社会保障和就业方面的支出。</w:t>
      </w:r>
    </w:p>
    <w:p w14:paraId="1A0BE42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15.住房保障（类）住房改革（款）住房公积金（项）：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E9C121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16.卫生健康（类）行政事业单位医疗（款）事业单位医疗（项）：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501C2807">
      <w:pPr>
        <w:spacing w:line="560" w:lineRule="exact"/>
        <w:ind w:firstLine="646" w:firstLineChars="200"/>
        <w:jc w:val="left"/>
        <w:rPr>
          <w:rFonts w:ascii="仿宋_GB2312" w:eastAsia="仿宋_GB2312"/>
          <w:b/>
          <w:sz w:val="32"/>
          <w:szCs w:val="32"/>
        </w:rPr>
      </w:pPr>
    </w:p>
    <w:p w14:paraId="1250ED56">
      <w:pPr>
        <w:spacing w:line="560" w:lineRule="exact"/>
        <w:ind w:firstLine="646" w:firstLineChars="200"/>
        <w:jc w:val="left"/>
        <w:rPr>
          <w:rFonts w:ascii="仿宋_GB2312" w:eastAsia="仿宋_GB2312"/>
          <w:b/>
          <w:sz w:val="32"/>
          <w:szCs w:val="32"/>
        </w:rPr>
      </w:pPr>
    </w:p>
    <w:p w14:paraId="262B8905">
      <w:pPr>
        <w:spacing w:line="560" w:lineRule="exact"/>
        <w:ind w:firstLine="646" w:firstLineChars="200"/>
        <w:jc w:val="left"/>
        <w:rPr>
          <w:rFonts w:ascii="仿宋_GB2312" w:eastAsia="仿宋_GB2312"/>
          <w:b/>
          <w:sz w:val="32"/>
          <w:szCs w:val="32"/>
        </w:rPr>
      </w:pPr>
    </w:p>
    <w:p w14:paraId="09E1101F">
      <w:pPr>
        <w:spacing w:line="560" w:lineRule="exact"/>
        <w:ind w:firstLine="646" w:firstLineChars="200"/>
        <w:jc w:val="left"/>
        <w:rPr>
          <w:rFonts w:ascii="仿宋_GB2312" w:eastAsia="仿宋_GB2312"/>
          <w:b/>
          <w:sz w:val="32"/>
          <w:szCs w:val="32"/>
        </w:rPr>
      </w:pPr>
    </w:p>
    <w:p w14:paraId="446E4D81">
      <w:pPr>
        <w:spacing w:line="560" w:lineRule="exact"/>
        <w:ind w:firstLine="646" w:firstLineChars="200"/>
        <w:jc w:val="left"/>
        <w:rPr>
          <w:rFonts w:ascii="仿宋_GB2312" w:eastAsia="仿宋_GB2312"/>
          <w:b/>
          <w:sz w:val="32"/>
          <w:szCs w:val="32"/>
        </w:rPr>
      </w:pPr>
    </w:p>
    <w:p w14:paraId="7002313B">
      <w:pPr>
        <w:rPr>
          <w:rFonts w:ascii="宋体" w:hAnsi="宋体"/>
          <w:b/>
          <w:sz w:val="36"/>
          <w:szCs w:val="36"/>
        </w:rPr>
      </w:pPr>
    </w:p>
    <w:p w14:paraId="0713C37E">
      <w:pPr>
        <w:pStyle w:val="2"/>
        <w:rPr>
          <w:rFonts w:ascii="宋体" w:hAnsi="宋体"/>
          <w:b/>
          <w:sz w:val="36"/>
          <w:szCs w:val="36"/>
        </w:rPr>
      </w:pPr>
    </w:p>
    <w:p w14:paraId="5B5DAB1F">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746547B">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FD7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538B401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3A55"/>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161DC"/>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17A"/>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6C08"/>
    <w:rsid w:val="00917BF2"/>
    <w:rsid w:val="0092056C"/>
    <w:rsid w:val="00923F4E"/>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56639"/>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7481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16C6A"/>
    <w:rsid w:val="00F22489"/>
    <w:rsid w:val="00F234F5"/>
    <w:rsid w:val="00F305AA"/>
    <w:rsid w:val="00F42313"/>
    <w:rsid w:val="00F5611C"/>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25D7"/>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4866F6"/>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3236</Words>
  <Characters>3379</Characters>
  <Lines>25</Lines>
  <Paragraphs>7</Paragraphs>
  <TotalTime>36</TotalTime>
  <ScaleCrop>false</ScaleCrop>
  <LinksUpToDate>false</LinksUpToDate>
  <CharactersWithSpaces>3439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2025-01-23T00:55:00Z</dcterms:created>
  <dc:creator>预算处(税政处、编审中心)-王威</dc:creator>
  <cp:lastModifiedBy>WPS_1692752195</cp:lastModifiedBy>
  <cp:lastPrinted>2022-02-17T12:01:00Z</cp:lastPrinted>
  <dcterms:modified xsi:type="dcterms:W3CDTF">2025-01-24T08:49:44Z</dcterms:modified>
  <dc:title>辽宁省财政厅部门预算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