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1B9B8">
      <w:pPr>
        <w:spacing w:line="560" w:lineRule="exact"/>
        <w:jc w:val="center"/>
        <w:rPr>
          <w:rFonts w:hint="default" w:eastAsia="宋体"/>
          <w:b/>
          <w:sz w:val="44"/>
          <w:szCs w:val="44"/>
          <w:lang w:val="en-US" w:eastAsia="zh-CN"/>
        </w:rPr>
      </w:pPr>
      <w:r>
        <w:rPr>
          <w:rFonts w:hint="eastAsia"/>
          <w:b/>
          <w:sz w:val="44"/>
          <w:szCs w:val="44"/>
          <w:lang w:val="en-US" w:eastAsia="zh-CN"/>
        </w:rPr>
        <w:t>盘山县陈家学校2025年度部门预算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50E0E2B0">
      <w:pPr>
        <w:pStyle w:val="2"/>
        <w:rPr>
          <w:rFonts w:hint="eastAsia" w:eastAsia="仿宋_GB2312"/>
          <w:b/>
          <w:sz w:val="44"/>
          <w:szCs w:val="44"/>
          <w:lang w:val="en-US" w:eastAsia="zh-CN"/>
        </w:rPr>
      </w:pPr>
      <w:r>
        <w:rPr>
          <w:rFonts w:hint="eastAsia" w:eastAsia="仿宋_GB2312"/>
          <w:b/>
          <w:sz w:val="44"/>
          <w:szCs w:val="44"/>
          <w:lang w:val="en-US" w:eastAsia="zh-CN"/>
        </w:rPr>
        <w:t xml:space="preserve"> </w:t>
      </w:r>
    </w:p>
    <w:p w14:paraId="2E2D9302">
      <w:pPr>
        <w:rPr>
          <w:rFonts w:hint="eastAsia" w:eastAsia="仿宋_GB2312"/>
          <w:b/>
          <w:sz w:val="44"/>
          <w:szCs w:val="44"/>
          <w:lang w:val="en-US" w:eastAsia="zh-CN"/>
        </w:rPr>
      </w:pPr>
    </w:p>
    <w:p w14:paraId="4901407F">
      <w:pPr>
        <w:rPr>
          <w:rFonts w:hint="eastAsia" w:eastAsia="仿宋_GB2312"/>
          <w:b/>
          <w:sz w:val="44"/>
          <w:szCs w:val="44"/>
          <w:lang w:val="en-US" w:eastAsia="zh-CN"/>
        </w:rPr>
      </w:pPr>
    </w:p>
    <w:p w14:paraId="63618DA4">
      <w:pPr>
        <w:spacing w:line="560" w:lineRule="exact"/>
        <w:jc w:val="center"/>
        <w:rPr>
          <w:bCs/>
          <w:sz w:val="32"/>
          <w:szCs w:val="32"/>
          <w:u w:val="single"/>
        </w:rPr>
      </w:pPr>
    </w:p>
    <w:p w14:paraId="3EE6AF75">
      <w:pPr>
        <w:spacing w:line="560" w:lineRule="exact"/>
        <w:jc w:val="center"/>
        <w:rPr>
          <w:b/>
          <w:sz w:val="44"/>
          <w:szCs w:val="44"/>
          <w:u w:val="single"/>
        </w:rPr>
      </w:pPr>
    </w:p>
    <w:p w14:paraId="18EAF4A0">
      <w:pPr>
        <w:pStyle w:val="2"/>
      </w:pPr>
    </w:p>
    <w:p w14:paraId="6F407098">
      <w:pPr>
        <w:spacing w:line="560" w:lineRule="exact"/>
        <w:jc w:val="center"/>
        <w:rPr>
          <w:b/>
          <w:sz w:val="44"/>
          <w:szCs w:val="44"/>
          <w:u w:val="single"/>
        </w:rPr>
      </w:pPr>
    </w:p>
    <w:p w14:paraId="0B1BBE4E">
      <w:pPr>
        <w:spacing w:line="560" w:lineRule="exact"/>
        <w:jc w:val="both"/>
        <w:rPr>
          <w:rFonts w:hint="eastAsia"/>
          <w:b/>
          <w:sz w:val="44"/>
          <w:szCs w:val="44"/>
        </w:rPr>
      </w:pPr>
    </w:p>
    <w:p w14:paraId="0DD08EF0">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6EAAB84D">
      <w:pPr>
        <w:pStyle w:val="2"/>
        <w:rPr>
          <w:rFonts w:hint="eastAsia"/>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盘山县陈家学校概况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盘山县陈家学校</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sz w:val="32"/>
          <w:szCs w:val="32"/>
          <w:lang w:val="en-US" w:eastAsia="zh-CN"/>
        </w:rPr>
        <w:t>2025</w:t>
      </w:r>
      <w:r>
        <w:rPr>
          <w:rFonts w:hint="eastAsia" w:ascii="黑体" w:hAnsi="黑体" w:eastAsia="黑体"/>
          <w:sz w:val="32"/>
          <w:szCs w:val="32"/>
        </w:rPr>
        <w:t>年盘山县陈家学校</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盘山县陈家学校概况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353DBB6">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一）贯彻执行国家财税方针政策，拟订省财税规划、政策和改革方案并组织实施，分析预测经济形势，参与制定各项宏观经济政策，提出运用财税政策实施宏观调控和综合平衡社会财力的建议，拟订省与市县及企业的分配政策，完善鼓励公益事业发展的财税政策。承担国家和省相关区域性发展战略相关财政工作。</w:t>
      </w:r>
    </w:p>
    <w:p w14:paraId="1F7AC79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（二）起草财政、财务、会计管理的地方性法规和省政府规章草案，研究</w:t>
      </w:r>
      <w:r>
        <w:rPr>
          <w:rFonts w:hint="eastAsia" w:ascii="仿宋_GB2312" w:eastAsia="仿宋_GB2312"/>
          <w:sz w:val="32"/>
          <w:szCs w:val="32"/>
          <w:lang w:eastAsia="zh-CN"/>
        </w:rPr>
        <w:t>辽宁</w:t>
      </w:r>
      <w:r>
        <w:rPr>
          <w:rFonts w:hint="eastAsia" w:ascii="仿宋_GB2312" w:eastAsia="仿宋_GB2312"/>
          <w:sz w:val="32"/>
          <w:szCs w:val="32"/>
        </w:rPr>
        <w:t>省经济社会中的财税重大问题，围绕省委、省政府中心工作提出改进和完善政府管理、提高财政资金使用效益的建议。</w:t>
      </w:r>
    </w:p>
    <w:p w14:paraId="3D80B7F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（三）统筹管理省本级一般公共预算、政府性基金预算、国有资本经营预算、社会保险基金预算，负责编制省本级一般公共预算、政府性基金预算。</w:t>
      </w:r>
    </w:p>
    <w:p w14:paraId="48B77F6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）实施初中、小学义务教育，促进基础教育发展，初中学历教育，小学学历教育。</w:t>
      </w:r>
    </w:p>
    <w:p w14:paraId="4DF4973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）负责和指导学校教职工的思想政治工作，规划学校品德教育、体育卫生教育、艺术教育和国防教育工作，负责做好安全保卫工作。</w:t>
      </w:r>
    </w:p>
    <w:p w14:paraId="419F93B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）研究拟定学校发展规划和年度计划，组织实施教育体制和办学体制改革。</w:t>
      </w:r>
    </w:p>
    <w:p w14:paraId="38EC848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）管理和指导学校基础教育工作，确保普及九年义务教育工作成果。</w:t>
      </w:r>
    </w:p>
    <w:p w14:paraId="4FBFDA5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）管理学校教育经费，执行财务管理制度。</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hint="default" w:ascii="仿宋_GB2312" w:eastAsia="仿宋_GB2312"/>
          <w:b/>
          <w:sz w:val="32"/>
          <w:szCs w:val="32"/>
          <w:lang w:val="en-US" w:eastAsia="zh-CN"/>
        </w:rPr>
      </w:pPr>
      <w:r>
        <w:rPr>
          <w:rFonts w:hint="eastAsia" w:ascii="仿宋_GB2312" w:eastAsia="仿宋_GB2312"/>
          <w:b/>
          <w:sz w:val="32"/>
          <w:szCs w:val="32"/>
        </w:rPr>
        <w:t>纳入辽宁省财政厅</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w:t>
      </w:r>
      <w:r>
        <w:rPr>
          <w:rFonts w:hint="eastAsia" w:ascii="仿宋_GB2312" w:eastAsia="仿宋_GB2312"/>
          <w:b/>
          <w:sz w:val="32"/>
          <w:szCs w:val="32"/>
          <w:lang w:val="en-US" w:eastAsia="zh-CN"/>
        </w:rPr>
        <w:t>一</w:t>
      </w:r>
      <w:r>
        <w:rPr>
          <w:rFonts w:hint="eastAsia" w:ascii="仿宋_GB2312" w:eastAsia="仿宋_GB2312"/>
          <w:b/>
          <w:sz w:val="32"/>
          <w:szCs w:val="32"/>
        </w:rPr>
        <w:t>级预算单位包括：</w:t>
      </w:r>
      <w:r>
        <w:rPr>
          <w:rFonts w:hint="eastAsia" w:ascii="仿宋_GB2312" w:eastAsia="仿宋_GB2312"/>
          <w:b/>
          <w:sz w:val="32"/>
          <w:szCs w:val="32"/>
          <w:lang w:val="en-US" w:eastAsia="zh-CN"/>
        </w:rPr>
        <w:t>盘山县陈家学校</w:t>
      </w:r>
    </w:p>
    <w:p w14:paraId="3E43086E">
      <w:pPr>
        <w:spacing w:line="560" w:lineRule="exact"/>
        <w:ind w:firstLine="646" w:firstLineChars="200"/>
        <w:jc w:val="left"/>
        <w:rPr>
          <w:rFonts w:hint="eastAsia" w:ascii="仿宋_GB2312" w:eastAsia="仿宋_GB2312"/>
          <w:b/>
          <w:sz w:val="32"/>
          <w:szCs w:val="32"/>
        </w:rPr>
      </w:pPr>
      <w:r>
        <w:rPr>
          <w:rFonts w:hint="eastAsia" w:ascii="仿宋_GB2312" w:hAnsi="微软雅黑" w:eastAsia="仿宋_GB2312" w:cs="宋体"/>
          <w:color w:val="333333"/>
          <w:kern w:val="0"/>
          <w:sz w:val="32"/>
          <w:szCs w:val="32"/>
        </w:rPr>
        <w:t>根据本单位主要职责，内设机构如下：办公室、政教处</w:t>
      </w:r>
      <w:r>
        <w:rPr>
          <w:rFonts w:hint="eastAsia" w:ascii="微软雅黑" w:hAnsi="微软雅黑" w:eastAsia="微软雅黑" w:cs="宋体"/>
          <w:color w:val="333333"/>
          <w:kern w:val="0"/>
          <w:sz w:val="32"/>
          <w:szCs w:val="32"/>
        </w:rPr>
        <w:t> </w:t>
      </w:r>
      <w:r>
        <w:rPr>
          <w:rFonts w:hint="eastAsia" w:ascii="微软雅黑" w:hAnsi="微软雅黑" w:eastAsia="微软雅黑" w:cs="宋体"/>
          <w:color w:val="333333"/>
          <w:kern w:val="0"/>
          <w:sz w:val="32"/>
          <w:szCs w:val="32"/>
          <w:lang w:eastAsia="zh-CN"/>
        </w:rPr>
        <w:t>、</w:t>
      </w:r>
      <w:r>
        <w:rPr>
          <w:rFonts w:hint="eastAsia" w:ascii="仿宋_GB2312" w:hAnsi="微软雅黑" w:eastAsia="仿宋_GB2312" w:cs="宋体"/>
          <w:color w:val="333333"/>
          <w:kern w:val="0"/>
          <w:sz w:val="32"/>
          <w:szCs w:val="32"/>
        </w:rPr>
        <w:t>教务处、安全办公室、总务处、财会室、医务室、档案室。</w:t>
      </w: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盘山县陈家学校2025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1661.40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1652.40</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9</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9</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1661.40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1631.00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30.40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30.40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20.31</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w:t>
      </w:r>
      <w:r>
        <w:rPr>
          <w:rFonts w:hint="eastAsia" w:ascii="黑体" w:hAnsi="黑体" w:eastAsia="黑体"/>
          <w:sz w:val="32"/>
          <w:szCs w:val="32"/>
          <w:highlight w:val="none"/>
          <w:lang w:val="en-US" w:eastAsia="zh-CN"/>
        </w:rPr>
        <w:t>本年度新增项目支出</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盘山县陈家学校</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30.1</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义务教育学校农村教师差别化补贴</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11.76</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保安工资</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8.64</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；课后服务费</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9万元；城乡义务教育补助生均公用经费（县配套）</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1万元。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盘山县陈家学校</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2025年盘山县陈家学校安排政府采购预算0万元。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盘山县陈家学校</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盘山县陈家学校2025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盘山县陈家学校2025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30.40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绩效目标的项目覆盖率（实际编制绩效目标的数量/应编制绩效目标的数量）为XX%。</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51DBE68C">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DB6C1A"/>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371E77"/>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1127</Words>
  <Characters>1163</Characters>
  <Lines>22</Lines>
  <Paragraphs>6</Paragraphs>
  <TotalTime>1</TotalTime>
  <ScaleCrop>false</ScaleCrop>
  <LinksUpToDate>false</LinksUpToDate>
  <CharactersWithSpaces>1195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2025-02-12T02:05:36Z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4A65E9CD0414418085EEA63D65F37EF7_13</vt:lpwstr>
  </property>
</Properties>
</file>