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盘山县教师进修学校（盘山县体育事业学校）2025年度单位预算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4D23AEF0">
      <w:pPr>
        <w:spacing w:line="560" w:lineRule="exact"/>
        <w:jc w:val="center"/>
        <w:rPr>
          <w:rFonts w:hint="eastAsia"/>
          <w:b/>
          <w:sz w:val="44"/>
          <w:szCs w:val="44"/>
        </w:rPr>
      </w:pPr>
    </w:p>
    <w:p w14:paraId="0AF20592">
      <w:pPr>
        <w:spacing w:line="560" w:lineRule="exact"/>
        <w:jc w:val="center"/>
        <w:rPr>
          <w:rFonts w:hint="eastAsia"/>
          <w:b/>
          <w:sz w:val="44"/>
          <w:szCs w:val="44"/>
        </w:rPr>
      </w:pPr>
    </w:p>
    <w:p w14:paraId="1A9397A2">
      <w:pPr>
        <w:spacing w:line="560" w:lineRule="exact"/>
        <w:jc w:val="center"/>
        <w:rPr>
          <w:rFonts w:hint="eastAsia"/>
          <w:b/>
          <w:sz w:val="44"/>
          <w:szCs w:val="44"/>
        </w:rPr>
      </w:pPr>
    </w:p>
    <w:p w14:paraId="17944A03">
      <w:pPr>
        <w:spacing w:line="560" w:lineRule="exact"/>
        <w:jc w:val="center"/>
        <w:rPr>
          <w:rFonts w:hint="eastAsia"/>
          <w:b/>
          <w:sz w:val="44"/>
          <w:szCs w:val="44"/>
        </w:rPr>
      </w:pPr>
    </w:p>
    <w:p w14:paraId="2CB7A371">
      <w:pPr>
        <w:spacing w:line="560" w:lineRule="exact"/>
        <w:jc w:val="center"/>
        <w:rPr>
          <w:rFonts w:hint="eastAsia"/>
          <w:b/>
          <w:sz w:val="44"/>
          <w:szCs w:val="44"/>
        </w:rPr>
      </w:pPr>
    </w:p>
    <w:p w14:paraId="16CE711B">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盘山县教师进修学校（盘山县体育事业学校）</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盘山县教师进修学校（盘山县体育事业学校）2025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盘山县教师进修学校（盘山县体育事业学校）单位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0A2038A7">
      <w:pPr>
        <w:ind w:firstLine="645"/>
        <w:jc w:val="center"/>
        <w:rPr>
          <w:rFonts w:ascii="仿宋_GB2312" w:eastAsia="仿宋_GB2312"/>
          <w:sz w:val="32"/>
          <w:szCs w:val="32"/>
        </w:rPr>
      </w:pPr>
    </w:p>
    <w:p w14:paraId="7D3E642E">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6E38DCEA">
      <w:pPr>
        <w:rPr>
          <w:rFonts w:hint="eastAsia"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w:t>
      </w:r>
    </w:p>
    <w:p w14:paraId="3DCA151F">
      <w:pPr>
        <w:keepNext w:val="0"/>
        <w:keepLines w:val="0"/>
        <w:pageBreakBefore w:val="0"/>
        <w:widowControl w:val="0"/>
        <w:kinsoku/>
        <w:wordWrap/>
        <w:overflowPunct/>
        <w:topLinePunct w:val="0"/>
        <w:autoSpaceDE/>
        <w:autoSpaceDN/>
        <w:bidi w:val="0"/>
        <w:adjustRightInd/>
        <w:snapToGrid/>
        <w:ind w:firstLine="1292" w:firstLineChars="400"/>
        <w:textAlignment w:val="auto"/>
        <w:rPr>
          <w:rFonts w:ascii="宋体" w:hAnsi="宋体"/>
          <w:b/>
          <w:sz w:val="36"/>
          <w:szCs w:val="36"/>
        </w:rPr>
      </w:pPr>
      <w:r>
        <w:rPr>
          <w:rFonts w:hint="eastAsia" w:ascii="仿宋_GB2312" w:hAnsi="仿宋_GB2312" w:eastAsia="仿宋_GB2312" w:cs="仿宋_GB2312"/>
          <w:sz w:val="32"/>
          <w:szCs w:val="32"/>
        </w:rPr>
        <w:t>正文内容</w:t>
      </w:r>
    </w:p>
    <w:p w14:paraId="0E167E74">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sz w:val="32"/>
          <w:szCs w:val="32"/>
          <w:lang w:val="en-US" w:eastAsia="zh-CN"/>
        </w:rPr>
      </w:pP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盘山县教师进修学校（盘山县体育事业学校）</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7AC2D99">
      <w:pPr>
        <w:keepNext w:val="0"/>
        <w:keepLines w:val="0"/>
        <w:pageBreakBefore w:val="0"/>
        <w:widowControl w:val="0"/>
        <w:kinsoku/>
        <w:wordWrap/>
        <w:overflowPunct/>
        <w:topLinePunct w:val="0"/>
        <w:autoSpaceDE/>
        <w:autoSpaceDN/>
        <w:bidi w:val="0"/>
        <w:adjustRightInd/>
        <w:snapToGrid/>
        <w:ind w:firstLine="606" w:firstLineChars="200"/>
        <w:textAlignment w:val="auto"/>
        <w:rPr>
          <w:rFonts w:ascii="宋体" w:hAnsi="宋体" w:cs="仿宋_GB2312"/>
          <w:sz w:val="30"/>
          <w:szCs w:val="30"/>
        </w:rPr>
      </w:pPr>
      <w:r>
        <w:rPr>
          <w:rFonts w:hint="eastAsia" w:ascii="宋体" w:hAnsi="宋体"/>
          <w:sz w:val="30"/>
          <w:szCs w:val="30"/>
        </w:rPr>
        <w:t>（—）</w:t>
      </w:r>
      <w:r>
        <w:rPr>
          <w:rFonts w:hint="eastAsia" w:ascii="宋体" w:hAnsi="宋体" w:cs="仿宋_GB2312"/>
          <w:sz w:val="30"/>
          <w:szCs w:val="30"/>
        </w:rPr>
        <w:t>认真贯彻落实党的教育方针，弘扬社会主义核心价值观，积极配合教育行政部门做好教育教学指导工作。</w:t>
      </w:r>
    </w:p>
    <w:p w14:paraId="4CD722B1">
      <w:pPr>
        <w:keepNext w:val="0"/>
        <w:keepLines w:val="0"/>
        <w:pageBreakBefore w:val="0"/>
        <w:widowControl w:val="0"/>
        <w:kinsoku/>
        <w:wordWrap/>
        <w:overflowPunct/>
        <w:topLinePunct w:val="0"/>
        <w:autoSpaceDE/>
        <w:autoSpaceDN/>
        <w:bidi w:val="0"/>
        <w:adjustRightInd/>
        <w:snapToGrid/>
        <w:ind w:firstLine="606" w:firstLineChars="200"/>
        <w:textAlignment w:val="auto"/>
        <w:rPr>
          <w:rFonts w:ascii="宋体" w:hAnsi="宋体" w:cs="仿宋_GB2312"/>
          <w:sz w:val="30"/>
          <w:szCs w:val="30"/>
        </w:rPr>
      </w:pPr>
      <w:r>
        <w:rPr>
          <w:rFonts w:hint="eastAsia" w:ascii="宋体" w:hAnsi="宋体"/>
          <w:sz w:val="30"/>
          <w:szCs w:val="30"/>
        </w:rPr>
        <w:t>（二）</w:t>
      </w:r>
      <w:r>
        <w:rPr>
          <w:rFonts w:hint="eastAsia" w:ascii="宋体" w:hAnsi="宋体" w:cs="仿宋_GB2312"/>
          <w:sz w:val="30"/>
          <w:szCs w:val="30"/>
        </w:rPr>
        <w:t xml:space="preserve">负责实施全县中小学教师、幼儿园教师和中小学校长及幼儿园园长的培训工作，为全县中小学及幼儿园开展教师校本培训提供指导和服务。成为全县基础教育培训中心。                                                        </w:t>
      </w:r>
      <w:r>
        <w:rPr>
          <w:rFonts w:hint="eastAsia" w:ascii="宋体" w:hAnsi="宋体"/>
          <w:sz w:val="30"/>
          <w:szCs w:val="30"/>
        </w:rPr>
        <w:t>（三）</w:t>
      </w:r>
      <w:r>
        <w:rPr>
          <w:rFonts w:hint="eastAsia" w:ascii="宋体" w:hAnsi="宋体" w:cs="仿宋_GB2312"/>
          <w:sz w:val="30"/>
          <w:szCs w:val="30"/>
        </w:rPr>
        <w:t>承担全县基础教育阶段的课题立项与研究、成果的推广与普及工作，成为全县基础教育的科学研究中心。</w:t>
      </w:r>
    </w:p>
    <w:p w14:paraId="6C17B86A">
      <w:pPr>
        <w:keepNext w:val="0"/>
        <w:keepLines w:val="0"/>
        <w:pageBreakBefore w:val="0"/>
        <w:widowControl w:val="0"/>
        <w:kinsoku/>
        <w:wordWrap/>
        <w:overflowPunct/>
        <w:topLinePunct w:val="0"/>
        <w:autoSpaceDE/>
        <w:autoSpaceDN/>
        <w:bidi w:val="0"/>
        <w:adjustRightInd/>
        <w:snapToGrid/>
        <w:ind w:firstLine="606" w:firstLineChars="200"/>
        <w:textAlignment w:val="auto"/>
        <w:rPr>
          <w:rFonts w:ascii="宋体" w:hAnsi="宋体" w:cs="仿宋_GB2312"/>
          <w:sz w:val="30"/>
          <w:szCs w:val="30"/>
        </w:rPr>
      </w:pPr>
      <w:r>
        <w:rPr>
          <w:rFonts w:hint="eastAsia" w:ascii="宋体" w:hAnsi="宋体"/>
          <w:sz w:val="30"/>
          <w:szCs w:val="30"/>
        </w:rPr>
        <w:t>（四）</w:t>
      </w:r>
      <w:r>
        <w:rPr>
          <w:rFonts w:hint="eastAsia" w:ascii="宋体" w:hAnsi="宋体" w:cs="仿宋_GB2312"/>
          <w:sz w:val="30"/>
          <w:szCs w:val="30"/>
        </w:rPr>
        <w:t>承担全县基础教育新课程、教材和教法的培训、研究工作，成为全县中小学及幼儿园教师教育教学研究中心。</w:t>
      </w:r>
    </w:p>
    <w:p w14:paraId="3F8727FF">
      <w:pPr>
        <w:keepNext w:val="0"/>
        <w:keepLines w:val="0"/>
        <w:pageBreakBefore w:val="0"/>
        <w:widowControl w:val="0"/>
        <w:kinsoku/>
        <w:wordWrap/>
        <w:overflowPunct/>
        <w:topLinePunct w:val="0"/>
        <w:autoSpaceDE/>
        <w:autoSpaceDN/>
        <w:bidi w:val="0"/>
        <w:adjustRightInd/>
        <w:snapToGrid/>
        <w:ind w:firstLine="606" w:firstLineChars="200"/>
        <w:textAlignment w:val="auto"/>
        <w:rPr>
          <w:rFonts w:ascii="宋体" w:hAnsi="宋体" w:cs="仿宋_GB2312"/>
          <w:sz w:val="30"/>
          <w:szCs w:val="30"/>
        </w:rPr>
      </w:pPr>
      <w:r>
        <w:rPr>
          <w:rFonts w:hint="eastAsia" w:ascii="宋体" w:hAnsi="宋体"/>
          <w:sz w:val="30"/>
          <w:szCs w:val="30"/>
        </w:rPr>
        <w:t>（五）</w:t>
      </w:r>
      <w:r>
        <w:rPr>
          <w:rFonts w:hint="eastAsia" w:ascii="宋体" w:hAnsi="宋体" w:cs="仿宋_GB2312"/>
          <w:sz w:val="30"/>
          <w:szCs w:val="30"/>
        </w:rPr>
        <w:t>指导中小学及幼儿园教师教育教学的学习、实践和研究，推动教改实验的深入开展，不断提高教师的专业化水平，成为全县基础教育改革实验中心。</w:t>
      </w:r>
    </w:p>
    <w:p w14:paraId="481FEA0E">
      <w:pPr>
        <w:keepNext w:val="0"/>
        <w:keepLines w:val="0"/>
        <w:pageBreakBefore w:val="0"/>
        <w:widowControl w:val="0"/>
        <w:kinsoku/>
        <w:wordWrap/>
        <w:overflowPunct/>
        <w:topLinePunct w:val="0"/>
        <w:autoSpaceDE/>
        <w:autoSpaceDN/>
        <w:bidi w:val="0"/>
        <w:adjustRightInd/>
        <w:snapToGrid/>
        <w:ind w:firstLine="606" w:firstLineChars="200"/>
        <w:textAlignment w:val="auto"/>
        <w:rPr>
          <w:rFonts w:ascii="宋体" w:hAnsi="宋体" w:cs="仿宋_GB2312"/>
          <w:sz w:val="30"/>
          <w:szCs w:val="30"/>
        </w:rPr>
      </w:pPr>
      <w:r>
        <w:rPr>
          <w:rFonts w:hint="eastAsia" w:ascii="宋体" w:hAnsi="宋体"/>
          <w:sz w:val="30"/>
          <w:szCs w:val="30"/>
        </w:rPr>
        <w:t>（六）</w:t>
      </w:r>
      <w:r>
        <w:rPr>
          <w:rFonts w:hint="eastAsia" w:ascii="宋体" w:hAnsi="宋体" w:cs="仿宋_GB2312"/>
          <w:sz w:val="30"/>
          <w:szCs w:val="30"/>
        </w:rPr>
        <w:t>为全县中小学信息技术、现代教育技术和现代远程教育提供帮助、支持和服务，成为全县基础教育信息中心。</w:t>
      </w:r>
    </w:p>
    <w:p w14:paraId="3546320C">
      <w:pPr>
        <w:keepNext w:val="0"/>
        <w:keepLines w:val="0"/>
        <w:pageBreakBefore w:val="0"/>
        <w:widowControl w:val="0"/>
        <w:kinsoku/>
        <w:wordWrap/>
        <w:overflowPunct/>
        <w:topLinePunct w:val="0"/>
        <w:autoSpaceDE/>
        <w:autoSpaceDN/>
        <w:bidi w:val="0"/>
        <w:adjustRightInd/>
        <w:snapToGrid/>
        <w:ind w:firstLine="606" w:firstLineChars="200"/>
        <w:textAlignment w:val="auto"/>
        <w:rPr>
          <w:rFonts w:hint="eastAsia" w:ascii="宋体" w:hAnsi="宋体" w:cs="仿宋_GB2312"/>
          <w:sz w:val="30"/>
          <w:szCs w:val="30"/>
        </w:rPr>
      </w:pPr>
      <w:r>
        <w:rPr>
          <w:rFonts w:hint="eastAsia" w:ascii="宋体" w:hAnsi="宋体"/>
          <w:sz w:val="30"/>
          <w:szCs w:val="30"/>
        </w:rPr>
        <w:t>（七）</w:t>
      </w:r>
      <w:r>
        <w:rPr>
          <w:rFonts w:hint="eastAsia" w:ascii="宋体" w:hAnsi="宋体" w:cs="仿宋_GB2312"/>
          <w:sz w:val="30"/>
          <w:szCs w:val="30"/>
        </w:rPr>
        <w:t>为全县中小学及幼儿园教师研修学习提供必要的场所、设施、设备和资源等良好环境，辅导和帮助他们充分利用各种信息资源开展自主学习。</w:t>
      </w:r>
    </w:p>
    <w:p w14:paraId="677B2936">
      <w:pPr>
        <w:keepNext w:val="0"/>
        <w:keepLines w:val="0"/>
        <w:pageBreakBefore w:val="0"/>
        <w:widowControl w:val="0"/>
        <w:kinsoku/>
        <w:wordWrap/>
        <w:overflowPunct/>
        <w:topLinePunct w:val="0"/>
        <w:autoSpaceDE/>
        <w:autoSpaceDN/>
        <w:bidi w:val="0"/>
        <w:adjustRightInd/>
        <w:snapToGrid/>
        <w:ind w:firstLine="606" w:firstLineChars="200"/>
        <w:textAlignment w:val="auto"/>
        <w:rPr>
          <w:rFonts w:ascii="宋体" w:hAnsi="宋体" w:cs="仿宋_GB2312"/>
          <w:sz w:val="30"/>
          <w:szCs w:val="30"/>
        </w:rPr>
      </w:pPr>
      <w:r>
        <w:rPr>
          <w:rFonts w:hint="eastAsia" w:ascii="宋体" w:hAnsi="宋体"/>
          <w:sz w:val="30"/>
          <w:szCs w:val="30"/>
        </w:rPr>
        <w:t>（八）</w:t>
      </w:r>
      <w:r>
        <w:rPr>
          <w:rFonts w:hint="eastAsia" w:ascii="宋体" w:hAnsi="宋体" w:cs="仿宋_GB2312"/>
          <w:sz w:val="30"/>
          <w:szCs w:val="30"/>
        </w:rPr>
        <w:t>配合教育行政部门做好全县有关中小学及幼儿园教师继续教育的组织、评价工作。</w:t>
      </w:r>
    </w:p>
    <w:p w14:paraId="23008C81">
      <w:pPr>
        <w:keepNext w:val="0"/>
        <w:keepLines w:val="0"/>
        <w:pageBreakBefore w:val="0"/>
        <w:widowControl w:val="0"/>
        <w:kinsoku/>
        <w:wordWrap/>
        <w:overflowPunct/>
        <w:topLinePunct w:val="0"/>
        <w:autoSpaceDE/>
        <w:autoSpaceDN/>
        <w:bidi w:val="0"/>
        <w:adjustRightInd/>
        <w:snapToGrid/>
        <w:spacing w:line="540" w:lineRule="exact"/>
        <w:ind w:firstLine="606" w:firstLineChars="200"/>
        <w:jc w:val="left"/>
        <w:textAlignment w:val="auto"/>
        <w:rPr>
          <w:rFonts w:hint="eastAsia" w:ascii="宋体" w:hAnsi="宋体"/>
          <w:sz w:val="30"/>
          <w:szCs w:val="30"/>
        </w:rPr>
      </w:pPr>
      <w:r>
        <w:rPr>
          <w:rFonts w:hint="eastAsia" w:ascii="宋体" w:hAnsi="宋体"/>
          <w:sz w:val="30"/>
          <w:szCs w:val="30"/>
        </w:rPr>
        <w:t>（九）通过与高等院校、教科研机构联合或合作办学，积极探索以中小学及幼儿园教师继续教育为主的多元化办学形式，提高教师学历层次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9384D75">
      <w:pPr>
        <w:spacing w:line="560" w:lineRule="exact"/>
        <w:ind w:firstLine="646" w:firstLineChars="200"/>
        <w:jc w:val="left"/>
        <w:rPr>
          <w:rFonts w:hint="eastAsia" w:ascii="宋体" w:hAnsi="宋体"/>
          <w:sz w:val="30"/>
          <w:szCs w:val="30"/>
          <w:lang w:val="en-US" w:eastAsia="zh-CN"/>
        </w:rPr>
      </w:pPr>
      <w:r>
        <w:rPr>
          <w:rFonts w:hint="eastAsia" w:ascii="仿宋_GB2312" w:eastAsia="仿宋_GB2312"/>
          <w:b/>
          <w:sz w:val="32"/>
          <w:szCs w:val="32"/>
        </w:rPr>
        <w:t>纳入</w:t>
      </w:r>
      <w:r>
        <w:rPr>
          <w:rFonts w:hint="eastAsia" w:ascii="仿宋_GB2312" w:eastAsia="仿宋_GB2312"/>
          <w:b/>
          <w:sz w:val="32"/>
          <w:szCs w:val="32"/>
          <w:lang w:val="en-US" w:eastAsia="zh-CN"/>
        </w:rPr>
        <w:t>盘山县教师进修学校（盘山县体育事业学校）2025</w:t>
      </w:r>
      <w:r>
        <w:rPr>
          <w:rFonts w:hint="eastAsia" w:ascii="仿宋_GB2312" w:eastAsia="仿宋_GB2312"/>
          <w:b/>
          <w:sz w:val="32"/>
          <w:szCs w:val="32"/>
        </w:rPr>
        <w:t>年部门预算编制范围的二级预算单位包括：</w:t>
      </w:r>
      <w:r>
        <w:rPr>
          <w:rFonts w:hint="eastAsia" w:ascii="宋体" w:hAnsi="宋体"/>
          <w:sz w:val="30"/>
          <w:szCs w:val="30"/>
          <w:lang w:val="en-US" w:eastAsia="zh-CN"/>
        </w:rPr>
        <w:t>盘山县教师进修学校（盘山县体育事业学校）</w:t>
      </w:r>
    </w:p>
    <w:p w14:paraId="11946EF9">
      <w:pPr>
        <w:keepNext w:val="0"/>
        <w:keepLines w:val="0"/>
        <w:pageBreakBefore w:val="0"/>
        <w:widowControl w:val="0"/>
        <w:kinsoku/>
        <w:wordWrap/>
        <w:overflowPunct/>
        <w:topLinePunct w:val="0"/>
        <w:autoSpaceDE/>
        <w:autoSpaceDN/>
        <w:bidi w:val="0"/>
        <w:adjustRightInd/>
        <w:snapToGrid/>
        <w:spacing w:line="540" w:lineRule="exact"/>
        <w:ind w:firstLine="606" w:firstLineChars="200"/>
        <w:jc w:val="left"/>
        <w:textAlignment w:val="auto"/>
        <w:rPr>
          <w:rFonts w:hint="eastAsia" w:ascii="宋体" w:hAnsi="宋体"/>
          <w:sz w:val="30"/>
          <w:szCs w:val="30"/>
          <w:lang w:val="en-US" w:eastAsia="zh-CN"/>
        </w:rPr>
      </w:pPr>
      <w:r>
        <w:rPr>
          <w:rFonts w:hint="eastAsia" w:ascii="宋体" w:hAnsi="宋体"/>
          <w:sz w:val="30"/>
          <w:szCs w:val="30"/>
          <w:lang w:val="en-US" w:eastAsia="zh-CN"/>
        </w:rPr>
        <w:t>盘山县教师进修学校（盘山县体育事业学校）内设7个部室，分别是办公室、中学研训部、小学研训部、学前研训部、科研部、培训部，党建部</w:t>
      </w: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1127E78A">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盘山县教师进修学校（盘山县体育事业学校）2025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987.12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987.12</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987.12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969.12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18</w:t>
      </w:r>
      <w:r>
        <w:rPr>
          <w:rFonts w:hint="eastAsia" w:ascii="仿宋_GB2312" w:eastAsia="仿宋_GB2312"/>
          <w:sz w:val="32"/>
          <w:szCs w:val="32"/>
          <w:highlight w:val="none"/>
        </w:rPr>
        <w:t>万元。</w:t>
      </w:r>
    </w:p>
    <w:p w14:paraId="3B4F748E">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教育支出</w:t>
      </w:r>
      <w:r>
        <w:rPr>
          <w:rFonts w:hint="eastAsia" w:ascii="仿宋_GB2312" w:eastAsia="仿宋_GB2312" w:cs="仿宋_GB2312"/>
          <w:color w:val="auto"/>
          <w:sz w:val="32"/>
          <w:szCs w:val="32"/>
          <w:highlight w:val="none"/>
          <w:lang w:val="en-US" w:eastAsia="zh-CN"/>
        </w:rPr>
        <w:t>638.7</w:t>
      </w:r>
      <w:r>
        <w:rPr>
          <w:rFonts w:hint="eastAsia" w:ascii="仿宋_GB2312" w:eastAsia="仿宋_GB2312" w:cs="仿宋_GB2312"/>
          <w:color w:val="auto"/>
          <w:sz w:val="32"/>
          <w:szCs w:val="32"/>
          <w:highlight w:val="none"/>
        </w:rPr>
        <w:t>万元，社会保障和就业支出</w:t>
      </w:r>
      <w:r>
        <w:rPr>
          <w:rFonts w:hint="eastAsia" w:ascii="仿宋_GB2312" w:eastAsia="仿宋_GB2312" w:cs="仿宋_GB2312"/>
          <w:color w:val="auto"/>
          <w:sz w:val="32"/>
          <w:szCs w:val="32"/>
          <w:highlight w:val="none"/>
          <w:lang w:val="en-US" w:eastAsia="zh-CN"/>
        </w:rPr>
        <w:t>232.73</w:t>
      </w:r>
      <w:r>
        <w:rPr>
          <w:rFonts w:hint="eastAsia" w:ascii="仿宋_GB2312" w:eastAsia="仿宋_GB2312" w:cs="仿宋_GB2312"/>
          <w:color w:val="auto"/>
          <w:sz w:val="32"/>
          <w:szCs w:val="32"/>
          <w:highlight w:val="none"/>
        </w:rPr>
        <w:t>万元，卫生健康支出</w:t>
      </w:r>
      <w:r>
        <w:rPr>
          <w:rFonts w:hint="eastAsia" w:ascii="仿宋_GB2312" w:eastAsia="仿宋_GB2312" w:cs="仿宋_GB2312"/>
          <w:color w:val="auto"/>
          <w:sz w:val="32"/>
          <w:szCs w:val="32"/>
          <w:highlight w:val="none"/>
          <w:lang w:val="en-US" w:eastAsia="zh-CN"/>
        </w:rPr>
        <w:t>41.16</w:t>
      </w:r>
      <w:r>
        <w:rPr>
          <w:rFonts w:hint="eastAsia" w:ascii="仿宋_GB2312" w:eastAsia="仿宋_GB2312" w:cs="仿宋_GB2312"/>
          <w:color w:val="auto"/>
          <w:sz w:val="32"/>
          <w:szCs w:val="32"/>
          <w:highlight w:val="none"/>
        </w:rPr>
        <w:t>万元，住房保障支出</w:t>
      </w:r>
      <w:r>
        <w:rPr>
          <w:rFonts w:hint="eastAsia" w:ascii="仿宋_GB2312" w:eastAsia="仿宋_GB2312" w:cs="仿宋_GB2312"/>
          <w:color w:val="auto"/>
          <w:sz w:val="32"/>
          <w:szCs w:val="32"/>
          <w:highlight w:val="none"/>
          <w:lang w:val="en-US" w:eastAsia="zh-CN"/>
        </w:rPr>
        <w:t>74.53</w:t>
      </w:r>
      <w:r>
        <w:rPr>
          <w:rFonts w:hint="eastAsia" w:ascii="仿宋_GB2312" w:eastAsia="仿宋_GB2312" w:cs="仿宋_GB2312"/>
          <w:color w:val="auto"/>
          <w:sz w:val="32"/>
          <w:szCs w:val="32"/>
          <w:highlight w:val="none"/>
        </w:rPr>
        <w:t>万元</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18</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100.18</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报预算时人员增加</w:t>
      </w:r>
      <w:r>
        <w:rPr>
          <w:rFonts w:hint="eastAsia" w:ascii="仿宋_GB2312" w:eastAsia="仿宋_GB2312" w:cs="仿宋_GB2312"/>
          <w:sz w:val="32"/>
          <w:szCs w:val="32"/>
          <w:highlight w:val="none"/>
          <w:lang w:val="en-US" w:eastAsia="zh-CN"/>
        </w:rPr>
        <w:t>，</w:t>
      </w:r>
      <w:r>
        <w:rPr>
          <w:rFonts w:hint="eastAsia" w:ascii="黑体" w:hAnsi="黑体" w:eastAsia="黑体"/>
          <w:sz w:val="32"/>
          <w:szCs w:val="32"/>
          <w:highlight w:val="none"/>
          <w:lang w:val="en-US" w:eastAsia="zh-CN"/>
        </w:rPr>
        <w:t>使得工资、各项保险费用等增加。</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盘山县教师进修学校（盘山县体育事业学校）</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盘山县教师进修学校（盘山县体育事业学校）</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盘山县教师进修学校（盘山县体育事业学校）</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盘山县教师进修学校（盘山县体育事业学校）</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本单位无</w:t>
      </w:r>
      <w:r>
        <w:rPr>
          <w:rFonts w:hint="eastAsia" w:ascii="仿宋_GB2312" w:eastAsia="仿宋_GB2312"/>
          <w:sz w:val="32"/>
          <w:szCs w:val="32"/>
        </w:rPr>
        <w:t>因公出国（境）费。</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w:t>
      </w:r>
      <w:r>
        <w:rPr>
          <w:rFonts w:hint="eastAsia" w:ascii="仿宋_GB2312" w:eastAsia="仿宋_GB2312"/>
          <w:sz w:val="32"/>
          <w:szCs w:val="32"/>
          <w:lang w:val="en-US" w:eastAsia="zh-CN"/>
        </w:rPr>
        <w:t>为本单位无公务接待费</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本单位无公务用车</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bookmarkStart w:id="0" w:name="_GoBack"/>
            <w:bookmarkEnd w:id="0"/>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盘山县教师进修学校（盘山县体育事业学校）2025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盘山县教师进修学校（盘山县体育事业学校）2025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7F670F58">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E0507A"/>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B80060"/>
    <w:rsid w:val="17DB16D2"/>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4E548AE"/>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1D379F0"/>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9C44D0"/>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3151</Words>
  <Characters>3288</Characters>
  <Lines>22</Lines>
  <Paragraphs>6</Paragraphs>
  <TotalTime>1</TotalTime>
  <ScaleCrop>false</ScaleCrop>
  <LinksUpToDate>false</LinksUpToDate>
  <CharactersWithSpaces>3382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2025-01-24T08:40:20Z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2B2FD83F0D8848E680B22366C311B215_13</vt:lpwstr>
  </property>
</Properties>
</file>