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color w:val="auto"/>
          <w:sz w:val="44"/>
          <w:szCs w:val="44"/>
        </w:rPr>
      </w:pPr>
      <w:bookmarkStart w:id="0" w:name="_GoBack"/>
      <w:bookmarkEnd w:id="0"/>
    </w:p>
    <w:p w14:paraId="6BCADCF3">
      <w:pPr>
        <w:spacing w:line="560" w:lineRule="exact"/>
        <w:jc w:val="center"/>
        <w:rPr>
          <w:rFonts w:hint="eastAsia"/>
          <w:b/>
          <w:color w:val="auto"/>
          <w:sz w:val="44"/>
          <w:szCs w:val="44"/>
          <w:lang w:eastAsia="zh-CN"/>
        </w:rPr>
      </w:pPr>
      <w:r>
        <w:rPr>
          <w:rFonts w:hint="eastAsia"/>
          <w:b/>
          <w:color w:val="auto"/>
          <w:sz w:val="44"/>
          <w:szCs w:val="44"/>
          <w:lang w:eastAsia="zh-CN"/>
        </w:rPr>
        <w:t>盘山县工业和信息化局（本级）</w:t>
      </w:r>
    </w:p>
    <w:p w14:paraId="4301B9B8">
      <w:pPr>
        <w:spacing w:line="560" w:lineRule="exact"/>
        <w:jc w:val="center"/>
        <w:rPr>
          <w:rFonts w:hint="default" w:eastAsia="宋体"/>
          <w:b/>
          <w:color w:val="auto"/>
          <w:sz w:val="44"/>
          <w:szCs w:val="44"/>
          <w:lang w:val="en-US" w:eastAsia="zh-CN"/>
        </w:rPr>
      </w:pPr>
      <w:r>
        <w:rPr>
          <w:rFonts w:hint="eastAsia"/>
          <w:b/>
          <w:color w:val="auto"/>
          <w:sz w:val="44"/>
          <w:szCs w:val="44"/>
          <w:lang w:val="en-US" w:eastAsia="zh-CN"/>
        </w:rPr>
        <w:t>2025年度单位预算公开说明</w:t>
      </w:r>
    </w:p>
    <w:p w14:paraId="7E2E7C10">
      <w:pPr>
        <w:spacing w:line="560" w:lineRule="exact"/>
        <w:jc w:val="center"/>
        <w:rPr>
          <w:rFonts w:hint="eastAsia"/>
          <w:b/>
          <w:color w:val="auto"/>
          <w:sz w:val="44"/>
          <w:szCs w:val="44"/>
        </w:rPr>
      </w:pPr>
    </w:p>
    <w:p w14:paraId="312294EA">
      <w:pPr>
        <w:spacing w:line="560" w:lineRule="exact"/>
        <w:jc w:val="center"/>
        <w:rPr>
          <w:rFonts w:hint="eastAsia"/>
          <w:b/>
          <w:color w:val="auto"/>
          <w:sz w:val="44"/>
          <w:szCs w:val="44"/>
        </w:rPr>
      </w:pPr>
    </w:p>
    <w:p w14:paraId="0B6A1216">
      <w:pPr>
        <w:spacing w:line="560" w:lineRule="exact"/>
        <w:jc w:val="center"/>
        <w:rPr>
          <w:rFonts w:hint="eastAsia"/>
          <w:b/>
          <w:color w:val="auto"/>
          <w:sz w:val="44"/>
          <w:szCs w:val="44"/>
        </w:rPr>
      </w:pPr>
    </w:p>
    <w:p w14:paraId="74A47416">
      <w:pPr>
        <w:spacing w:line="560" w:lineRule="exact"/>
        <w:jc w:val="center"/>
        <w:rPr>
          <w:rFonts w:hint="eastAsia"/>
          <w:b/>
          <w:color w:val="auto"/>
          <w:sz w:val="44"/>
          <w:szCs w:val="44"/>
        </w:rPr>
      </w:pPr>
    </w:p>
    <w:p w14:paraId="63AAB97A">
      <w:pPr>
        <w:spacing w:line="560" w:lineRule="exact"/>
        <w:jc w:val="center"/>
        <w:rPr>
          <w:rFonts w:hint="eastAsia"/>
          <w:b/>
          <w:color w:val="auto"/>
          <w:sz w:val="44"/>
          <w:szCs w:val="44"/>
        </w:rPr>
      </w:pPr>
    </w:p>
    <w:p w14:paraId="6F1F209F">
      <w:pPr>
        <w:spacing w:line="560" w:lineRule="exact"/>
        <w:jc w:val="center"/>
        <w:rPr>
          <w:rFonts w:hint="eastAsia"/>
          <w:b/>
          <w:color w:val="auto"/>
          <w:sz w:val="44"/>
          <w:szCs w:val="44"/>
        </w:rPr>
      </w:pPr>
    </w:p>
    <w:p w14:paraId="33F0973B">
      <w:pPr>
        <w:spacing w:line="560" w:lineRule="exact"/>
        <w:jc w:val="center"/>
        <w:rPr>
          <w:rFonts w:hint="eastAsia"/>
          <w:b/>
          <w:color w:val="auto"/>
          <w:sz w:val="44"/>
          <w:szCs w:val="44"/>
        </w:rPr>
      </w:pPr>
    </w:p>
    <w:p w14:paraId="309382A2">
      <w:pPr>
        <w:spacing w:line="560" w:lineRule="exact"/>
        <w:jc w:val="center"/>
        <w:rPr>
          <w:rFonts w:hint="eastAsia"/>
          <w:b/>
          <w:color w:val="auto"/>
          <w:sz w:val="44"/>
          <w:szCs w:val="44"/>
        </w:rPr>
      </w:pPr>
    </w:p>
    <w:p w14:paraId="07EBAF40">
      <w:pPr>
        <w:spacing w:line="560" w:lineRule="exact"/>
        <w:jc w:val="center"/>
        <w:rPr>
          <w:rFonts w:hint="eastAsia"/>
          <w:b/>
          <w:color w:val="auto"/>
          <w:sz w:val="44"/>
          <w:szCs w:val="44"/>
        </w:rPr>
      </w:pPr>
    </w:p>
    <w:p w14:paraId="2EAE05F9">
      <w:pPr>
        <w:spacing w:line="560" w:lineRule="exact"/>
        <w:jc w:val="center"/>
        <w:rPr>
          <w:rFonts w:hint="eastAsia"/>
          <w:b/>
          <w:color w:val="auto"/>
          <w:sz w:val="44"/>
          <w:szCs w:val="44"/>
        </w:rPr>
      </w:pPr>
    </w:p>
    <w:p w14:paraId="73A2F654">
      <w:pPr>
        <w:spacing w:line="560" w:lineRule="exact"/>
        <w:jc w:val="center"/>
        <w:rPr>
          <w:rFonts w:hint="eastAsia"/>
          <w:b/>
          <w:color w:val="auto"/>
          <w:sz w:val="44"/>
          <w:szCs w:val="44"/>
        </w:rPr>
      </w:pPr>
    </w:p>
    <w:p w14:paraId="3A200C95">
      <w:pPr>
        <w:spacing w:line="560" w:lineRule="exact"/>
        <w:jc w:val="center"/>
        <w:rPr>
          <w:rFonts w:hint="eastAsia"/>
          <w:b/>
          <w:color w:val="auto"/>
          <w:sz w:val="44"/>
          <w:szCs w:val="44"/>
        </w:rPr>
      </w:pPr>
    </w:p>
    <w:p w14:paraId="620EEEE3">
      <w:pPr>
        <w:spacing w:line="560" w:lineRule="exact"/>
        <w:jc w:val="center"/>
        <w:rPr>
          <w:rFonts w:hint="eastAsia"/>
          <w:b/>
          <w:color w:val="auto"/>
          <w:sz w:val="44"/>
          <w:szCs w:val="44"/>
        </w:rPr>
      </w:pPr>
    </w:p>
    <w:p w14:paraId="4AC62345">
      <w:pPr>
        <w:spacing w:line="560" w:lineRule="exact"/>
        <w:jc w:val="center"/>
        <w:rPr>
          <w:rFonts w:hint="eastAsia"/>
          <w:b/>
          <w:color w:val="auto"/>
          <w:sz w:val="44"/>
          <w:szCs w:val="44"/>
        </w:rPr>
      </w:pPr>
    </w:p>
    <w:p w14:paraId="03944712">
      <w:pPr>
        <w:spacing w:line="560" w:lineRule="exact"/>
        <w:jc w:val="center"/>
        <w:rPr>
          <w:rFonts w:hint="eastAsia"/>
          <w:b/>
          <w:color w:val="auto"/>
          <w:sz w:val="44"/>
          <w:szCs w:val="44"/>
        </w:rPr>
      </w:pPr>
    </w:p>
    <w:p w14:paraId="02F757D8">
      <w:pPr>
        <w:spacing w:line="560" w:lineRule="exact"/>
        <w:jc w:val="center"/>
        <w:rPr>
          <w:rFonts w:hint="eastAsia"/>
          <w:b/>
          <w:color w:val="auto"/>
          <w:sz w:val="44"/>
          <w:szCs w:val="44"/>
        </w:rPr>
      </w:pPr>
    </w:p>
    <w:p w14:paraId="5AEC5355">
      <w:pPr>
        <w:spacing w:line="560" w:lineRule="exact"/>
        <w:jc w:val="center"/>
        <w:rPr>
          <w:rFonts w:hint="eastAsia"/>
          <w:b/>
          <w:color w:val="auto"/>
          <w:sz w:val="44"/>
          <w:szCs w:val="44"/>
        </w:rPr>
      </w:pPr>
    </w:p>
    <w:p w14:paraId="3DDF6135">
      <w:pPr>
        <w:spacing w:line="560" w:lineRule="exact"/>
        <w:jc w:val="center"/>
        <w:rPr>
          <w:rFonts w:hint="eastAsia"/>
          <w:b/>
          <w:color w:val="auto"/>
          <w:sz w:val="44"/>
          <w:szCs w:val="44"/>
        </w:rPr>
      </w:pPr>
    </w:p>
    <w:p w14:paraId="47F6C71C">
      <w:pPr>
        <w:spacing w:line="560" w:lineRule="exact"/>
        <w:jc w:val="center"/>
        <w:rPr>
          <w:rFonts w:hint="eastAsia"/>
          <w:b/>
          <w:color w:val="auto"/>
          <w:sz w:val="44"/>
          <w:szCs w:val="44"/>
        </w:rPr>
      </w:pPr>
    </w:p>
    <w:p w14:paraId="6F868963">
      <w:pPr>
        <w:spacing w:line="560" w:lineRule="exact"/>
        <w:jc w:val="center"/>
        <w:rPr>
          <w:rFonts w:hint="eastAsia"/>
          <w:b/>
          <w:color w:val="auto"/>
          <w:sz w:val="44"/>
          <w:szCs w:val="44"/>
        </w:rPr>
      </w:pPr>
    </w:p>
    <w:p w14:paraId="4424BEE0">
      <w:pPr>
        <w:spacing w:line="560" w:lineRule="exact"/>
        <w:jc w:val="center"/>
        <w:rPr>
          <w:rFonts w:hint="eastAsia"/>
          <w:b/>
          <w:color w:val="auto"/>
          <w:sz w:val="44"/>
          <w:szCs w:val="44"/>
        </w:rPr>
      </w:pPr>
    </w:p>
    <w:p w14:paraId="18CCB415">
      <w:pPr>
        <w:spacing w:line="560" w:lineRule="exact"/>
        <w:jc w:val="center"/>
        <w:rPr>
          <w:rFonts w:hint="eastAsia"/>
          <w:b/>
          <w:color w:val="auto"/>
          <w:sz w:val="44"/>
          <w:szCs w:val="44"/>
        </w:rPr>
      </w:pPr>
    </w:p>
    <w:p w14:paraId="5093AA6A">
      <w:pPr>
        <w:spacing w:line="560" w:lineRule="exact"/>
        <w:jc w:val="center"/>
        <w:rPr>
          <w:b/>
          <w:color w:val="auto"/>
          <w:sz w:val="44"/>
          <w:szCs w:val="44"/>
        </w:rPr>
      </w:pPr>
      <w:r>
        <w:rPr>
          <w:rFonts w:hint="eastAsia"/>
          <w:b/>
          <w:color w:val="auto"/>
          <w:sz w:val="44"/>
          <w:szCs w:val="44"/>
        </w:rPr>
        <w:t>目    录</w:t>
      </w:r>
    </w:p>
    <w:p w14:paraId="7FF75229">
      <w:pPr>
        <w:spacing w:line="560" w:lineRule="exact"/>
        <w:rPr>
          <w:b/>
          <w:color w:val="auto"/>
          <w:sz w:val="44"/>
          <w:szCs w:val="44"/>
          <w:u w:val="single"/>
        </w:rPr>
      </w:pPr>
    </w:p>
    <w:p w14:paraId="5976136E">
      <w:pPr>
        <w:spacing w:line="560" w:lineRule="exact"/>
        <w:rPr>
          <w:b/>
          <w:color w:val="auto"/>
          <w:sz w:val="44"/>
          <w:szCs w:val="44"/>
          <w:u w:val="single"/>
        </w:rPr>
      </w:pPr>
    </w:p>
    <w:p w14:paraId="5622B898">
      <w:pPr>
        <w:spacing w:line="560" w:lineRule="exact"/>
        <w:rPr>
          <w:rFonts w:ascii="黑体" w:hAnsi="黑体" w:eastAsia="黑体"/>
          <w:color w:val="auto"/>
          <w:sz w:val="32"/>
          <w:szCs w:val="32"/>
        </w:rPr>
      </w:pPr>
      <w:r>
        <w:rPr>
          <w:rFonts w:hint="eastAsia" w:ascii="黑体" w:hAnsi="黑体" w:eastAsia="黑体"/>
          <w:color w:val="auto"/>
          <w:sz w:val="32"/>
          <w:szCs w:val="32"/>
        </w:rPr>
        <w:t>第一部分　　</w:t>
      </w:r>
      <w:r>
        <w:rPr>
          <w:rFonts w:hint="eastAsia" w:ascii="黑体" w:hAnsi="黑体" w:eastAsia="黑体"/>
          <w:color w:val="auto"/>
          <w:sz w:val="32"/>
          <w:szCs w:val="32"/>
          <w:lang w:val="en-US" w:eastAsia="zh-CN"/>
        </w:rPr>
        <w:t>单位</w:t>
      </w:r>
      <w:r>
        <w:rPr>
          <w:rFonts w:hint="eastAsia" w:ascii="黑体" w:hAnsi="黑体" w:eastAsia="黑体"/>
          <w:color w:val="auto"/>
          <w:sz w:val="32"/>
          <w:szCs w:val="32"/>
        </w:rPr>
        <w:t>预算公开管理文件</w:t>
      </w:r>
    </w:p>
    <w:p w14:paraId="3B0230B4">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盘山县工业和信息化局（本级）</w:t>
      </w:r>
      <w:r>
        <w:rPr>
          <w:rFonts w:hint="eastAsia" w:ascii="黑体" w:hAnsi="黑体" w:eastAsia="黑体"/>
          <w:color w:val="auto"/>
          <w:sz w:val="32"/>
          <w:szCs w:val="32"/>
        </w:rPr>
        <w:t>概况</w:t>
      </w:r>
    </w:p>
    <w:p w14:paraId="4CDA18DC">
      <w:pPr>
        <w:spacing w:line="560" w:lineRule="exact"/>
        <w:ind w:firstLine="646" w:firstLineChars="200"/>
        <w:rPr>
          <w:rFonts w:ascii="仿宋_GB2312" w:hAnsi="黑体" w:eastAsia="仿宋_GB2312"/>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职责</w:t>
      </w:r>
    </w:p>
    <w:p w14:paraId="29D43D0D">
      <w:pPr>
        <w:spacing w:line="560" w:lineRule="exact"/>
        <w:ind w:firstLine="646" w:firstLineChars="200"/>
        <w:rPr>
          <w:rFonts w:ascii="仿宋_GB2312" w:hAnsi="黑体" w:eastAsia="仿宋_GB2312"/>
          <w:color w:val="auto"/>
          <w:sz w:val="32"/>
          <w:szCs w:val="32"/>
        </w:rPr>
      </w:pPr>
      <w:r>
        <w:rPr>
          <w:rFonts w:hint="eastAsia" w:ascii="仿宋_GB2312" w:hAnsi="黑体" w:eastAsia="仿宋_GB2312"/>
          <w:color w:val="auto"/>
          <w:sz w:val="32"/>
          <w:szCs w:val="32"/>
        </w:rPr>
        <w:t>二、机构设置</w:t>
      </w:r>
    </w:p>
    <w:p w14:paraId="20EF3F01">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盘山县工业和信息化局（本级）</w:t>
      </w:r>
      <w:r>
        <w:rPr>
          <w:rFonts w:hint="eastAsia" w:ascii="黑体" w:hAnsi="黑体" w:eastAsia="黑体"/>
          <w:color w:val="auto"/>
          <w:sz w:val="32"/>
          <w:szCs w:val="32"/>
        </w:rPr>
        <w:t>预算情况说明</w:t>
      </w:r>
    </w:p>
    <w:p w14:paraId="5442FD89">
      <w:pPr>
        <w:spacing w:line="560" w:lineRule="exact"/>
        <w:rPr>
          <w:rFonts w:ascii="黑体" w:hAnsi="黑体" w:eastAsia="黑体"/>
          <w:color w:val="auto"/>
          <w:sz w:val="32"/>
          <w:szCs w:val="32"/>
        </w:rPr>
      </w:pPr>
      <w:r>
        <w:rPr>
          <w:rFonts w:hint="eastAsia" w:ascii="黑体" w:hAnsi="黑体" w:eastAsia="黑体"/>
          <w:color w:val="auto"/>
          <w:sz w:val="32"/>
          <w:szCs w:val="32"/>
        </w:rPr>
        <w:t>第四部分    名词解释</w:t>
      </w:r>
    </w:p>
    <w:p w14:paraId="5E121B7E">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第五部分   </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lang w:eastAsia="zh-CN"/>
        </w:rPr>
        <w:t>盘山县工业和信息化局（本级）</w:t>
      </w:r>
      <w:r>
        <w:rPr>
          <w:rFonts w:hint="eastAsia" w:ascii="黑体" w:hAnsi="黑体" w:eastAsia="黑体"/>
          <w:color w:val="auto"/>
          <w:sz w:val="32"/>
          <w:szCs w:val="32"/>
        </w:rPr>
        <w:t>预算批复表</w:t>
      </w:r>
    </w:p>
    <w:p w14:paraId="587F5EEA">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收支预算总表</w:t>
      </w:r>
    </w:p>
    <w:p w14:paraId="054D6E3F">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rPr>
        <w:t>收入预算总表</w:t>
      </w:r>
    </w:p>
    <w:p w14:paraId="54FB94E1">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三、</w:t>
      </w:r>
      <w:r>
        <w:rPr>
          <w:rFonts w:hint="eastAsia" w:ascii="仿宋_GB2312" w:hAnsi="黑体" w:eastAsia="仿宋_GB2312"/>
          <w:color w:val="auto"/>
          <w:sz w:val="32"/>
          <w:szCs w:val="32"/>
        </w:rPr>
        <w:t>支出预算总表</w:t>
      </w:r>
    </w:p>
    <w:p w14:paraId="67F35B42">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财政拨款收支预算总表</w:t>
      </w:r>
    </w:p>
    <w:p w14:paraId="333F3C75">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一般公共预算支出表</w:t>
      </w:r>
    </w:p>
    <w:p w14:paraId="42772019">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六、</w:t>
      </w:r>
      <w:r>
        <w:rPr>
          <w:rFonts w:hint="eastAsia" w:ascii="仿宋_GB2312" w:hAnsi="黑体" w:eastAsia="仿宋_GB2312"/>
          <w:color w:val="auto"/>
          <w:sz w:val="32"/>
          <w:szCs w:val="32"/>
        </w:rPr>
        <w:t>一般公共预算基本支出表</w:t>
      </w:r>
    </w:p>
    <w:p w14:paraId="2405CA2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七、财政拨款</w:t>
      </w:r>
      <w:r>
        <w:rPr>
          <w:rFonts w:hint="eastAsia" w:ascii="仿宋_GB2312" w:hAnsi="黑体" w:eastAsia="仿宋_GB2312"/>
          <w:color w:val="auto"/>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color w:val="auto"/>
          <w:sz w:val="32"/>
          <w:szCs w:val="32"/>
        </w:rPr>
      </w:pPr>
      <w:r>
        <w:rPr>
          <w:rFonts w:hint="eastAsia" w:ascii="仿宋_GB2312" w:hAnsi="宋体" w:eastAsia="仿宋_GB2312" w:cs="宋体"/>
          <w:color w:val="auto"/>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项目支出预算表</w:t>
      </w:r>
    </w:p>
    <w:p w14:paraId="3832CDE8">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债务支出预算表</w:t>
      </w:r>
    </w:p>
    <w:p w14:paraId="1E050F4C">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部门管理专项资金预算表</w:t>
      </w:r>
    </w:p>
    <w:p w14:paraId="6DDEF93A">
      <w:pPr>
        <w:spacing w:line="560" w:lineRule="exact"/>
        <w:rPr>
          <w:rFonts w:ascii="黑体" w:hAnsi="黑体" w:eastAsia="黑体"/>
          <w:color w:val="auto"/>
          <w:sz w:val="32"/>
          <w:szCs w:val="32"/>
        </w:rPr>
      </w:pPr>
      <w:r>
        <w:rPr>
          <w:rFonts w:hint="eastAsia" w:ascii="黑体" w:hAnsi="黑体" w:eastAsia="黑体"/>
          <w:color w:val="auto"/>
          <w:sz w:val="32"/>
          <w:szCs w:val="32"/>
        </w:rPr>
        <w:t>　</w:t>
      </w:r>
    </w:p>
    <w:p w14:paraId="42B8CB41">
      <w:pPr>
        <w:spacing w:line="560" w:lineRule="exact"/>
        <w:rPr>
          <w:rFonts w:ascii="黑体" w:hAnsi="黑体" w:eastAsia="黑体"/>
          <w:color w:val="auto"/>
          <w:sz w:val="32"/>
          <w:szCs w:val="32"/>
        </w:rPr>
      </w:pPr>
    </w:p>
    <w:p w14:paraId="691814B1">
      <w:pPr>
        <w:spacing w:line="560" w:lineRule="exact"/>
        <w:rPr>
          <w:rFonts w:ascii="黑体" w:hAnsi="黑体" w:eastAsia="黑体"/>
          <w:color w:val="auto"/>
          <w:sz w:val="32"/>
          <w:szCs w:val="32"/>
        </w:rPr>
      </w:pPr>
    </w:p>
    <w:p w14:paraId="38D2EB84">
      <w:pPr>
        <w:spacing w:line="560" w:lineRule="exact"/>
        <w:rPr>
          <w:rFonts w:ascii="宋体" w:hAnsi="宋体"/>
          <w:b/>
          <w:color w:val="auto"/>
          <w:sz w:val="36"/>
          <w:szCs w:val="36"/>
        </w:rPr>
      </w:pPr>
    </w:p>
    <w:p w14:paraId="21C5BCAA">
      <w:pPr>
        <w:spacing w:line="560" w:lineRule="exact"/>
        <w:rPr>
          <w:rFonts w:ascii="宋体" w:hAnsi="宋体"/>
          <w:b/>
          <w:color w:val="auto"/>
          <w:sz w:val="36"/>
          <w:szCs w:val="36"/>
        </w:rPr>
      </w:pPr>
    </w:p>
    <w:p w14:paraId="496C8E3E">
      <w:pPr>
        <w:spacing w:line="560" w:lineRule="exact"/>
        <w:jc w:val="center"/>
        <w:rPr>
          <w:rFonts w:ascii="宋体" w:hAnsi="宋体"/>
          <w:b/>
          <w:color w:val="auto"/>
          <w:sz w:val="36"/>
          <w:szCs w:val="36"/>
        </w:rPr>
      </w:pPr>
    </w:p>
    <w:p w14:paraId="62387606">
      <w:pPr>
        <w:spacing w:line="560" w:lineRule="exact"/>
        <w:jc w:val="center"/>
        <w:rPr>
          <w:rFonts w:ascii="宋体" w:hAnsi="宋体"/>
          <w:b/>
          <w:color w:val="auto"/>
          <w:sz w:val="36"/>
          <w:szCs w:val="36"/>
        </w:rPr>
      </w:pPr>
    </w:p>
    <w:p w14:paraId="4414AFB0">
      <w:pPr>
        <w:spacing w:line="560" w:lineRule="exact"/>
        <w:jc w:val="center"/>
        <w:rPr>
          <w:rFonts w:ascii="宋体" w:hAnsi="宋体"/>
          <w:b/>
          <w:color w:val="auto"/>
          <w:sz w:val="36"/>
          <w:szCs w:val="36"/>
        </w:rPr>
      </w:pPr>
    </w:p>
    <w:p w14:paraId="27B25062">
      <w:pPr>
        <w:spacing w:line="560" w:lineRule="exact"/>
        <w:jc w:val="center"/>
        <w:rPr>
          <w:rFonts w:ascii="宋体" w:hAnsi="宋体"/>
          <w:b/>
          <w:color w:val="auto"/>
          <w:sz w:val="36"/>
          <w:szCs w:val="36"/>
        </w:rPr>
      </w:pPr>
    </w:p>
    <w:p w14:paraId="21A7C6D0">
      <w:pPr>
        <w:spacing w:line="560" w:lineRule="exact"/>
        <w:jc w:val="center"/>
        <w:rPr>
          <w:rFonts w:ascii="宋体" w:hAnsi="宋体"/>
          <w:b/>
          <w:color w:val="auto"/>
          <w:sz w:val="36"/>
          <w:szCs w:val="36"/>
        </w:rPr>
      </w:pPr>
    </w:p>
    <w:p w14:paraId="689D906D">
      <w:pPr>
        <w:spacing w:line="560" w:lineRule="exact"/>
        <w:jc w:val="center"/>
        <w:rPr>
          <w:rFonts w:ascii="宋体" w:hAnsi="宋体"/>
          <w:b/>
          <w:color w:val="auto"/>
          <w:sz w:val="36"/>
          <w:szCs w:val="36"/>
        </w:rPr>
      </w:pPr>
    </w:p>
    <w:p w14:paraId="2B664EE9">
      <w:pPr>
        <w:spacing w:line="560" w:lineRule="exact"/>
        <w:jc w:val="center"/>
        <w:rPr>
          <w:rFonts w:ascii="宋体" w:hAnsi="宋体"/>
          <w:b/>
          <w:color w:val="auto"/>
          <w:sz w:val="36"/>
          <w:szCs w:val="36"/>
        </w:rPr>
      </w:pPr>
    </w:p>
    <w:p w14:paraId="6A38ED99">
      <w:pPr>
        <w:spacing w:line="560" w:lineRule="exact"/>
        <w:jc w:val="center"/>
        <w:rPr>
          <w:rFonts w:ascii="宋体" w:hAnsi="宋体"/>
          <w:b/>
          <w:color w:val="auto"/>
          <w:sz w:val="36"/>
          <w:szCs w:val="36"/>
        </w:rPr>
      </w:pPr>
    </w:p>
    <w:p w14:paraId="2C611578">
      <w:pPr>
        <w:spacing w:line="560" w:lineRule="exact"/>
        <w:jc w:val="center"/>
        <w:rPr>
          <w:rFonts w:ascii="宋体" w:hAnsi="宋体"/>
          <w:b/>
          <w:color w:val="auto"/>
          <w:sz w:val="36"/>
          <w:szCs w:val="36"/>
        </w:rPr>
      </w:pPr>
    </w:p>
    <w:p w14:paraId="2982C53A">
      <w:pPr>
        <w:spacing w:line="560" w:lineRule="exact"/>
        <w:jc w:val="center"/>
        <w:rPr>
          <w:rFonts w:ascii="宋体" w:hAnsi="宋体"/>
          <w:b/>
          <w:color w:val="auto"/>
          <w:sz w:val="36"/>
          <w:szCs w:val="36"/>
        </w:rPr>
      </w:pPr>
    </w:p>
    <w:p w14:paraId="577C7C5E">
      <w:pPr>
        <w:spacing w:line="560" w:lineRule="exact"/>
        <w:jc w:val="center"/>
        <w:rPr>
          <w:rFonts w:ascii="宋体" w:hAnsi="宋体"/>
          <w:b/>
          <w:color w:val="auto"/>
          <w:sz w:val="36"/>
          <w:szCs w:val="36"/>
        </w:rPr>
      </w:pPr>
    </w:p>
    <w:p w14:paraId="4980FA4D">
      <w:pPr>
        <w:spacing w:line="560" w:lineRule="exact"/>
        <w:jc w:val="center"/>
        <w:rPr>
          <w:rFonts w:ascii="宋体" w:hAnsi="宋体"/>
          <w:b/>
          <w:color w:val="auto"/>
          <w:sz w:val="36"/>
          <w:szCs w:val="36"/>
        </w:rPr>
      </w:pPr>
    </w:p>
    <w:p w14:paraId="16370735">
      <w:pPr>
        <w:spacing w:line="560" w:lineRule="exact"/>
        <w:jc w:val="center"/>
        <w:rPr>
          <w:rFonts w:ascii="宋体" w:hAnsi="宋体"/>
          <w:b/>
          <w:color w:val="auto"/>
          <w:sz w:val="36"/>
          <w:szCs w:val="36"/>
        </w:rPr>
      </w:pPr>
    </w:p>
    <w:p w14:paraId="3000C43B">
      <w:pPr>
        <w:spacing w:line="560" w:lineRule="exact"/>
        <w:jc w:val="center"/>
        <w:rPr>
          <w:rFonts w:ascii="宋体" w:hAnsi="宋体"/>
          <w:b/>
          <w:color w:val="auto"/>
          <w:sz w:val="36"/>
          <w:szCs w:val="36"/>
        </w:rPr>
      </w:pPr>
    </w:p>
    <w:p w14:paraId="093B9B94">
      <w:pPr>
        <w:pStyle w:val="2"/>
        <w:rPr>
          <w:color w:val="auto"/>
        </w:rPr>
      </w:pPr>
    </w:p>
    <w:p w14:paraId="48EEF53E">
      <w:pPr>
        <w:spacing w:line="560" w:lineRule="exact"/>
        <w:jc w:val="center"/>
        <w:rPr>
          <w:rFonts w:ascii="宋体" w:hAnsi="宋体"/>
          <w:b/>
          <w:color w:val="auto"/>
          <w:sz w:val="36"/>
          <w:szCs w:val="36"/>
          <w:highlight w:val="none"/>
        </w:rPr>
      </w:pPr>
      <w:r>
        <w:rPr>
          <w:rFonts w:hint="eastAsia" w:ascii="宋体" w:hAnsi="宋体"/>
          <w:b/>
          <w:color w:val="auto"/>
          <w:sz w:val="36"/>
          <w:szCs w:val="36"/>
          <w:highlight w:val="none"/>
        </w:rPr>
        <w:t>第一部分　　</w:t>
      </w:r>
      <w:r>
        <w:rPr>
          <w:rFonts w:hint="eastAsia" w:ascii="宋体" w:hAnsi="宋体"/>
          <w:b/>
          <w:color w:val="auto"/>
          <w:sz w:val="36"/>
          <w:szCs w:val="36"/>
          <w:highlight w:val="none"/>
          <w:lang w:val="en-US" w:eastAsia="zh-CN"/>
        </w:rPr>
        <w:t>单位</w:t>
      </w:r>
      <w:r>
        <w:rPr>
          <w:rFonts w:hint="eastAsia" w:ascii="宋体" w:hAnsi="宋体"/>
          <w:b/>
          <w:color w:val="auto"/>
          <w:sz w:val="36"/>
          <w:szCs w:val="36"/>
          <w:highlight w:val="none"/>
        </w:rPr>
        <w:t>预算公开管理文件</w:t>
      </w:r>
    </w:p>
    <w:p w14:paraId="5FE99D0B">
      <w:pPr>
        <w:spacing w:line="560" w:lineRule="exact"/>
        <w:jc w:val="center"/>
        <w:rPr>
          <w:rFonts w:ascii="宋体" w:hAnsi="宋体"/>
          <w:b/>
          <w:color w:val="auto"/>
          <w:sz w:val="36"/>
          <w:szCs w:val="36"/>
          <w:highlight w:val="none"/>
        </w:rPr>
      </w:pPr>
    </w:p>
    <w:p w14:paraId="6C23861B">
      <w:pPr>
        <w:ind w:firstLine="645"/>
        <w:jc w:val="center"/>
        <w:rPr>
          <w:rFonts w:ascii="仿宋_GB2312" w:eastAsia="仿宋_GB2312"/>
          <w:color w:val="auto"/>
          <w:sz w:val="32"/>
          <w:szCs w:val="32"/>
          <w:highlight w:val="none"/>
        </w:rPr>
      </w:pPr>
      <w:r>
        <w:rPr>
          <w:rFonts w:ascii="仿宋_GB2312" w:eastAsia="仿宋_GB2312"/>
          <w:color w:val="auto"/>
          <w:sz w:val="32"/>
          <w:szCs w:val="32"/>
          <w:highlight w:val="none"/>
        </w:rPr>
        <w:t>关于印发《辽宁省财政厅部门预决算信息公开管理办法</w:t>
      </w:r>
    </w:p>
    <w:p w14:paraId="0B2B4D84">
      <w:pPr>
        <w:rPr>
          <w:rFonts w:hint="eastAsia" w:ascii="仿宋" w:hAnsi="仿宋" w:eastAsia="仿宋"/>
          <w:color w:val="auto"/>
          <w:sz w:val="32"/>
          <w:szCs w:val="32"/>
          <w:highlight w:val="none"/>
        </w:rPr>
      </w:pPr>
      <w:r>
        <w:rPr>
          <w:rFonts w:ascii="仿宋_GB2312" w:eastAsia="仿宋_GB2312"/>
          <w:color w:val="auto"/>
          <w:sz w:val="32"/>
          <w:szCs w:val="32"/>
          <w:highlight w:val="none"/>
        </w:rPr>
        <w:t>（试行）》的通知</w:t>
      </w:r>
      <w:r>
        <w:rPr>
          <w:rFonts w:hint="eastAsia" w:ascii="仿宋_GB2312" w:eastAsia="仿宋_GB2312"/>
          <w:color w:val="auto"/>
          <w:sz w:val="32"/>
          <w:szCs w:val="32"/>
          <w:highlight w:val="none"/>
        </w:rPr>
        <w:t>(辽财办发</w:t>
      </w:r>
      <w:r>
        <w:rPr>
          <w:rFonts w:hint="eastAsia" w:ascii="仿宋" w:hAnsi="仿宋" w:eastAsia="仿宋"/>
          <w:color w:val="auto"/>
          <w:sz w:val="32"/>
          <w:szCs w:val="32"/>
          <w:highlight w:val="none"/>
        </w:rPr>
        <w:t>〔2020〕10号)</w:t>
      </w:r>
    </w:p>
    <w:p w14:paraId="3EAF12E1">
      <w:pPr>
        <w:ind w:firstLine="646" w:firstLineChars="200"/>
        <w:rPr>
          <w:rFonts w:hint="eastAsia" w:ascii="仿宋" w:hAnsi="仿宋" w:eastAsia="仿宋"/>
          <w:color w:val="auto"/>
          <w:sz w:val="32"/>
          <w:szCs w:val="32"/>
          <w:highlight w:val="none"/>
        </w:rPr>
      </w:pPr>
      <w:r>
        <w:rPr>
          <w:rFonts w:hint="eastAsia" w:ascii="仿宋_GB2312" w:hAnsi="仿宋_GB2312" w:eastAsia="仿宋_GB2312" w:cs="仿宋_GB2312"/>
          <w:sz w:val="32"/>
          <w:szCs w:val="32"/>
        </w:rPr>
        <w:t>正文内容</w:t>
      </w:r>
    </w:p>
    <w:p w14:paraId="0E167E74">
      <w:pPr>
        <w:rPr>
          <w:rFonts w:ascii="仿宋" w:hAnsi="仿宋" w:eastAsia="仿宋"/>
          <w:color w:val="auto"/>
          <w:sz w:val="32"/>
          <w:szCs w:val="32"/>
          <w:highlight w:val="none"/>
        </w:rPr>
      </w:pPr>
      <w:r>
        <w:rPr>
          <w:rFonts w:hint="eastAsia" w:ascii="仿宋" w:hAnsi="仿宋" w:eastAsia="仿宋"/>
          <w:color w:val="auto"/>
          <w:sz w:val="32"/>
          <w:szCs w:val="32"/>
          <w:highlight w:val="none"/>
        </w:rPr>
        <w:t>　　</w:t>
      </w:r>
      <w:r>
        <w:rPr>
          <w:rFonts w:hint="eastAsia" w:ascii="仿宋_GB2312" w:hAnsi="仿宋_GB2312" w:eastAsia="仿宋_GB2312" w:cs="仿宋_GB2312"/>
          <w:color w:val="auto"/>
          <w:sz w:val="32"/>
          <w:szCs w:val="32"/>
          <w:highlight w:val="none"/>
        </w:rPr>
        <w:t>　</w:t>
      </w:r>
    </w:p>
    <w:p w14:paraId="14A79DC1">
      <w:pPr>
        <w:spacing w:line="560" w:lineRule="exact"/>
        <w:rPr>
          <w:rFonts w:ascii="宋体" w:hAnsi="宋体"/>
          <w:b/>
          <w:color w:val="auto"/>
          <w:sz w:val="36"/>
          <w:szCs w:val="36"/>
        </w:rPr>
      </w:pPr>
    </w:p>
    <w:p w14:paraId="795CFAAF">
      <w:pPr>
        <w:spacing w:line="560" w:lineRule="exact"/>
        <w:rPr>
          <w:rFonts w:ascii="宋体" w:hAnsi="宋体"/>
          <w:b/>
          <w:color w:val="auto"/>
          <w:sz w:val="36"/>
          <w:szCs w:val="36"/>
        </w:rPr>
      </w:pPr>
    </w:p>
    <w:p w14:paraId="360FB761">
      <w:pPr>
        <w:spacing w:line="560" w:lineRule="exact"/>
        <w:rPr>
          <w:rFonts w:ascii="宋体" w:hAnsi="宋体"/>
          <w:b/>
          <w:color w:val="auto"/>
          <w:sz w:val="36"/>
          <w:szCs w:val="36"/>
        </w:rPr>
      </w:pPr>
    </w:p>
    <w:p w14:paraId="31370376">
      <w:pPr>
        <w:spacing w:line="560" w:lineRule="exact"/>
        <w:rPr>
          <w:rFonts w:ascii="宋体" w:hAnsi="宋体"/>
          <w:b/>
          <w:color w:val="auto"/>
          <w:sz w:val="36"/>
          <w:szCs w:val="36"/>
        </w:rPr>
      </w:pPr>
    </w:p>
    <w:p w14:paraId="023549FD">
      <w:pPr>
        <w:spacing w:line="560" w:lineRule="exact"/>
        <w:rPr>
          <w:rFonts w:ascii="宋体" w:hAnsi="宋体"/>
          <w:b/>
          <w:color w:val="auto"/>
          <w:sz w:val="36"/>
          <w:szCs w:val="36"/>
        </w:rPr>
      </w:pPr>
    </w:p>
    <w:p w14:paraId="58FFF5FE">
      <w:pPr>
        <w:spacing w:line="560" w:lineRule="exact"/>
        <w:rPr>
          <w:rFonts w:ascii="宋体" w:hAnsi="宋体"/>
          <w:b/>
          <w:color w:val="auto"/>
          <w:sz w:val="36"/>
          <w:szCs w:val="36"/>
        </w:rPr>
      </w:pPr>
    </w:p>
    <w:p w14:paraId="04D87A4A">
      <w:pPr>
        <w:spacing w:line="560" w:lineRule="exact"/>
        <w:rPr>
          <w:rFonts w:ascii="宋体" w:hAnsi="宋体"/>
          <w:b/>
          <w:color w:val="auto"/>
          <w:sz w:val="36"/>
          <w:szCs w:val="36"/>
        </w:rPr>
      </w:pPr>
    </w:p>
    <w:p w14:paraId="6BD6D4C2">
      <w:pPr>
        <w:spacing w:line="560" w:lineRule="exact"/>
        <w:rPr>
          <w:rFonts w:ascii="宋体" w:hAnsi="宋体"/>
          <w:b/>
          <w:color w:val="auto"/>
          <w:sz w:val="36"/>
          <w:szCs w:val="36"/>
        </w:rPr>
      </w:pPr>
    </w:p>
    <w:p w14:paraId="15536EB0">
      <w:pPr>
        <w:spacing w:line="560" w:lineRule="exact"/>
        <w:rPr>
          <w:rFonts w:ascii="宋体" w:hAnsi="宋体"/>
          <w:b/>
          <w:color w:val="auto"/>
          <w:sz w:val="36"/>
          <w:szCs w:val="36"/>
        </w:rPr>
      </w:pPr>
    </w:p>
    <w:p w14:paraId="07B66B47">
      <w:pPr>
        <w:spacing w:line="560" w:lineRule="exact"/>
        <w:rPr>
          <w:rFonts w:ascii="宋体" w:hAnsi="宋体"/>
          <w:b/>
          <w:color w:val="auto"/>
          <w:sz w:val="36"/>
          <w:szCs w:val="36"/>
        </w:rPr>
      </w:pPr>
    </w:p>
    <w:p w14:paraId="3EBCBE6D">
      <w:pPr>
        <w:spacing w:line="560" w:lineRule="exact"/>
        <w:rPr>
          <w:rFonts w:ascii="宋体" w:hAnsi="宋体"/>
          <w:b/>
          <w:color w:val="auto"/>
          <w:sz w:val="36"/>
          <w:szCs w:val="36"/>
        </w:rPr>
      </w:pPr>
    </w:p>
    <w:p w14:paraId="45448C83">
      <w:pPr>
        <w:spacing w:line="560" w:lineRule="exact"/>
        <w:rPr>
          <w:rFonts w:ascii="宋体" w:hAnsi="宋体"/>
          <w:b/>
          <w:color w:val="auto"/>
          <w:sz w:val="36"/>
          <w:szCs w:val="36"/>
        </w:rPr>
      </w:pPr>
    </w:p>
    <w:p w14:paraId="27A2C73B">
      <w:pPr>
        <w:spacing w:line="560" w:lineRule="exact"/>
        <w:rPr>
          <w:rFonts w:ascii="宋体" w:hAnsi="宋体"/>
          <w:b/>
          <w:color w:val="auto"/>
          <w:sz w:val="36"/>
          <w:szCs w:val="36"/>
        </w:rPr>
      </w:pPr>
    </w:p>
    <w:p w14:paraId="3C7D5F5B">
      <w:pPr>
        <w:spacing w:line="560" w:lineRule="exact"/>
        <w:rPr>
          <w:rFonts w:ascii="宋体" w:hAnsi="宋体"/>
          <w:b/>
          <w:color w:val="auto"/>
          <w:sz w:val="36"/>
          <w:szCs w:val="36"/>
        </w:rPr>
      </w:pPr>
    </w:p>
    <w:p w14:paraId="00C7D52D">
      <w:pPr>
        <w:spacing w:line="560" w:lineRule="exact"/>
        <w:rPr>
          <w:rFonts w:ascii="宋体" w:hAnsi="宋体"/>
          <w:b/>
          <w:color w:val="auto"/>
          <w:sz w:val="36"/>
          <w:szCs w:val="36"/>
        </w:rPr>
      </w:pPr>
    </w:p>
    <w:p w14:paraId="38A0F637">
      <w:pPr>
        <w:spacing w:line="560" w:lineRule="exact"/>
        <w:rPr>
          <w:rFonts w:ascii="宋体" w:hAnsi="宋体"/>
          <w:b/>
          <w:color w:val="auto"/>
          <w:sz w:val="36"/>
          <w:szCs w:val="36"/>
        </w:rPr>
      </w:pPr>
    </w:p>
    <w:p w14:paraId="13A00D6B">
      <w:pPr>
        <w:spacing w:line="560" w:lineRule="exact"/>
        <w:jc w:val="center"/>
        <w:rPr>
          <w:rFonts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盘山县工业和信息化局（本级）</w:t>
      </w:r>
      <w:r>
        <w:rPr>
          <w:rFonts w:hint="eastAsia" w:ascii="宋体" w:hAnsi="宋体"/>
          <w:b/>
          <w:color w:val="auto"/>
          <w:sz w:val="36"/>
          <w:szCs w:val="36"/>
        </w:rPr>
        <w:t>概况</w:t>
      </w:r>
    </w:p>
    <w:p w14:paraId="477C6031">
      <w:pPr>
        <w:spacing w:line="560" w:lineRule="exact"/>
        <w:ind w:firstLine="646" w:firstLineChars="200"/>
        <w:jc w:val="left"/>
        <w:rPr>
          <w:rFonts w:ascii="黑体" w:eastAsia="黑体"/>
          <w:color w:val="auto"/>
          <w:sz w:val="32"/>
          <w:szCs w:val="32"/>
        </w:rPr>
      </w:pPr>
    </w:p>
    <w:p w14:paraId="6759FDA3">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一、部门职责</w:t>
      </w:r>
    </w:p>
    <w:p w14:paraId="70EA85F8">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（一）组织贯彻国家新型工业化发展战咯和政策，协调</w:t>
      </w:r>
    </w:p>
    <w:p w14:paraId="4502FE42">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解决新型工业化进程中的有关问题；拟定工业、信息化和中小企业的发展规划并组织实施；推进产业结构战略性调整和优化升级，推进信息化和工业化融合。</w:t>
      </w:r>
    </w:p>
    <w:p w14:paraId="0E1222C9">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5B96F8F6">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534B3385">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7B115495">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（五）推进全县信息化工作，贯彻国家相关</w:t>
      </w:r>
      <w:r>
        <w:rPr>
          <w:rFonts w:hint="eastAsia" w:ascii="仿宋_GB2312" w:eastAsia="仿宋_GB2312"/>
          <w:color w:val="auto"/>
          <w:sz w:val="32"/>
          <w:szCs w:val="32"/>
          <w:lang w:eastAsia="zh-CN"/>
        </w:rPr>
        <w:t>政策</w:t>
      </w:r>
      <w:r>
        <w:rPr>
          <w:rFonts w:hint="eastAsia" w:ascii="仿宋_GB2312" w:eastAsia="仿宋_GB2312"/>
          <w:color w:val="auto"/>
          <w:sz w:val="32"/>
          <w:szCs w:val="32"/>
        </w:rPr>
        <w:t>并协调信息化建设中的重大问题；指导协调电子政务发展，推动跨行业、跨部门的互联互通和重要信息资源的开发利用、共享。</w:t>
      </w:r>
    </w:p>
    <w:p w14:paraId="00B8C46C">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（六）拟定并组织实施工业和信息化的能源节约和资源综合利用、清洁生产促进规划；组织协调相关重大示范工程和新产品、新技术、新设备、新材料的推广应用。</w:t>
      </w:r>
    </w:p>
    <w:p w14:paraId="02637988">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（七）负责全县工业企业的宏观指导和综合协调，拟订并组织实施发展规划和相关政策措施，监测分析发展动态，推进体制改革和管理创新，促进和健全中小企业服务体系。</w:t>
      </w:r>
    </w:p>
    <w:p w14:paraId="2E590A6D">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（八）依法行使全县电力行政管理职责，协调电力运营中的有关问题，平衡电力资源，培育和监督电力市场。</w:t>
      </w:r>
    </w:p>
    <w:p w14:paraId="10801F89">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（九）负责民爆器材的行业管理和应急相关工作。</w:t>
      </w:r>
    </w:p>
    <w:p w14:paraId="683FB406">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（十）贯彻执行国家、省、市有关科技发展的方针与政策；拟定科技发展规划、政策；起草地方性法规和其他政策措施，并组织实施。负责科技创新体系建设，提高科技创新能力。</w:t>
      </w:r>
    </w:p>
    <w:p w14:paraId="1FB3B2D0">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（十一）编制重点科技攻关的发展规划；编制科学技术</w:t>
      </w:r>
    </w:p>
    <w:p w14:paraId="0CBAA4A5">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发展的中长期规划与年度计划。负责年度科技计划的制定与组织实施。</w:t>
      </w:r>
    </w:p>
    <w:p w14:paraId="65C66CD9">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（十二）负责科技进步工作的管理和协调；贯彻科技体制改革的政策、措施和总体规划并組织实施，优化科研机构布局，指导科技体制改革工作。</w:t>
      </w:r>
    </w:p>
    <w:p w14:paraId="53064267">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（十三）投出科技入才队伍建设规划和政策建议，承担相关科技入才计划的实施工作。负责院士联系和服务工作。</w:t>
      </w:r>
    </w:p>
    <w:p w14:paraId="47C1695A">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（十四）研究多渠道增加科技投入，优化科技资源配置的措施。负责协调落实科技创新发展战略，重大政策措施以及重大科技创新任务。负责科技专项费用等专项资金的合理配置。</w:t>
      </w:r>
    </w:p>
    <w:p w14:paraId="72412F20">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D494AC5">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（十六）会同有关部门拟定重大创新基地建设规划，负责科技基础条件平台建设和科技资源共享建设。负责以企业为主体的技术创新体系建设工作。</w:t>
      </w:r>
    </w:p>
    <w:p w14:paraId="4FFE6B5F">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（十七）研究拟订科技促进农业和农村发展政策，制定农业科技攻关、成果推广计划并组织实施，促进现代农业发展，负责送科技下乡与科技扶贫工作。</w:t>
      </w:r>
    </w:p>
    <w:p w14:paraId="57561DCD">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（十八）拟定引进国外智力和出国（境）培训工作计划并监督实施。负责协调外国专家来盘山的相关管理服务工作。</w:t>
      </w:r>
    </w:p>
    <w:p w14:paraId="759585FA">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（十九）承担国防科工委的相关职能工作。</w:t>
      </w:r>
    </w:p>
    <w:p w14:paraId="62E85414">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（二十）完成县委、县政府交办的其他任务。</w:t>
      </w:r>
    </w:p>
    <w:p w14:paraId="57AB1CF5">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（二十一）职能转变。</w:t>
      </w:r>
    </w:p>
    <w:p w14:paraId="4E50B6C6">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1．组织实施工业八大产业发展政策，推近工业领域供给侧结构性改革。</w:t>
      </w:r>
    </w:p>
    <w:p w14:paraId="58C164C1">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2．贯彻《中国制造2025》，协调推进《中国制造2025）辽宁行动纲要》的实施工作，推动工业高质量发展。</w:t>
      </w:r>
    </w:p>
    <w:p w14:paraId="4AB0EDDB">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3．加快推进信息化和工业化融合发展，推动军民融合产业发展，培育壮大新动能。</w:t>
      </w:r>
    </w:p>
    <w:p w14:paraId="7D9F6AE7">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4．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524D3A52">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（二十二）有关职责分工。</w:t>
      </w:r>
    </w:p>
    <w:p w14:paraId="7DBAD2F0">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1．县工业和信息化局与县发展和改革局的有关职责分工。</w:t>
      </w:r>
    </w:p>
    <w:p w14:paraId="19BD889A">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1）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7600E90F">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2）企业技术中心管理职责分工。县工业和信息化局会同县发展和改革局、县财政局、县税务局等有关部门负责县级企业技术中心的认定工作，县发展和改革局会同县工业和信息化局等有关部门负责上报上级企业技术中心相关工作。</w:t>
      </w:r>
    </w:p>
    <w:p w14:paraId="6835FD80">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3）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429E13BD">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二、机构设置</w:t>
      </w:r>
    </w:p>
    <w:p w14:paraId="4169A31B">
      <w:pPr>
        <w:snapToGrid w:val="0"/>
        <w:spacing w:line="520" w:lineRule="exact"/>
        <w:ind w:firstLine="646"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根据本部门主要职责，内设机构如下：</w:t>
      </w:r>
    </w:p>
    <w:p w14:paraId="04F453F0">
      <w:pPr>
        <w:snapToGrid w:val="0"/>
        <w:spacing w:line="520" w:lineRule="exact"/>
        <w:ind w:firstLine="646"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综合办公室、工业运行与中小企业股、电力资源与信息装备股、科技股。</w:t>
      </w:r>
    </w:p>
    <w:p w14:paraId="3AFCA3D2">
      <w:pPr>
        <w:snapToGrid w:val="0"/>
        <w:spacing w:line="520" w:lineRule="exact"/>
        <w:ind w:firstLine="646" w:firstLineChars="200"/>
        <w:rPr>
          <w:rFonts w:hint="eastAsia" w:ascii="仿宋_GB2312" w:hAnsi="仿宋" w:eastAsia="仿宋_GB2312" w:cs="Times New Roman"/>
          <w:color w:val="auto"/>
          <w:sz w:val="32"/>
          <w:szCs w:val="32"/>
          <w:lang w:val="en-US" w:eastAsia="zh-CN"/>
        </w:rPr>
      </w:pPr>
    </w:p>
    <w:p w14:paraId="4025783D">
      <w:pPr>
        <w:numPr>
          <w:ilvl w:val="0"/>
          <w:numId w:val="2"/>
        </w:numPr>
        <w:spacing w:line="560" w:lineRule="exact"/>
        <w:jc w:val="center"/>
        <w:rPr>
          <w:rFonts w:ascii="宋体" w:hAnsi="宋体"/>
          <w:b/>
          <w:color w:val="auto"/>
          <w:sz w:val="36"/>
          <w:szCs w:val="36"/>
        </w:rPr>
      </w:pPr>
      <w:r>
        <w:rPr>
          <w:rFonts w:hint="eastAsia" w:ascii="宋体" w:hAnsi="宋体"/>
          <w:b/>
          <w:color w:val="auto"/>
          <w:sz w:val="36"/>
          <w:szCs w:val="36"/>
          <w:lang w:eastAsia="zh-CN"/>
        </w:rPr>
        <w:t>盘山县工业和信息化局（本级）</w:t>
      </w:r>
    </w:p>
    <w:p w14:paraId="2E8AFC8D">
      <w:pPr>
        <w:numPr>
          <w:ilvl w:val="0"/>
          <w:numId w:val="0"/>
        </w:numPr>
        <w:spacing w:line="560" w:lineRule="exact"/>
        <w:ind w:firstLine="3267" w:firstLineChars="900"/>
        <w:jc w:val="both"/>
        <w:rPr>
          <w:rFonts w:ascii="宋体" w:hAnsi="宋体"/>
          <w:b/>
          <w:color w:val="auto"/>
          <w:sz w:val="36"/>
          <w:szCs w:val="36"/>
        </w:rPr>
      </w:pPr>
      <w:r>
        <w:rPr>
          <w:rFonts w:hint="eastAsia" w:ascii="宋体" w:hAnsi="宋体"/>
          <w:b/>
          <w:color w:val="auto"/>
          <w:sz w:val="36"/>
          <w:szCs w:val="36"/>
        </w:rPr>
        <w:t>预算情况说明</w:t>
      </w:r>
    </w:p>
    <w:p w14:paraId="04CF9CCF">
      <w:pPr>
        <w:spacing w:line="560" w:lineRule="exact"/>
        <w:jc w:val="center"/>
        <w:rPr>
          <w:rFonts w:ascii="宋体" w:hAnsi="宋体"/>
          <w:b/>
          <w:color w:val="auto"/>
          <w:sz w:val="36"/>
          <w:szCs w:val="36"/>
        </w:rPr>
      </w:pPr>
    </w:p>
    <w:p w14:paraId="6B06D4CC">
      <w:pPr>
        <w:spacing w:line="560" w:lineRule="exact"/>
        <w:ind w:firstLine="632" w:firstLineChars="196"/>
        <w:rPr>
          <w:rFonts w:ascii="黑体" w:hAnsi="黑体" w:eastAsia="黑体"/>
          <w:color w:val="auto"/>
          <w:sz w:val="32"/>
          <w:szCs w:val="32"/>
          <w:highlight w:val="none"/>
        </w:rPr>
      </w:pPr>
      <w:r>
        <w:rPr>
          <w:rFonts w:hint="eastAsia" w:ascii="黑体" w:hAnsi="黑体" w:eastAsia="黑体"/>
          <w:color w:val="auto"/>
          <w:sz w:val="32"/>
          <w:szCs w:val="32"/>
          <w:highlight w:val="none"/>
        </w:rPr>
        <w:t>一、综合预算收支指标情况</w:t>
      </w:r>
    </w:p>
    <w:p w14:paraId="67B5D26F">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416.92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1BCB4DB2">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416.92</w:t>
      </w:r>
      <w:r>
        <w:rPr>
          <w:rFonts w:hint="eastAsia" w:ascii="仿宋_GB2312" w:hAnsi="宋体" w:eastAsia="仿宋_GB2312"/>
          <w:color w:val="auto"/>
          <w:sz w:val="32"/>
          <w:szCs w:val="32"/>
          <w:highlight w:val="none"/>
        </w:rPr>
        <w:t>万元；</w:t>
      </w:r>
    </w:p>
    <w:p w14:paraId="02182E6D">
      <w:pPr>
        <w:spacing w:line="560" w:lineRule="exact"/>
        <w:ind w:left="647" w:leftChars="304" w:firstLine="16" w:firstLineChars="5"/>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（二）支出预算</w:t>
      </w:r>
      <w:r>
        <w:rPr>
          <w:rFonts w:hint="eastAsia" w:ascii="楷体" w:hAnsi="楷体" w:eastAsia="楷体"/>
          <w:b/>
          <w:color w:val="auto"/>
          <w:sz w:val="32"/>
          <w:szCs w:val="32"/>
          <w:highlight w:val="none"/>
          <w:lang w:val="en-US" w:eastAsia="zh-CN"/>
        </w:rPr>
        <w:t>416.92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6AB91C2A">
      <w:pPr>
        <w:autoSpaceDE w:val="0"/>
        <w:spacing w:line="560" w:lineRule="exact"/>
        <w:ind w:firstLine="646" w:firstLineChars="200"/>
        <w:rPr>
          <w:rFonts w:hint="eastAsia" w:ascii="仿宋_GB2312" w:hAnsi="宋体" w:eastAsia="仿宋_GB2312"/>
          <w:color w:val="auto"/>
          <w:sz w:val="32"/>
          <w:szCs w:val="32"/>
          <w:highlight w:val="none"/>
          <w:lang w:eastAsia="zh-CN"/>
        </w:rPr>
      </w:pPr>
      <w:r>
        <w:rPr>
          <w:rFonts w:hint="eastAsia" w:ascii="仿宋_GB2312" w:eastAsia="仿宋_GB2312"/>
          <w:color w:val="auto"/>
          <w:sz w:val="32"/>
          <w:szCs w:val="32"/>
          <w:highlight w:val="none"/>
        </w:rPr>
        <w:t>1.基本支出</w:t>
      </w:r>
      <w:r>
        <w:rPr>
          <w:rFonts w:hint="eastAsia" w:ascii="仿宋_GB2312" w:hAnsi="宋体" w:eastAsia="仿宋_GB2312"/>
          <w:color w:val="auto"/>
          <w:sz w:val="32"/>
          <w:szCs w:val="32"/>
          <w:highlight w:val="none"/>
          <w:lang w:val="en-US" w:eastAsia="zh-CN"/>
        </w:rPr>
        <w:t>251.22</w:t>
      </w:r>
      <w:r>
        <w:rPr>
          <w:rFonts w:hint="eastAsia" w:ascii="仿宋_GB2312" w:hAnsi="宋体"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其中</w:t>
      </w:r>
      <w:r>
        <w:rPr>
          <w:rFonts w:hint="eastAsia" w:ascii="仿宋_GB2312" w:hAnsi="宋体" w:eastAsia="仿宋_GB2312"/>
          <w:color w:val="auto"/>
          <w:sz w:val="32"/>
          <w:szCs w:val="32"/>
          <w:highlight w:val="none"/>
        </w:rPr>
        <w:t>一般公共服务支出</w:t>
      </w:r>
      <w:r>
        <w:rPr>
          <w:rFonts w:hint="eastAsia" w:ascii="仿宋_GB2312" w:hAnsi="宋体" w:eastAsia="仿宋_GB2312"/>
          <w:color w:val="auto"/>
          <w:sz w:val="32"/>
          <w:szCs w:val="32"/>
          <w:highlight w:val="none"/>
          <w:lang w:val="en-US" w:eastAsia="zh-CN"/>
        </w:rPr>
        <w:t>177.11</w:t>
      </w:r>
      <w:r>
        <w:rPr>
          <w:rFonts w:hint="eastAsia" w:ascii="仿宋_GB2312" w:hAnsi="宋体" w:eastAsia="仿宋_GB2312"/>
          <w:color w:val="auto"/>
          <w:sz w:val="32"/>
          <w:szCs w:val="32"/>
          <w:highlight w:val="none"/>
        </w:rPr>
        <w:t>万元，卫生健康支出</w:t>
      </w:r>
      <w:r>
        <w:rPr>
          <w:rFonts w:hint="eastAsia" w:ascii="仿宋_GB2312" w:hAnsi="宋体" w:eastAsia="仿宋_GB2312"/>
          <w:color w:val="auto"/>
          <w:sz w:val="32"/>
          <w:szCs w:val="32"/>
          <w:highlight w:val="none"/>
          <w:lang w:val="en-US" w:eastAsia="zh-CN"/>
        </w:rPr>
        <w:t>10.53</w:t>
      </w:r>
      <w:r>
        <w:rPr>
          <w:rFonts w:hint="eastAsia" w:ascii="仿宋_GB2312" w:hAnsi="宋体" w:eastAsia="仿宋_GB2312"/>
          <w:color w:val="auto"/>
          <w:sz w:val="32"/>
          <w:szCs w:val="32"/>
          <w:highlight w:val="none"/>
        </w:rPr>
        <w:t>元，社会保障和就业支出</w:t>
      </w:r>
      <w:r>
        <w:rPr>
          <w:rFonts w:hint="eastAsia" w:ascii="仿宋_GB2312" w:hAnsi="宋体" w:eastAsia="仿宋_GB2312"/>
          <w:color w:val="auto"/>
          <w:sz w:val="32"/>
          <w:szCs w:val="32"/>
          <w:highlight w:val="none"/>
          <w:lang w:val="en-US" w:eastAsia="zh-CN"/>
        </w:rPr>
        <w:t>44.37</w:t>
      </w:r>
      <w:r>
        <w:rPr>
          <w:rFonts w:hint="eastAsia" w:ascii="仿宋_GB2312" w:hAnsi="宋体" w:eastAsia="仿宋_GB2312"/>
          <w:color w:val="auto"/>
          <w:sz w:val="32"/>
          <w:szCs w:val="32"/>
          <w:highlight w:val="none"/>
        </w:rPr>
        <w:t>万元，住房保障支出</w:t>
      </w:r>
      <w:r>
        <w:rPr>
          <w:rFonts w:hint="eastAsia" w:ascii="仿宋_GB2312" w:hAnsi="宋体" w:eastAsia="仿宋_GB2312"/>
          <w:color w:val="auto"/>
          <w:sz w:val="32"/>
          <w:szCs w:val="32"/>
          <w:highlight w:val="none"/>
          <w:lang w:val="en-US" w:eastAsia="zh-CN"/>
        </w:rPr>
        <w:t>19.21</w:t>
      </w:r>
      <w:r>
        <w:rPr>
          <w:rFonts w:hint="eastAsia" w:ascii="仿宋_GB2312" w:hAnsi="宋体" w:eastAsia="仿宋_GB2312"/>
          <w:color w:val="auto"/>
          <w:sz w:val="32"/>
          <w:szCs w:val="32"/>
          <w:highlight w:val="none"/>
        </w:rPr>
        <w:t>万元。</w:t>
      </w:r>
    </w:p>
    <w:p w14:paraId="6D4B2C2A">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2.项目支出</w:t>
      </w:r>
      <w:r>
        <w:rPr>
          <w:rFonts w:hint="eastAsia" w:ascii="仿宋_GB2312" w:hAnsi="宋体" w:eastAsia="仿宋_GB2312"/>
          <w:color w:val="auto"/>
          <w:sz w:val="32"/>
          <w:szCs w:val="32"/>
          <w:highlight w:val="none"/>
          <w:lang w:val="en-US" w:eastAsia="zh-CN"/>
        </w:rPr>
        <w:t>165.70</w:t>
      </w:r>
      <w:r>
        <w:rPr>
          <w:rFonts w:hint="eastAsia" w:ascii="仿宋_GB2312" w:eastAsia="仿宋_GB2312"/>
          <w:color w:val="auto"/>
          <w:sz w:val="32"/>
          <w:szCs w:val="32"/>
          <w:highlight w:val="none"/>
        </w:rPr>
        <w:t>万元。</w:t>
      </w:r>
    </w:p>
    <w:p w14:paraId="3B4F748E">
      <w:pPr>
        <w:spacing w:line="560" w:lineRule="exact"/>
        <w:ind w:firstLine="646"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纳入预算绩效管理</w:t>
      </w:r>
      <w:r>
        <w:rPr>
          <w:rFonts w:hint="eastAsia" w:ascii="仿宋_GB2312" w:eastAsia="仿宋_GB2312" w:cs="仿宋_GB2312"/>
          <w:color w:val="auto"/>
          <w:sz w:val="32"/>
          <w:szCs w:val="32"/>
          <w:highlight w:val="none"/>
          <w:lang w:eastAsia="zh-CN"/>
        </w:rPr>
        <w:t>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165.7</w:t>
      </w:r>
      <w:r>
        <w:rPr>
          <w:rFonts w:hint="eastAsia" w:ascii="仿宋_GB2312" w:eastAsia="仿宋_GB2312" w:cs="仿宋_GB2312"/>
          <w:color w:val="auto"/>
          <w:sz w:val="32"/>
          <w:szCs w:val="32"/>
          <w:highlight w:val="none"/>
        </w:rPr>
        <w:t xml:space="preserve">万元。 </w:t>
      </w:r>
    </w:p>
    <w:p w14:paraId="6339CBFF">
      <w:pPr>
        <w:spacing w:line="560" w:lineRule="exact"/>
        <w:ind w:firstLine="646" w:firstLineChars="200"/>
        <w:rPr>
          <w:rFonts w:hint="eastAsia" w:ascii="黑体" w:hAnsi="黑体" w:eastAsia="黑体" w:cs="Times New Roman"/>
          <w:color w:val="auto"/>
          <w:sz w:val="32"/>
          <w:szCs w:val="32"/>
          <w:highlight w:val="none"/>
        </w:rPr>
      </w:pP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年预算收</w:t>
      </w:r>
      <w:r>
        <w:rPr>
          <w:rFonts w:hint="eastAsia" w:ascii="黑体" w:hAnsi="黑体" w:eastAsia="黑体"/>
          <w:color w:val="auto"/>
          <w:sz w:val="32"/>
          <w:szCs w:val="32"/>
          <w:highlight w:val="none"/>
          <w:lang w:eastAsia="zh-CN"/>
        </w:rPr>
        <w:t>入比上年增加</w:t>
      </w:r>
      <w:r>
        <w:rPr>
          <w:rFonts w:hint="eastAsia" w:ascii="黑体" w:hAnsi="黑体" w:eastAsia="黑体"/>
          <w:color w:val="auto"/>
          <w:sz w:val="32"/>
          <w:szCs w:val="32"/>
          <w:highlight w:val="none"/>
          <w:lang w:val="en-US" w:eastAsia="zh-CN"/>
        </w:rPr>
        <w:t>32.06万元，</w:t>
      </w:r>
      <w:r>
        <w:rPr>
          <w:rFonts w:hint="eastAsia" w:ascii="黑体" w:hAnsi="黑体" w:eastAsia="黑体" w:cs="Times New Roman"/>
          <w:color w:val="auto"/>
          <w:sz w:val="32"/>
          <w:szCs w:val="32"/>
          <w:highlight w:val="none"/>
        </w:rPr>
        <w:t>原因是工资性支出及保险增加。支</w:t>
      </w:r>
      <w:r>
        <w:rPr>
          <w:rFonts w:hint="eastAsia" w:ascii="黑体" w:hAnsi="黑体" w:eastAsia="黑体" w:cs="Times New Roman"/>
          <w:color w:val="auto"/>
          <w:sz w:val="32"/>
          <w:szCs w:val="32"/>
          <w:highlight w:val="none"/>
          <w:lang w:eastAsia="zh-CN"/>
        </w:rPr>
        <w:t>出</w:t>
      </w:r>
      <w:r>
        <w:rPr>
          <w:rFonts w:hint="eastAsia" w:ascii="黑体" w:hAnsi="黑体" w:eastAsia="黑体" w:cs="Times New Roman"/>
          <w:color w:val="auto"/>
          <w:sz w:val="32"/>
          <w:szCs w:val="32"/>
          <w:highlight w:val="none"/>
        </w:rPr>
        <w:t>比</w:t>
      </w:r>
      <w:r>
        <w:rPr>
          <w:rFonts w:hint="eastAsia" w:ascii="黑体" w:hAnsi="黑体" w:eastAsia="黑体" w:cs="Times New Roman"/>
          <w:color w:val="auto"/>
          <w:sz w:val="32"/>
          <w:szCs w:val="32"/>
          <w:highlight w:val="none"/>
          <w:lang w:eastAsia="zh-CN"/>
        </w:rPr>
        <w:t>上</w:t>
      </w:r>
      <w:r>
        <w:rPr>
          <w:rFonts w:hint="eastAsia" w:ascii="黑体" w:hAnsi="黑体" w:eastAsia="黑体" w:cs="Times New Roman"/>
          <w:color w:val="auto"/>
          <w:sz w:val="32"/>
          <w:szCs w:val="32"/>
          <w:highlight w:val="none"/>
        </w:rPr>
        <w:t>年</w:t>
      </w:r>
      <w:r>
        <w:rPr>
          <w:rFonts w:hint="eastAsia" w:ascii="黑体" w:hAnsi="黑体" w:eastAsia="黑体" w:cs="Times New Roman"/>
          <w:color w:val="auto"/>
          <w:sz w:val="32"/>
          <w:szCs w:val="32"/>
          <w:highlight w:val="none"/>
          <w:lang w:eastAsia="zh-CN"/>
        </w:rPr>
        <w:t>增加</w:t>
      </w:r>
      <w:r>
        <w:rPr>
          <w:rFonts w:hint="eastAsia" w:ascii="黑体" w:hAnsi="黑体" w:eastAsia="黑体" w:cs="Times New Roman"/>
          <w:color w:val="auto"/>
          <w:sz w:val="32"/>
          <w:szCs w:val="32"/>
          <w:highlight w:val="none"/>
          <w:lang w:val="en-US" w:eastAsia="zh-CN"/>
        </w:rPr>
        <w:t>32.06万元</w:t>
      </w:r>
      <w:r>
        <w:rPr>
          <w:rFonts w:hint="eastAsia" w:ascii="黑体" w:hAnsi="黑体" w:eastAsia="黑体" w:cs="Times New Roman"/>
          <w:color w:val="auto"/>
          <w:sz w:val="32"/>
          <w:szCs w:val="32"/>
          <w:highlight w:val="none"/>
        </w:rPr>
        <w:t>，原因是工资性支出及保险增加。</w:t>
      </w:r>
    </w:p>
    <w:p w14:paraId="18938F08">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二、部门管理专项资金情况</w:t>
      </w:r>
    </w:p>
    <w:p w14:paraId="240D2B8C">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eastAsia="仿宋_GB2312"/>
          <w:color w:val="auto"/>
          <w:sz w:val="32"/>
          <w:szCs w:val="32"/>
          <w:lang w:eastAsia="zh-CN"/>
        </w:rPr>
        <w:t>盘山县工业和信息化局（本级）</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11D11360">
      <w:pPr>
        <w:spacing w:line="560" w:lineRule="exact"/>
        <w:ind w:firstLine="645"/>
        <w:rPr>
          <w:rFonts w:ascii="黑体" w:hAnsi="宋体" w:eastAsia="黑体"/>
          <w:color w:val="auto"/>
          <w:sz w:val="32"/>
          <w:szCs w:val="32"/>
        </w:rPr>
      </w:pPr>
      <w:r>
        <w:rPr>
          <w:rFonts w:hint="eastAsia" w:ascii="黑体" w:hAnsi="宋体" w:eastAsia="黑体"/>
          <w:color w:val="auto"/>
          <w:sz w:val="32"/>
          <w:szCs w:val="32"/>
        </w:rPr>
        <w:t>三、机关运行经费安排情况</w:t>
      </w:r>
    </w:p>
    <w:p w14:paraId="6A27B95D">
      <w:pPr>
        <w:spacing w:line="560" w:lineRule="exact"/>
        <w:ind w:firstLine="645"/>
        <w:rPr>
          <w:rFonts w:hint="default" w:ascii="仿宋_GB2312" w:hAnsi="宋体" w:eastAsia="仿宋_GB2312"/>
          <w:color w:val="auto"/>
          <w:sz w:val="32"/>
          <w:szCs w:val="32"/>
          <w:lang w:val="en-US"/>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eastAsia="仿宋_GB2312"/>
          <w:color w:val="auto"/>
          <w:sz w:val="32"/>
          <w:szCs w:val="32"/>
          <w:lang w:eastAsia="zh-CN"/>
        </w:rPr>
        <w:t>盘山县工业和信息化局（本级）</w:t>
      </w:r>
      <w:r>
        <w:rPr>
          <w:rFonts w:hint="eastAsia" w:ascii="仿宋_GB2312" w:hAnsi="宋体" w:eastAsia="仿宋_GB2312"/>
          <w:color w:val="auto"/>
          <w:sz w:val="32"/>
          <w:szCs w:val="32"/>
        </w:rPr>
        <w:t>机关运行经费预算为</w:t>
      </w:r>
      <w:r>
        <w:rPr>
          <w:rFonts w:hint="eastAsia" w:ascii="仿宋_GB2312" w:hAnsi="宋体" w:eastAsia="仿宋_GB2312"/>
          <w:color w:val="auto"/>
          <w:sz w:val="32"/>
          <w:szCs w:val="32"/>
          <w:lang w:val="en-US" w:eastAsia="zh-CN"/>
        </w:rPr>
        <w:t>5.39</w:t>
      </w:r>
      <w:r>
        <w:rPr>
          <w:rFonts w:hint="eastAsia" w:ascii="仿宋_GB2312" w:hAnsi="宋体" w:eastAsia="仿宋_GB2312"/>
          <w:color w:val="auto"/>
          <w:sz w:val="32"/>
          <w:szCs w:val="32"/>
        </w:rPr>
        <w:t>万元，</w:t>
      </w:r>
      <w:r>
        <w:rPr>
          <w:rFonts w:hint="eastAsia" w:ascii="仿宋_GB2312" w:eastAsia="仿宋_GB2312"/>
          <w:color w:val="auto"/>
          <w:sz w:val="32"/>
          <w:szCs w:val="32"/>
          <w:lang w:eastAsia="zh-CN"/>
        </w:rPr>
        <w:t>2024年机关运行经费预算安排5.14万元，比上年增加</w:t>
      </w:r>
      <w:r>
        <w:rPr>
          <w:rFonts w:hint="eastAsia" w:ascii="仿宋_GB2312" w:eastAsia="仿宋_GB2312"/>
          <w:color w:val="auto"/>
          <w:sz w:val="32"/>
          <w:szCs w:val="32"/>
          <w:lang w:val="en-US" w:eastAsia="zh-CN"/>
        </w:rPr>
        <w:t>0.25万元，增长4.86%，主要原因是人员增加。其中</w:t>
      </w:r>
      <w:r>
        <w:rPr>
          <w:rFonts w:hint="eastAsia" w:ascii="仿宋_GB2312" w:hAnsi="宋体" w:eastAsia="仿宋_GB2312"/>
          <w:color w:val="auto"/>
          <w:sz w:val="32"/>
          <w:szCs w:val="32"/>
        </w:rPr>
        <w:t>包括</w:t>
      </w:r>
      <w:r>
        <w:rPr>
          <w:rFonts w:hint="eastAsia" w:ascii="仿宋_GB2312" w:hAnsi="宋体" w:eastAsia="仿宋_GB2312"/>
          <w:color w:val="auto"/>
          <w:sz w:val="32"/>
          <w:szCs w:val="32"/>
          <w:lang w:eastAsia="zh-CN"/>
        </w:rPr>
        <w:t>办公费</w:t>
      </w:r>
      <w:r>
        <w:rPr>
          <w:rFonts w:hint="eastAsia" w:ascii="仿宋_GB2312" w:hAnsi="宋体" w:eastAsia="仿宋_GB2312"/>
          <w:color w:val="auto"/>
          <w:sz w:val="32"/>
          <w:szCs w:val="32"/>
          <w:lang w:val="en-US" w:eastAsia="zh-CN"/>
        </w:rPr>
        <w:t>1.93万元，印刷费0.5万元，差旅费0.2万元，维修费0.5万元，其他商品和服务支出2.26万元。</w:t>
      </w:r>
    </w:p>
    <w:p w14:paraId="616C3F22">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w:t>
      </w:r>
      <w:r>
        <w:rPr>
          <w:rFonts w:hint="eastAsia" w:ascii="仿宋_GB2312" w:eastAsia="仿宋_GB2312"/>
          <w:color w:val="auto"/>
          <w:sz w:val="32"/>
          <w:szCs w:val="32"/>
          <w:lang w:eastAsia="zh-CN"/>
        </w:rPr>
        <w:t>盘山县工业和信息化局（本级）</w:t>
      </w:r>
      <w:r>
        <w:rPr>
          <w:rFonts w:hint="eastAsia" w:ascii="仿宋_GB2312" w:hAnsi="仿宋_GB2312" w:eastAsia="仿宋_GB2312" w:cs="仿宋_GB2312"/>
          <w:color w:val="auto"/>
          <w:sz w:val="32"/>
          <w:szCs w:val="32"/>
          <w:lang w:val="en-US" w:eastAsia="zh-CN"/>
        </w:rPr>
        <w:t>安排政府采购预算0万元。</w:t>
      </w:r>
    </w:p>
    <w:p w14:paraId="2A36F7C3">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五、“三公”经费预算情况</w:t>
      </w:r>
    </w:p>
    <w:p w14:paraId="3B961419">
      <w:pPr>
        <w:snapToGrid w:val="0"/>
        <w:spacing w:line="322" w:lineRule="auto"/>
        <w:ind w:firstLine="629" w:firstLineChars="19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eastAsia="仿宋_GB2312"/>
          <w:color w:val="auto"/>
          <w:sz w:val="32"/>
          <w:szCs w:val="32"/>
          <w:lang w:eastAsia="zh-CN"/>
        </w:rPr>
        <w:t>盘山县工业和信息化局（本级）</w:t>
      </w:r>
      <w:r>
        <w:rPr>
          <w:rFonts w:hint="eastAsia" w:ascii="仿宋_GB2312" w:eastAsia="仿宋_GB2312"/>
          <w:color w:val="auto"/>
          <w:sz w:val="32"/>
          <w:szCs w:val="32"/>
        </w:rPr>
        <w:t>预算安排的 “三公”经费预算为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p>
    <w:p w14:paraId="2CF779CE">
      <w:pPr>
        <w:snapToGrid w:val="0"/>
        <w:spacing w:line="322" w:lineRule="auto"/>
        <w:ind w:firstLine="629" w:firstLineChars="195"/>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2025年度“三公”经费预算支出比2024年度减少0万元。</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auto"/>
                <w:kern w:val="0"/>
                <w:sz w:val="30"/>
                <w:szCs w:val="30"/>
              </w:rPr>
            </w:pPr>
            <w:r>
              <w:rPr>
                <w:rFonts w:hint="eastAsia" w:ascii="宋体" w:hAnsi="宋体" w:cs="宋体"/>
                <w:b/>
                <w:bCs/>
                <w:color w:val="auto"/>
                <w:kern w:val="0"/>
                <w:sz w:val="30"/>
                <w:szCs w:val="30"/>
                <w:lang w:eastAsia="zh-CN"/>
              </w:rPr>
              <w:t>财政拨款</w:t>
            </w:r>
            <w:r>
              <w:rPr>
                <w:rFonts w:hint="eastAsia" w:ascii="宋体" w:hAnsi="宋体" w:cs="宋体"/>
                <w:b/>
                <w:bCs/>
                <w:color w:val="auto"/>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auto"/>
                <w:kern w:val="0"/>
                <w:sz w:val="24"/>
              </w:rPr>
            </w:pPr>
          </w:p>
        </w:tc>
        <w:tc>
          <w:tcPr>
            <w:tcW w:w="2026" w:type="dxa"/>
            <w:vAlign w:val="center"/>
          </w:tcPr>
          <w:p w14:paraId="61B46910">
            <w:pPr>
              <w:widowControl/>
              <w:spacing w:line="560" w:lineRule="exact"/>
              <w:jc w:val="left"/>
              <w:rPr>
                <w:rFonts w:ascii="宋体" w:hAnsi="宋体" w:cs="宋体"/>
                <w:color w:val="auto"/>
                <w:kern w:val="0"/>
                <w:sz w:val="24"/>
              </w:rPr>
            </w:pPr>
          </w:p>
        </w:tc>
        <w:tc>
          <w:tcPr>
            <w:tcW w:w="3386" w:type="dxa"/>
            <w:gridSpan w:val="2"/>
            <w:vAlign w:val="center"/>
          </w:tcPr>
          <w:p w14:paraId="7B94A911">
            <w:pPr>
              <w:widowControl/>
              <w:spacing w:line="560" w:lineRule="exact"/>
              <w:jc w:val="right"/>
              <w:rPr>
                <w:rFonts w:ascii="宋体" w:hAnsi="宋体" w:cs="宋体"/>
                <w:color w:val="auto"/>
                <w:kern w:val="0"/>
                <w:sz w:val="24"/>
              </w:rPr>
            </w:pPr>
            <w:r>
              <w:rPr>
                <w:rFonts w:hint="eastAsia" w:ascii="宋体" w:hAnsi="宋体" w:cs="宋体"/>
                <w:color w:val="auto"/>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auto"/>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（2024）</w:t>
            </w:r>
            <w:r>
              <w:rPr>
                <w:rFonts w:hint="eastAsia" w:ascii="宋体" w:hAnsi="宋体" w:cs="宋体"/>
                <w:b/>
                <w:bCs/>
                <w:color w:val="auto"/>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2025</w:t>
            </w:r>
            <w:r>
              <w:rPr>
                <w:rFonts w:hint="eastAsia" w:ascii="宋体" w:hAnsi="宋体" w:cs="宋体"/>
                <w:b/>
                <w:bCs/>
                <w:color w:val="auto"/>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auto"/>
                <w:kern w:val="0"/>
                <w:sz w:val="24"/>
              </w:rPr>
            </w:pPr>
            <w:r>
              <w:rPr>
                <w:rFonts w:hint="eastAsia" w:ascii="宋体" w:hAnsi="宋体" w:cs="宋体"/>
                <w:color w:val="auto"/>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auto"/>
                <w:kern w:val="0"/>
                <w:sz w:val="24"/>
              </w:rPr>
            </w:pPr>
            <w:r>
              <w:rPr>
                <w:rFonts w:hint="eastAsia" w:ascii="宋体" w:hAnsi="宋体" w:cs="宋体"/>
                <w:color w:val="auto"/>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auto"/>
                <w:kern w:val="0"/>
                <w:sz w:val="24"/>
              </w:rPr>
            </w:pPr>
            <w:r>
              <w:rPr>
                <w:rFonts w:hint="eastAsia" w:ascii="宋体" w:hAnsi="宋体" w:cs="宋体"/>
                <w:color w:val="auto"/>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bl>
    <w:p w14:paraId="2942E408">
      <w:pPr>
        <w:spacing w:line="560" w:lineRule="exact"/>
        <w:ind w:firstLine="646" w:firstLineChars="200"/>
        <w:rPr>
          <w:rFonts w:ascii="仿宋_GB2312" w:hAnsi="宋体" w:eastAsia="仿宋_GB2312"/>
          <w:color w:val="auto"/>
          <w:sz w:val="32"/>
          <w:szCs w:val="32"/>
        </w:rPr>
      </w:pPr>
      <w:r>
        <w:rPr>
          <w:rFonts w:hint="eastAsia" w:ascii="黑体" w:hAnsi="黑体" w:eastAsia="黑体"/>
          <w:color w:val="auto"/>
          <w:sz w:val="32"/>
          <w:szCs w:val="32"/>
        </w:rPr>
        <w:t>六、国有资产占用情况</w:t>
      </w:r>
    </w:p>
    <w:p w14:paraId="270AF4ED">
      <w:pPr>
        <w:spacing w:line="560" w:lineRule="exact"/>
        <w:ind w:firstLine="646" w:firstLineChars="200"/>
        <w:rPr>
          <w:rFonts w:ascii="仿宋_GB2312" w:hAnsi="宋体" w:eastAsia="仿宋_GB2312"/>
          <w:color w:val="auto"/>
          <w:sz w:val="32"/>
          <w:szCs w:val="32"/>
        </w:rPr>
      </w:pPr>
      <w:r>
        <w:rPr>
          <w:rFonts w:hint="eastAsia" w:ascii="仿宋_GB2312" w:eastAsia="仿宋_GB2312"/>
          <w:color w:val="auto"/>
          <w:sz w:val="32"/>
          <w:szCs w:val="32"/>
          <w:lang w:eastAsia="zh-CN"/>
        </w:rPr>
        <w:t>盘山县工业和信息化局（本级）</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年年初预算购置车辆</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台，金额</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万元，单位价值50万元以上的通用设备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台，单位价值100万元以上的专用设备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w:t>
      </w:r>
    </w:p>
    <w:p w14:paraId="1BB00385">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七、预算绩效目标情况</w:t>
      </w:r>
    </w:p>
    <w:p w14:paraId="7013E6F2">
      <w:pPr>
        <w:spacing w:line="560" w:lineRule="exact"/>
        <w:ind w:firstLine="632" w:firstLineChars="196"/>
        <w:rPr>
          <w:rFonts w:hint="eastAsia" w:ascii="宋体" w:hAnsi="宋体"/>
          <w:b/>
          <w:color w:val="auto"/>
          <w:sz w:val="36"/>
          <w:szCs w:val="36"/>
        </w:rPr>
      </w:pPr>
      <w:r>
        <w:rPr>
          <w:rFonts w:hint="eastAsia" w:ascii="仿宋_GB2312" w:hAnsi="宋体" w:eastAsia="仿宋_GB2312"/>
          <w:color w:val="auto"/>
          <w:sz w:val="32"/>
          <w:szCs w:val="32"/>
          <w:highlight w:val="none"/>
        </w:rPr>
        <w:t>根据预算绩效管理要求，</w:t>
      </w:r>
      <w:r>
        <w:rPr>
          <w:rFonts w:hint="eastAsia" w:ascii="仿宋_GB2312" w:eastAsia="仿宋_GB2312"/>
          <w:color w:val="auto"/>
          <w:sz w:val="32"/>
          <w:szCs w:val="32"/>
          <w:highlight w:val="none"/>
          <w:lang w:eastAsia="zh-CN"/>
        </w:rPr>
        <w:t>盘山县工业和信息化局（本级）</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年应编制部门（单位）整体绩效目标共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个，实际编制部门（单位）整体绩效目标共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个，编制部门（单位）整体绩效目标覆盖率（实际编制绩效目标的数量/应编制绩效目标的数量）为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165.7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color w:val="auto"/>
          <w:sz w:val="36"/>
          <w:szCs w:val="36"/>
        </w:rPr>
      </w:pPr>
      <w:r>
        <w:rPr>
          <w:rFonts w:hint="eastAsia" w:ascii="宋体" w:hAnsi="宋体"/>
          <w:b/>
          <w:color w:val="auto"/>
          <w:sz w:val="36"/>
          <w:szCs w:val="36"/>
        </w:rPr>
        <w:t>第四部分 名词解释</w:t>
      </w:r>
    </w:p>
    <w:p w14:paraId="48ECA87E">
      <w:pPr>
        <w:spacing w:line="560" w:lineRule="exact"/>
        <w:jc w:val="center"/>
        <w:rPr>
          <w:rFonts w:ascii="仿宋_GB2312" w:eastAsia="仿宋_GB2312"/>
          <w:color w:val="auto"/>
          <w:sz w:val="32"/>
          <w:szCs w:val="32"/>
        </w:rPr>
      </w:pPr>
    </w:p>
    <w:p w14:paraId="3205A14F">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1.一般公共预算收入：</w:t>
      </w:r>
      <w:r>
        <w:rPr>
          <w:rFonts w:hint="eastAsia" w:ascii="仿宋_GB2312" w:eastAsia="仿宋_GB2312"/>
          <w:b w:val="0"/>
          <w:bCs/>
          <w:color w:val="auto"/>
          <w:sz w:val="32"/>
          <w:szCs w:val="32"/>
        </w:rPr>
        <w:t>指县级财政当年拨付的资金。</w:t>
      </w:r>
    </w:p>
    <w:p w14:paraId="45F40704">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2.上级补助收入：</w:t>
      </w:r>
      <w:r>
        <w:rPr>
          <w:rFonts w:hint="eastAsia" w:ascii="仿宋_GB2312" w:eastAsia="仿宋_GB2312"/>
          <w:b w:val="0"/>
          <w:bCs/>
          <w:color w:val="auto"/>
          <w:sz w:val="32"/>
          <w:szCs w:val="32"/>
        </w:rPr>
        <w:t>指单位从主管部门和上级单位取得的非财政性补助收入。</w:t>
      </w:r>
    </w:p>
    <w:p w14:paraId="09DA250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3.事业收入：</w:t>
      </w:r>
      <w:r>
        <w:rPr>
          <w:rFonts w:hint="eastAsia" w:ascii="仿宋_GB2312" w:eastAsia="仿宋_GB2312"/>
          <w:b w:val="0"/>
          <w:bCs/>
          <w:color w:val="auto"/>
          <w:sz w:val="32"/>
          <w:szCs w:val="32"/>
        </w:rPr>
        <w:t>指事业单位开展专业业务活动及辅助活动所取得的收入。</w:t>
      </w:r>
    </w:p>
    <w:p w14:paraId="79DDABAB">
      <w:pPr>
        <w:spacing w:line="560" w:lineRule="exact"/>
        <w:jc w:val="left"/>
        <w:rPr>
          <w:rFonts w:hint="eastAsia" w:ascii="仿宋_GB2312" w:eastAsia="仿宋_GB2312"/>
          <w:b/>
          <w:color w:val="auto"/>
          <w:sz w:val="32"/>
          <w:szCs w:val="32"/>
        </w:rPr>
      </w:pPr>
    </w:p>
    <w:p w14:paraId="6D104520">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4.事业单位经营收入：</w:t>
      </w:r>
      <w:r>
        <w:rPr>
          <w:rFonts w:hint="eastAsia" w:ascii="仿宋_GB2312" w:eastAsia="仿宋_GB2312"/>
          <w:b w:val="0"/>
          <w:bCs/>
          <w:color w:val="auto"/>
          <w:sz w:val="32"/>
          <w:szCs w:val="32"/>
        </w:rPr>
        <w:t>指事业单位在专业业务活动及辅助活动之外开展非独立核算经营活动取得的收入。</w:t>
      </w:r>
    </w:p>
    <w:p w14:paraId="097B2239">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5.附属单位上缴收入：</w:t>
      </w:r>
      <w:r>
        <w:rPr>
          <w:rFonts w:hint="eastAsia" w:ascii="仿宋_GB2312" w:eastAsia="仿宋_GB2312"/>
          <w:b w:val="0"/>
          <w:bCs/>
          <w:color w:val="auto"/>
          <w:sz w:val="32"/>
          <w:szCs w:val="32"/>
        </w:rPr>
        <w:t>指单位附属的独立核算单位按照规定上缴的收入。</w:t>
      </w:r>
    </w:p>
    <w:p w14:paraId="7EB5C46F">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6.其他收入：</w:t>
      </w:r>
      <w:r>
        <w:rPr>
          <w:rFonts w:hint="eastAsia" w:ascii="仿宋_GB2312" w:eastAsia="仿宋_GB2312"/>
          <w:b w:val="0"/>
          <w:bCs/>
          <w:color w:val="auto"/>
          <w:sz w:val="32"/>
          <w:szCs w:val="32"/>
        </w:rPr>
        <w:t>指除上述“一般公共预算”、 “上级补助收入”、“事业收入”、“事业单位经营收入”、“附属单位上缴收入”等以外的收入。</w:t>
      </w:r>
    </w:p>
    <w:p w14:paraId="35DBF2F5">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7.上年结转：</w:t>
      </w:r>
      <w:r>
        <w:rPr>
          <w:rFonts w:hint="eastAsia" w:ascii="仿宋_GB2312" w:eastAsia="仿宋_GB2312"/>
          <w:b w:val="0"/>
          <w:bCs/>
          <w:color w:val="auto"/>
          <w:sz w:val="32"/>
          <w:szCs w:val="32"/>
        </w:rPr>
        <w:t>指以前年度尚未完成、结转到本年按有关规定继续使用的资金。</w:t>
      </w:r>
    </w:p>
    <w:p w14:paraId="47B8305D">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8.基本支出：</w:t>
      </w:r>
      <w:r>
        <w:rPr>
          <w:rFonts w:hint="eastAsia" w:ascii="仿宋_GB2312" w:eastAsia="仿宋_GB2312"/>
          <w:b w:val="0"/>
          <w:bCs/>
          <w:color w:val="auto"/>
          <w:sz w:val="32"/>
          <w:szCs w:val="32"/>
        </w:rPr>
        <w:t>指保障机构正常运转、完成日常工作任务而发生的人员支出和公用支出。</w:t>
      </w:r>
    </w:p>
    <w:p w14:paraId="48BF0872">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9.项目支出：</w:t>
      </w:r>
      <w:r>
        <w:rPr>
          <w:rFonts w:hint="eastAsia" w:ascii="仿宋_GB2312" w:eastAsia="仿宋_GB2312"/>
          <w:b w:val="0"/>
          <w:bCs/>
          <w:color w:val="auto"/>
          <w:sz w:val="32"/>
          <w:szCs w:val="32"/>
        </w:rPr>
        <w:t>指在基本支出之外为完成特定行政任务和事业发展目标所发生的支出。</w:t>
      </w:r>
    </w:p>
    <w:p w14:paraId="10FF8A83">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10.“三公”经费：</w:t>
      </w:r>
      <w:r>
        <w:rPr>
          <w:rFonts w:hint="eastAsia" w:ascii="仿宋_GB2312" w:eastAsia="仿宋_GB2312"/>
          <w:b w:val="0"/>
          <w:bCs/>
          <w:color w:val="auto"/>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C461C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11.一般公共服务支出（类）政府办公厅（室）及相关机构事务（款）信访事务（项）：</w:t>
      </w:r>
      <w:r>
        <w:rPr>
          <w:rFonts w:hint="eastAsia" w:ascii="仿宋_GB2312" w:eastAsia="仿宋_GB2312"/>
          <w:b w:val="0"/>
          <w:bCs/>
          <w:color w:val="auto"/>
          <w:sz w:val="32"/>
          <w:szCs w:val="32"/>
        </w:rPr>
        <w:t>反映各级政府用于接待群众来信来访方面的支出。</w:t>
      </w:r>
    </w:p>
    <w:p w14:paraId="459D8256">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12.一般公共服务（类）商贸事务（款）行政运行（项）：</w:t>
      </w:r>
      <w:r>
        <w:rPr>
          <w:rFonts w:hint="eastAsia" w:ascii="仿宋_GB2312" w:eastAsia="仿宋_GB2312"/>
          <w:b w:val="0"/>
          <w:bCs/>
          <w:color w:val="auto"/>
          <w:sz w:val="32"/>
          <w:szCs w:val="32"/>
        </w:rPr>
        <w:t>反映行政单位（包括实行公务员管理的事业单位）的基本支出。</w:t>
      </w:r>
    </w:p>
    <w:p w14:paraId="5F2513EB">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13.一般公共服务（类）商贸事务（款）一般行政管理事务（项）：</w:t>
      </w:r>
      <w:r>
        <w:rPr>
          <w:rFonts w:hint="eastAsia" w:ascii="仿宋_GB2312" w:eastAsia="仿宋_GB2312"/>
          <w:b w:val="0"/>
          <w:bCs/>
          <w:color w:val="auto"/>
          <w:sz w:val="32"/>
          <w:szCs w:val="32"/>
        </w:rPr>
        <w:t>反映行政单位（包括实行公务员管理的事业单位）未单独设置项级科目的其他项目支出。</w:t>
      </w:r>
    </w:p>
    <w:p w14:paraId="31E38C49">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14. 一般公共服务（类）商贸事务（款）其他商贸事务支出（项）：</w:t>
      </w:r>
      <w:r>
        <w:rPr>
          <w:rFonts w:hint="eastAsia" w:ascii="仿宋_GB2312" w:eastAsia="仿宋_GB2312"/>
          <w:b w:val="0"/>
          <w:bCs/>
          <w:color w:val="auto"/>
          <w:sz w:val="32"/>
          <w:szCs w:val="32"/>
        </w:rPr>
        <w:t>反映上述项目以外其他用于商贸事务方面的支出。</w:t>
      </w:r>
    </w:p>
    <w:p w14:paraId="2894D8C8">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15. 社会保障和就业支出（类）行政事业单位养老支出（款）行政单位离退休（项）：</w:t>
      </w:r>
      <w:r>
        <w:rPr>
          <w:rFonts w:hint="eastAsia" w:ascii="仿宋_GB2312" w:eastAsia="仿宋_GB2312"/>
          <w:b w:val="0"/>
          <w:bCs/>
          <w:color w:val="auto"/>
          <w:sz w:val="32"/>
          <w:szCs w:val="32"/>
        </w:rPr>
        <w:t>反映行政单位（包括实行公务员管理的事业单位）开支的离退休经费。</w:t>
      </w:r>
    </w:p>
    <w:p w14:paraId="12AB52A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16. 社会保障和就业（类）行政事业单位离退休（款）机关事业单位基本养老保险缴费支出（项）：</w:t>
      </w:r>
      <w:r>
        <w:rPr>
          <w:rFonts w:hint="eastAsia" w:ascii="仿宋_GB2312" w:eastAsia="仿宋_GB2312"/>
          <w:b w:val="0"/>
          <w:bCs/>
          <w:color w:val="auto"/>
          <w:sz w:val="32"/>
          <w:szCs w:val="32"/>
        </w:rPr>
        <w:t>反映机关事业单位实施养老保险制度由单位缴纳的基本养老保险费支出。</w:t>
      </w:r>
    </w:p>
    <w:p w14:paraId="24332D61">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17. 社会保障和就业（类）行政事业单位离退休（款）机关事业单位职业年金缴费支出（项）：</w:t>
      </w:r>
      <w:r>
        <w:rPr>
          <w:rFonts w:hint="eastAsia" w:ascii="仿宋_GB2312" w:eastAsia="仿宋_GB2312"/>
          <w:b w:val="0"/>
          <w:bCs/>
          <w:color w:val="auto"/>
          <w:sz w:val="32"/>
          <w:szCs w:val="32"/>
        </w:rPr>
        <w:t>反映机关事业单位实施养老保险制度由单位实际缴纳的职业年金支出。</w:t>
      </w:r>
    </w:p>
    <w:p w14:paraId="24B96FFF">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18. 卫生健康支出（类）行政事业单位医疗（款）行政单位医疗（项）：</w:t>
      </w:r>
      <w:r>
        <w:rPr>
          <w:rFonts w:hint="eastAsia" w:ascii="仿宋_GB2312" w:eastAsia="仿宋_GB2312"/>
          <w:b w:val="0"/>
          <w:bCs/>
          <w:color w:val="auto"/>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9322900">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19.住房保障支出（类）住房改革支出（款）住房公积金（项）：</w:t>
      </w:r>
      <w:r>
        <w:rPr>
          <w:rFonts w:hint="eastAsia" w:ascii="仿宋_GB2312" w:eastAsia="仿宋_GB2312"/>
          <w:b w:val="0"/>
          <w:bCs/>
          <w:color w:val="auto"/>
          <w:sz w:val="32"/>
          <w:szCs w:val="32"/>
        </w:rPr>
        <w:t>反映行政事业单位按人力资源和社会保障部、财政部规定的基本工资和津贴补贴以及规定比例为职工缴纳的住房公积金。</w:t>
      </w:r>
    </w:p>
    <w:p w14:paraId="520E06C1">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20.机关运行经费：</w:t>
      </w:r>
      <w:r>
        <w:rPr>
          <w:rFonts w:hint="eastAsia" w:ascii="仿宋_GB2312" w:eastAsia="仿宋_GB2312"/>
          <w:b w:val="0"/>
          <w:bCs/>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9D423"/>
    <w:multiLevelType w:val="singleLevel"/>
    <w:tmpl w:val="17D9D423"/>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12614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09125AE"/>
    <w:rsid w:val="11B20219"/>
    <w:rsid w:val="126B66EF"/>
    <w:rsid w:val="127267ED"/>
    <w:rsid w:val="130D280B"/>
    <w:rsid w:val="132428BF"/>
    <w:rsid w:val="14A74DE5"/>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BFE3645"/>
    <w:rsid w:val="2D2449BD"/>
    <w:rsid w:val="2EB3162C"/>
    <w:rsid w:val="2EE465A5"/>
    <w:rsid w:val="2F142285"/>
    <w:rsid w:val="2F3DE142"/>
    <w:rsid w:val="2FAC4B1B"/>
    <w:rsid w:val="313E7D46"/>
    <w:rsid w:val="316C7C8A"/>
    <w:rsid w:val="31EE3102"/>
    <w:rsid w:val="31FB3A39"/>
    <w:rsid w:val="34190834"/>
    <w:rsid w:val="34A51AF9"/>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BC75484"/>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5F57FAE"/>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EF96205"/>
    <w:rsid w:val="5FE2B437"/>
    <w:rsid w:val="5FEF5520"/>
    <w:rsid w:val="5FF71960"/>
    <w:rsid w:val="60147D4F"/>
    <w:rsid w:val="60B34342"/>
    <w:rsid w:val="616B3E01"/>
    <w:rsid w:val="61DE4A37"/>
    <w:rsid w:val="62066B73"/>
    <w:rsid w:val="628C5B80"/>
    <w:rsid w:val="638C42D9"/>
    <w:rsid w:val="63B5482C"/>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77306B"/>
    <w:rsid w:val="741831B5"/>
    <w:rsid w:val="75C80649"/>
    <w:rsid w:val="762F7860"/>
    <w:rsid w:val="76D6577B"/>
    <w:rsid w:val="77CB17F7"/>
    <w:rsid w:val="77EF22B1"/>
    <w:rsid w:val="79022643"/>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4822</Words>
  <Characters>5006</Characters>
  <Lines>22</Lines>
  <Paragraphs>6</Paragraphs>
  <TotalTime>1</TotalTime>
  <ScaleCrop>false</ScaleCrop>
  <LinksUpToDate>false</LinksUpToDate>
  <CharactersWithSpaces>5051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2025-02-25T01:15:06Z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