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1AC36">
      <w:pPr>
        <w:pStyle w:val="2"/>
        <w:rPr>
          <w:rFonts w:hint="eastAsia" w:ascii="仿宋_GB2312" w:eastAsia="仿宋_GB2312"/>
          <w:sz w:val="32"/>
          <w:szCs w:val="32"/>
          <w:lang w:val="en-US" w:eastAsia="zh-CN"/>
        </w:rPr>
      </w:pPr>
    </w:p>
    <w:p w14:paraId="4F47681A">
      <w:pPr>
        <w:spacing w:line="480" w:lineRule="auto"/>
        <w:jc w:val="center"/>
        <w:rPr>
          <w:rFonts w:hint="eastAsia"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盘山县商务局</w:t>
      </w:r>
    </w:p>
    <w:p w14:paraId="5E03CE78">
      <w:pPr>
        <w:spacing w:line="480" w:lineRule="auto"/>
        <w:jc w:val="center"/>
        <w:rPr>
          <w:rFonts w:hint="eastAsia" w:ascii="方正小标宋简体" w:hAnsi="方正小标宋简体" w:eastAsia="方正小标宋简体" w:cs="方正小标宋简体"/>
          <w:b/>
          <w:sz w:val="44"/>
          <w:szCs w:val="44"/>
          <w:u w:val="single"/>
        </w:rPr>
      </w:pPr>
      <w:r>
        <w:rPr>
          <w:rFonts w:hint="eastAsia" w:ascii="方正小标宋简体" w:hAnsi="方正小标宋简体" w:eastAsia="方正小标宋简体" w:cs="方正小标宋简体"/>
          <w:b/>
          <w:sz w:val="44"/>
          <w:szCs w:val="44"/>
        </w:rPr>
        <w:t>202</w:t>
      </w:r>
      <w:r>
        <w:rPr>
          <w:rFonts w:hint="eastAsia" w:ascii="方正小标宋简体" w:hAnsi="方正小标宋简体" w:eastAsia="方正小标宋简体" w:cs="方正小标宋简体"/>
          <w:b/>
          <w:sz w:val="44"/>
          <w:szCs w:val="44"/>
          <w:lang w:val="en-US" w:eastAsia="zh-CN"/>
        </w:rPr>
        <w:t>5</w:t>
      </w:r>
      <w:r>
        <w:rPr>
          <w:rFonts w:hint="eastAsia" w:ascii="方正小标宋简体" w:hAnsi="方正小标宋简体" w:eastAsia="方正小标宋简体" w:cs="方正小标宋简体"/>
          <w:b/>
          <w:sz w:val="44"/>
          <w:szCs w:val="44"/>
        </w:rPr>
        <w:t>年度</w:t>
      </w:r>
      <w:r>
        <w:rPr>
          <w:rFonts w:hint="eastAsia" w:ascii="方正小标宋简体" w:hAnsi="方正小标宋简体" w:eastAsia="方正小标宋简体" w:cs="方正小标宋简体"/>
          <w:b/>
          <w:sz w:val="44"/>
          <w:szCs w:val="44"/>
          <w:lang w:eastAsia="zh-CN"/>
        </w:rPr>
        <w:t>单位</w:t>
      </w:r>
      <w:r>
        <w:rPr>
          <w:rFonts w:hint="eastAsia" w:ascii="方正小标宋简体" w:hAnsi="方正小标宋简体" w:eastAsia="方正小标宋简体" w:cs="方正小标宋简体"/>
          <w:b/>
          <w:sz w:val="44"/>
          <w:szCs w:val="44"/>
        </w:rPr>
        <w:t>预算公开说明</w:t>
      </w:r>
    </w:p>
    <w:p w14:paraId="42273C85">
      <w:pPr>
        <w:spacing w:line="480" w:lineRule="auto"/>
        <w:jc w:val="center"/>
        <w:rPr>
          <w:rFonts w:hint="eastAsia"/>
          <w:b/>
          <w:sz w:val="44"/>
          <w:szCs w:val="44"/>
          <w:u w:val="single"/>
        </w:rPr>
      </w:pPr>
    </w:p>
    <w:p w14:paraId="21491B8C">
      <w:pPr>
        <w:spacing w:line="540" w:lineRule="exact"/>
        <w:jc w:val="center"/>
        <w:rPr>
          <w:rFonts w:hint="eastAsia"/>
          <w:b/>
          <w:sz w:val="44"/>
          <w:szCs w:val="44"/>
          <w:u w:val="single"/>
        </w:rPr>
      </w:pPr>
    </w:p>
    <w:p w14:paraId="3D575C3B">
      <w:pPr>
        <w:spacing w:line="540" w:lineRule="exact"/>
        <w:jc w:val="center"/>
        <w:rPr>
          <w:rFonts w:hint="eastAsia"/>
          <w:b/>
          <w:sz w:val="44"/>
          <w:szCs w:val="44"/>
          <w:u w:val="single"/>
        </w:rPr>
      </w:pPr>
    </w:p>
    <w:p w14:paraId="6BCB7235">
      <w:pPr>
        <w:spacing w:line="540" w:lineRule="exact"/>
        <w:jc w:val="center"/>
        <w:rPr>
          <w:rFonts w:hint="eastAsia"/>
          <w:b/>
          <w:sz w:val="44"/>
          <w:szCs w:val="44"/>
          <w:u w:val="single"/>
        </w:rPr>
      </w:pPr>
    </w:p>
    <w:p w14:paraId="76E7F285">
      <w:pPr>
        <w:spacing w:line="540" w:lineRule="exact"/>
        <w:jc w:val="center"/>
        <w:rPr>
          <w:rFonts w:hint="eastAsia"/>
          <w:b/>
          <w:sz w:val="44"/>
          <w:szCs w:val="44"/>
          <w:u w:val="single"/>
        </w:rPr>
      </w:pPr>
    </w:p>
    <w:p w14:paraId="51622AB5">
      <w:pPr>
        <w:spacing w:line="540" w:lineRule="exact"/>
        <w:jc w:val="center"/>
        <w:rPr>
          <w:rFonts w:hint="eastAsia"/>
          <w:b/>
          <w:sz w:val="44"/>
          <w:szCs w:val="44"/>
          <w:u w:val="single"/>
        </w:rPr>
      </w:pPr>
    </w:p>
    <w:p w14:paraId="72861CDE">
      <w:pPr>
        <w:spacing w:line="540" w:lineRule="exact"/>
        <w:jc w:val="center"/>
        <w:rPr>
          <w:rFonts w:hint="eastAsia"/>
          <w:b/>
          <w:sz w:val="44"/>
          <w:szCs w:val="44"/>
          <w:u w:val="single"/>
        </w:rPr>
      </w:pPr>
    </w:p>
    <w:p w14:paraId="287ABD15">
      <w:pPr>
        <w:spacing w:line="540" w:lineRule="exact"/>
        <w:jc w:val="center"/>
        <w:rPr>
          <w:rFonts w:hint="eastAsia"/>
          <w:b/>
          <w:sz w:val="44"/>
          <w:szCs w:val="44"/>
          <w:u w:val="single"/>
        </w:rPr>
      </w:pPr>
    </w:p>
    <w:p w14:paraId="312DB3F9">
      <w:pPr>
        <w:spacing w:line="540" w:lineRule="exact"/>
        <w:jc w:val="center"/>
        <w:rPr>
          <w:rFonts w:hint="eastAsia"/>
          <w:b/>
          <w:sz w:val="44"/>
          <w:szCs w:val="44"/>
          <w:u w:val="single"/>
        </w:rPr>
      </w:pPr>
    </w:p>
    <w:p w14:paraId="463BC89B">
      <w:pPr>
        <w:spacing w:line="540" w:lineRule="exact"/>
        <w:jc w:val="center"/>
        <w:rPr>
          <w:rFonts w:hint="eastAsia"/>
          <w:b/>
          <w:sz w:val="44"/>
          <w:szCs w:val="44"/>
          <w:u w:val="single"/>
        </w:rPr>
      </w:pPr>
    </w:p>
    <w:p w14:paraId="5894FC60">
      <w:pPr>
        <w:spacing w:line="540" w:lineRule="exact"/>
        <w:jc w:val="center"/>
        <w:rPr>
          <w:rFonts w:hint="eastAsia"/>
          <w:b/>
          <w:sz w:val="44"/>
          <w:szCs w:val="44"/>
          <w:u w:val="single"/>
        </w:rPr>
      </w:pPr>
    </w:p>
    <w:p w14:paraId="6942CB58">
      <w:pPr>
        <w:spacing w:line="540" w:lineRule="exact"/>
        <w:jc w:val="center"/>
        <w:rPr>
          <w:rFonts w:hint="eastAsia"/>
          <w:b/>
          <w:sz w:val="44"/>
          <w:szCs w:val="44"/>
          <w:u w:val="single"/>
        </w:rPr>
      </w:pPr>
    </w:p>
    <w:p w14:paraId="6CAACC77">
      <w:pPr>
        <w:spacing w:line="540" w:lineRule="exact"/>
        <w:jc w:val="center"/>
        <w:rPr>
          <w:rFonts w:hint="eastAsia"/>
          <w:b/>
          <w:sz w:val="44"/>
          <w:szCs w:val="44"/>
          <w:u w:val="single"/>
        </w:rPr>
      </w:pPr>
    </w:p>
    <w:p w14:paraId="43979F55">
      <w:pPr>
        <w:spacing w:line="540" w:lineRule="exact"/>
        <w:jc w:val="center"/>
        <w:rPr>
          <w:rFonts w:hint="eastAsia"/>
          <w:b/>
          <w:sz w:val="44"/>
          <w:szCs w:val="44"/>
          <w:u w:val="single"/>
        </w:rPr>
      </w:pPr>
    </w:p>
    <w:p w14:paraId="41F892D9">
      <w:pPr>
        <w:spacing w:line="540" w:lineRule="exact"/>
        <w:jc w:val="center"/>
        <w:rPr>
          <w:rFonts w:hint="eastAsia"/>
          <w:b/>
          <w:sz w:val="44"/>
          <w:szCs w:val="44"/>
          <w:u w:val="single"/>
        </w:rPr>
      </w:pPr>
    </w:p>
    <w:p w14:paraId="4EB5F886">
      <w:pPr>
        <w:spacing w:line="540" w:lineRule="exact"/>
        <w:jc w:val="center"/>
        <w:rPr>
          <w:rFonts w:hint="eastAsia"/>
          <w:b/>
          <w:sz w:val="44"/>
          <w:szCs w:val="44"/>
          <w:u w:val="single"/>
        </w:rPr>
      </w:pPr>
    </w:p>
    <w:p w14:paraId="163460AE">
      <w:pPr>
        <w:spacing w:line="540" w:lineRule="exact"/>
        <w:jc w:val="center"/>
        <w:rPr>
          <w:rFonts w:hint="eastAsia"/>
          <w:b/>
          <w:sz w:val="44"/>
          <w:szCs w:val="44"/>
          <w:u w:val="single"/>
        </w:rPr>
      </w:pPr>
    </w:p>
    <w:p w14:paraId="32AD82FE">
      <w:pPr>
        <w:spacing w:line="540" w:lineRule="exact"/>
        <w:jc w:val="center"/>
        <w:rPr>
          <w:rFonts w:hint="eastAsia"/>
          <w:b/>
          <w:sz w:val="36"/>
          <w:szCs w:val="36"/>
        </w:rPr>
      </w:pPr>
    </w:p>
    <w:p w14:paraId="7E5AC9BC">
      <w:pPr>
        <w:spacing w:line="540" w:lineRule="exact"/>
        <w:jc w:val="center"/>
        <w:rPr>
          <w:rFonts w:hint="eastAsia"/>
          <w:b/>
          <w:sz w:val="36"/>
          <w:szCs w:val="36"/>
        </w:rPr>
      </w:pPr>
    </w:p>
    <w:p w14:paraId="389C3109">
      <w:pPr>
        <w:spacing w:line="540" w:lineRule="exact"/>
        <w:jc w:val="center"/>
        <w:rPr>
          <w:rFonts w:hint="eastAsia"/>
          <w:b/>
          <w:sz w:val="36"/>
          <w:szCs w:val="36"/>
        </w:rPr>
      </w:pPr>
    </w:p>
    <w:p w14:paraId="17784AF9">
      <w:pPr>
        <w:spacing w:line="540" w:lineRule="exact"/>
        <w:jc w:val="center"/>
        <w:rPr>
          <w:rFonts w:hint="eastAsia"/>
          <w:b/>
          <w:sz w:val="36"/>
          <w:szCs w:val="36"/>
        </w:rPr>
      </w:pPr>
    </w:p>
    <w:p w14:paraId="6A84AA7A">
      <w:pPr>
        <w:spacing w:line="540" w:lineRule="exact"/>
        <w:jc w:val="center"/>
        <w:rPr>
          <w:rFonts w:hint="eastAsia"/>
          <w:b/>
          <w:sz w:val="36"/>
          <w:szCs w:val="36"/>
        </w:rPr>
      </w:pPr>
      <w:r>
        <w:rPr>
          <w:rFonts w:hint="eastAsia"/>
          <w:b/>
          <w:sz w:val="36"/>
          <w:szCs w:val="36"/>
        </w:rPr>
        <w:t>盘山县</w:t>
      </w:r>
      <w:r>
        <w:rPr>
          <w:rFonts w:hint="eastAsia"/>
          <w:b/>
          <w:sz w:val="36"/>
          <w:szCs w:val="36"/>
          <w:lang w:eastAsia="zh-CN"/>
        </w:rPr>
        <w:t>商务</w:t>
      </w:r>
      <w:r>
        <w:rPr>
          <w:rFonts w:hint="eastAsia"/>
          <w:b/>
          <w:sz w:val="36"/>
          <w:szCs w:val="36"/>
        </w:rPr>
        <w:t>局</w:t>
      </w:r>
    </w:p>
    <w:p w14:paraId="2A2E21D4">
      <w:pPr>
        <w:spacing w:line="560" w:lineRule="exact"/>
        <w:jc w:val="center"/>
        <w:rPr>
          <w:rFonts w:hint="eastAsia"/>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eastAsia="zh-CN"/>
        </w:rPr>
        <w:t>单位</w:t>
      </w:r>
      <w:r>
        <w:rPr>
          <w:rFonts w:hint="eastAsia" w:ascii="黑体" w:hAnsi="黑体" w:eastAsia="黑体"/>
          <w:sz w:val="32"/>
          <w:szCs w:val="32"/>
        </w:rPr>
        <w:t>预算公开管理文件</w:t>
      </w:r>
    </w:p>
    <w:p w14:paraId="3B0230B4">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eastAsia="zh-CN"/>
        </w:rPr>
        <w:t>盘山县商务局</w:t>
      </w:r>
      <w:r>
        <w:rPr>
          <w:rFonts w:hint="eastAsia" w:ascii="黑体" w:hAnsi="黑体" w:eastAsia="黑体"/>
          <w:sz w:val="32"/>
          <w:szCs w:val="32"/>
        </w:rPr>
        <w:t>概况</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9D43D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0EF3F01">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eastAsia="zh-CN"/>
        </w:rPr>
        <w:t>盘山县商务局</w:t>
      </w:r>
      <w:r>
        <w:rPr>
          <w:rFonts w:hint="eastAsia" w:ascii="黑体" w:hAnsi="黑体" w:eastAsia="黑体"/>
          <w:sz w:val="32"/>
          <w:szCs w:val="32"/>
          <w:lang w:val="en-US" w:eastAsia="zh-CN"/>
        </w:rPr>
        <w:t>2025年单位</w:t>
      </w:r>
      <w:r>
        <w:rPr>
          <w:rFonts w:hint="eastAsia" w:ascii="黑体" w:hAnsi="黑体" w:eastAsia="黑体"/>
          <w:sz w:val="32"/>
          <w:szCs w:val="32"/>
        </w:rPr>
        <w:t>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E121B7E">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eastAsia="zh-CN"/>
        </w:rPr>
        <w:t>盘山县商务局单位</w:t>
      </w:r>
      <w:r>
        <w:rPr>
          <w:rFonts w:hint="eastAsia" w:ascii="黑体" w:hAnsi="黑体" w:eastAsia="黑体"/>
          <w:sz w:val="32"/>
          <w:szCs w:val="32"/>
        </w:rPr>
        <w:t>预算批复表</w:t>
      </w:r>
    </w:p>
    <w:p w14:paraId="587F5EE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54D6E3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4FB94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7F35B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33F3C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277201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405CA2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单位整体绩效目标表</w:t>
      </w:r>
    </w:p>
    <w:p w14:paraId="279B90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lang w:eastAsia="zh-CN"/>
        </w:rPr>
        <w:t>单位</w:t>
      </w:r>
      <w:r>
        <w:rPr>
          <w:rFonts w:hint="eastAsia" w:ascii="仿宋_GB2312" w:hAnsi="黑体" w:eastAsia="仿宋_GB2312"/>
          <w:sz w:val="32"/>
          <w:szCs w:val="32"/>
        </w:rPr>
        <w:t>预算项目绩效目标表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lang w:eastAsia="zh-CN"/>
        </w:rPr>
        <w:t>单位</w:t>
      </w:r>
      <w:r>
        <w:rPr>
          <w:rFonts w:hint="eastAsia" w:ascii="仿宋_GB2312" w:hAnsi="黑体" w:eastAsia="仿宋_GB2312"/>
          <w:sz w:val="32"/>
          <w:szCs w:val="32"/>
        </w:rPr>
        <w:t>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4980FA4D">
      <w:pPr>
        <w:spacing w:line="560" w:lineRule="exact"/>
        <w:jc w:val="center"/>
        <w:rPr>
          <w:rFonts w:ascii="宋体" w:hAnsi="宋体"/>
          <w:b/>
          <w:sz w:val="36"/>
          <w:szCs w:val="36"/>
        </w:rPr>
      </w:pPr>
    </w:p>
    <w:p w14:paraId="16370735">
      <w:pPr>
        <w:spacing w:line="560" w:lineRule="exact"/>
        <w:jc w:val="center"/>
        <w:rPr>
          <w:rFonts w:ascii="宋体" w:hAnsi="宋体"/>
          <w:b/>
          <w:sz w:val="36"/>
          <w:szCs w:val="36"/>
        </w:rPr>
      </w:pPr>
    </w:p>
    <w:p w14:paraId="093B9B94">
      <w:pPr>
        <w:pStyle w:val="2"/>
      </w:pPr>
      <w:bookmarkStart w:id="0" w:name="_GoBack"/>
      <w:bookmarkEnd w:id="0"/>
    </w:p>
    <w:p w14:paraId="48EEF53E">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eastAsia="zh-CN"/>
        </w:rPr>
        <w:t>单位</w:t>
      </w:r>
      <w:r>
        <w:rPr>
          <w:rFonts w:hint="eastAsia" w:ascii="宋体" w:hAnsi="宋体"/>
          <w:b/>
          <w:sz w:val="36"/>
          <w:szCs w:val="36"/>
        </w:rPr>
        <w:t>预算公开管理文件</w:t>
      </w:r>
    </w:p>
    <w:p w14:paraId="5FE99D0B">
      <w:pPr>
        <w:spacing w:line="560" w:lineRule="exact"/>
        <w:jc w:val="center"/>
        <w:rPr>
          <w:rFonts w:ascii="宋体" w:hAnsi="宋体"/>
          <w:b/>
          <w:sz w:val="36"/>
          <w:szCs w:val="36"/>
        </w:rPr>
      </w:pPr>
    </w:p>
    <w:p w14:paraId="6C23861B">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0B2B4D84">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0E167E74">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14A79DC1">
      <w:pPr>
        <w:spacing w:line="560" w:lineRule="exact"/>
        <w:rPr>
          <w:rFonts w:ascii="宋体" w:hAnsi="宋体"/>
          <w:b/>
          <w:sz w:val="36"/>
          <w:szCs w:val="36"/>
        </w:rPr>
      </w:pPr>
    </w:p>
    <w:p w14:paraId="795CFAAF">
      <w:pPr>
        <w:spacing w:line="560" w:lineRule="exact"/>
        <w:rPr>
          <w:rFonts w:ascii="宋体" w:hAnsi="宋体"/>
          <w:b/>
          <w:sz w:val="36"/>
          <w:szCs w:val="36"/>
        </w:rPr>
      </w:pPr>
    </w:p>
    <w:p w14:paraId="360FB761">
      <w:pPr>
        <w:spacing w:line="560" w:lineRule="exact"/>
        <w:rPr>
          <w:rFonts w:ascii="宋体" w:hAnsi="宋体"/>
          <w:b/>
          <w:sz w:val="36"/>
          <w:szCs w:val="36"/>
        </w:rPr>
      </w:pPr>
    </w:p>
    <w:p w14:paraId="31370376">
      <w:pPr>
        <w:spacing w:line="560" w:lineRule="exact"/>
        <w:rPr>
          <w:rFonts w:ascii="宋体" w:hAnsi="宋体"/>
          <w:b/>
          <w:sz w:val="36"/>
          <w:szCs w:val="36"/>
        </w:rPr>
      </w:pPr>
    </w:p>
    <w:p w14:paraId="023549FD">
      <w:pPr>
        <w:spacing w:line="560" w:lineRule="exact"/>
        <w:rPr>
          <w:rFonts w:ascii="宋体" w:hAnsi="宋体"/>
          <w:b/>
          <w:sz w:val="36"/>
          <w:szCs w:val="36"/>
        </w:rPr>
      </w:pPr>
    </w:p>
    <w:p w14:paraId="58FFF5FE">
      <w:pPr>
        <w:spacing w:line="560" w:lineRule="exact"/>
        <w:rPr>
          <w:rFonts w:ascii="宋体" w:hAnsi="宋体"/>
          <w:b/>
          <w:sz w:val="36"/>
          <w:szCs w:val="36"/>
        </w:rPr>
      </w:pPr>
    </w:p>
    <w:p w14:paraId="04D87A4A">
      <w:pPr>
        <w:spacing w:line="560" w:lineRule="exact"/>
        <w:rPr>
          <w:rFonts w:ascii="宋体" w:hAnsi="宋体"/>
          <w:b/>
          <w:sz w:val="36"/>
          <w:szCs w:val="36"/>
        </w:rPr>
      </w:pPr>
    </w:p>
    <w:p w14:paraId="6BD6D4C2">
      <w:pPr>
        <w:spacing w:line="560" w:lineRule="exact"/>
        <w:rPr>
          <w:rFonts w:ascii="宋体" w:hAnsi="宋体"/>
          <w:b/>
          <w:sz w:val="36"/>
          <w:szCs w:val="36"/>
        </w:rPr>
      </w:pPr>
    </w:p>
    <w:p w14:paraId="15536EB0">
      <w:pPr>
        <w:spacing w:line="560" w:lineRule="exact"/>
        <w:rPr>
          <w:rFonts w:ascii="宋体" w:hAnsi="宋体"/>
          <w:b/>
          <w:sz w:val="36"/>
          <w:szCs w:val="36"/>
        </w:rPr>
      </w:pPr>
    </w:p>
    <w:p w14:paraId="07B66B47">
      <w:pPr>
        <w:spacing w:line="560" w:lineRule="exact"/>
        <w:rPr>
          <w:rFonts w:ascii="宋体" w:hAnsi="宋体"/>
          <w:b/>
          <w:sz w:val="36"/>
          <w:szCs w:val="36"/>
        </w:rPr>
      </w:pPr>
    </w:p>
    <w:p w14:paraId="3EBCBE6D">
      <w:pPr>
        <w:spacing w:line="560" w:lineRule="exact"/>
        <w:rPr>
          <w:rFonts w:ascii="宋体" w:hAnsi="宋体"/>
          <w:b/>
          <w:sz w:val="36"/>
          <w:szCs w:val="36"/>
        </w:rPr>
      </w:pPr>
    </w:p>
    <w:p w14:paraId="45448C83">
      <w:pPr>
        <w:spacing w:line="560" w:lineRule="exact"/>
        <w:rPr>
          <w:rFonts w:ascii="宋体" w:hAnsi="宋体"/>
          <w:b/>
          <w:sz w:val="36"/>
          <w:szCs w:val="36"/>
        </w:rPr>
      </w:pPr>
    </w:p>
    <w:p w14:paraId="27A2C73B">
      <w:pPr>
        <w:spacing w:line="560" w:lineRule="exact"/>
        <w:rPr>
          <w:rFonts w:ascii="宋体" w:hAnsi="宋体"/>
          <w:b/>
          <w:sz w:val="36"/>
          <w:szCs w:val="36"/>
        </w:rPr>
      </w:pPr>
    </w:p>
    <w:p w14:paraId="3C7D5F5B">
      <w:pPr>
        <w:spacing w:line="560" w:lineRule="exact"/>
        <w:rPr>
          <w:rFonts w:ascii="宋体" w:hAnsi="宋体"/>
          <w:b/>
          <w:sz w:val="36"/>
          <w:szCs w:val="36"/>
        </w:rPr>
      </w:pPr>
    </w:p>
    <w:p w14:paraId="00C7D52D">
      <w:pPr>
        <w:spacing w:line="560" w:lineRule="exact"/>
        <w:rPr>
          <w:rFonts w:ascii="宋体" w:hAnsi="宋体"/>
          <w:b/>
          <w:sz w:val="36"/>
          <w:szCs w:val="36"/>
        </w:rPr>
      </w:pPr>
    </w:p>
    <w:p w14:paraId="42623903">
      <w:pPr>
        <w:spacing w:line="560" w:lineRule="exact"/>
        <w:rPr>
          <w:rFonts w:ascii="宋体" w:hAnsi="宋体"/>
          <w:b/>
          <w:sz w:val="36"/>
          <w:szCs w:val="36"/>
        </w:rPr>
      </w:pPr>
    </w:p>
    <w:p w14:paraId="6D70D149">
      <w:pPr>
        <w:spacing w:line="560" w:lineRule="exact"/>
        <w:rPr>
          <w:rFonts w:ascii="宋体" w:hAnsi="宋体"/>
          <w:b/>
          <w:sz w:val="36"/>
          <w:szCs w:val="36"/>
        </w:rPr>
      </w:pPr>
    </w:p>
    <w:p w14:paraId="4B56D21B">
      <w:pPr>
        <w:spacing w:line="560" w:lineRule="exact"/>
        <w:rPr>
          <w:rFonts w:ascii="宋体" w:hAnsi="宋体"/>
          <w:b/>
          <w:sz w:val="36"/>
          <w:szCs w:val="36"/>
        </w:rPr>
      </w:pPr>
    </w:p>
    <w:p w14:paraId="38A0F637">
      <w:pPr>
        <w:spacing w:line="560" w:lineRule="exact"/>
        <w:rPr>
          <w:rFonts w:ascii="宋体" w:hAnsi="宋体"/>
          <w:b/>
          <w:sz w:val="36"/>
          <w:szCs w:val="36"/>
        </w:rPr>
      </w:pPr>
    </w:p>
    <w:p w14:paraId="13A00D6B">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eastAsia="zh-CN"/>
        </w:rPr>
        <w:t>盘山县商务局</w:t>
      </w:r>
      <w:r>
        <w:rPr>
          <w:rFonts w:hint="eastAsia" w:ascii="宋体" w:hAnsi="宋体"/>
          <w:b/>
          <w:sz w:val="36"/>
          <w:szCs w:val="36"/>
        </w:rPr>
        <w:t>概况</w:t>
      </w:r>
    </w:p>
    <w:p w14:paraId="477C6031">
      <w:pPr>
        <w:spacing w:line="560" w:lineRule="exact"/>
        <w:ind w:firstLine="646" w:firstLineChars="200"/>
        <w:jc w:val="left"/>
        <w:rPr>
          <w:rFonts w:ascii="黑体" w:eastAsia="黑体"/>
          <w:sz w:val="32"/>
          <w:szCs w:val="32"/>
        </w:rPr>
      </w:pPr>
    </w:p>
    <w:p w14:paraId="6759FDA3">
      <w:pPr>
        <w:spacing w:line="560" w:lineRule="exact"/>
        <w:ind w:firstLine="646" w:firstLineChars="200"/>
        <w:jc w:val="left"/>
        <w:rPr>
          <w:rFonts w:ascii="黑体" w:eastAsia="黑体"/>
          <w:sz w:val="32"/>
          <w:szCs w:val="32"/>
        </w:rPr>
      </w:pPr>
      <w:r>
        <w:rPr>
          <w:rFonts w:hint="eastAsia" w:ascii="黑体" w:eastAsia="黑体"/>
          <w:sz w:val="32"/>
          <w:szCs w:val="32"/>
        </w:rPr>
        <w:t>一、</w:t>
      </w:r>
      <w:r>
        <w:rPr>
          <w:rFonts w:hint="eastAsia" w:ascii="黑体" w:eastAsia="黑体"/>
          <w:sz w:val="32"/>
          <w:szCs w:val="32"/>
          <w:lang w:eastAsia="zh-CN"/>
        </w:rPr>
        <w:t>单位</w:t>
      </w:r>
      <w:r>
        <w:rPr>
          <w:rFonts w:hint="eastAsia" w:ascii="黑体" w:eastAsia="黑体"/>
          <w:sz w:val="32"/>
          <w:szCs w:val="32"/>
        </w:rPr>
        <w:t>职责</w:t>
      </w:r>
    </w:p>
    <w:p w14:paraId="1754B4D3">
      <w:pPr>
        <w:snapToGrid w:val="0"/>
        <w:spacing w:line="520" w:lineRule="exact"/>
        <w:ind w:firstLine="646" w:firstLineChars="200"/>
        <w:rPr>
          <w:rFonts w:ascii="仿宋" w:hAnsi="仿宋" w:eastAsia="仿宋"/>
          <w:sz w:val="32"/>
          <w:szCs w:val="32"/>
        </w:rPr>
      </w:pPr>
      <w:r>
        <w:rPr>
          <w:rFonts w:hint="eastAsia" w:ascii="仿宋" w:hAnsi="仿宋" w:eastAsia="仿宋"/>
          <w:sz w:val="32"/>
          <w:szCs w:val="32"/>
        </w:rPr>
        <w:t>1．主要职能。</w:t>
      </w:r>
    </w:p>
    <w:p w14:paraId="0359379F">
      <w:pPr>
        <w:adjustRightInd w:val="0"/>
        <w:snapToGrid w:val="0"/>
        <w:spacing w:line="322" w:lineRule="auto"/>
        <w:ind w:firstLine="646" w:firstLineChars="200"/>
        <w:rPr>
          <w:rFonts w:ascii="仿宋" w:hAnsi="仿宋" w:eastAsia="仿宋" w:cs="仿宋_GB2312"/>
          <w:sz w:val="32"/>
          <w:szCs w:val="32"/>
        </w:rPr>
      </w:pPr>
      <w:r>
        <w:rPr>
          <w:rFonts w:hint="eastAsia" w:ascii="仿宋" w:hAnsi="仿宋" w:eastAsia="仿宋" w:cs="仿宋_GB2312"/>
          <w:sz w:val="32"/>
          <w:szCs w:val="32"/>
        </w:rPr>
        <w:t>（一）贯彻执行国家、省、市关于国内外贸易和国际经济合作的方针政策和法律法规，研究经济全球化、对外经济合作、现代流通方式的发展趋势和流通体制改革并提出建议。</w:t>
      </w:r>
    </w:p>
    <w:p w14:paraId="7E582443">
      <w:pPr>
        <w:adjustRightInd w:val="0"/>
        <w:snapToGrid w:val="0"/>
        <w:spacing w:line="322" w:lineRule="auto"/>
        <w:ind w:firstLine="646" w:firstLineChars="200"/>
        <w:rPr>
          <w:rFonts w:ascii="仿宋" w:hAnsi="仿宋" w:eastAsia="仿宋" w:cs="仿宋_GB2312"/>
          <w:sz w:val="32"/>
          <w:szCs w:val="32"/>
        </w:rPr>
      </w:pPr>
      <w:r>
        <w:rPr>
          <w:rFonts w:hint="eastAsia" w:ascii="仿宋" w:hAnsi="仿宋" w:eastAsia="仿宋" w:cs="仿宋_GB2312"/>
          <w:sz w:val="32"/>
          <w:szCs w:val="32"/>
        </w:rPr>
        <w:t>（二）负责推进流通产业结构调整，指导流通企业改革、商贸服务业和社区商业发展，提出促进商贸中小企业发展的政策建议，推动流通标准化和连锁经营、商业特许经营、物流配送、电子商务等现代流通方式的发展。负责内外贸行业人才队伍建设，协调开展行业培训，推进行业人才培训基地建设。</w:t>
      </w:r>
    </w:p>
    <w:p w14:paraId="302DE122">
      <w:pPr>
        <w:adjustRightInd w:val="0"/>
        <w:snapToGrid w:val="0"/>
        <w:spacing w:line="322" w:lineRule="auto"/>
        <w:ind w:firstLine="646" w:firstLineChars="200"/>
        <w:rPr>
          <w:rFonts w:ascii="仿宋" w:hAnsi="仿宋" w:eastAsia="仿宋" w:cs="仿宋_GB2312"/>
          <w:sz w:val="32"/>
          <w:szCs w:val="32"/>
        </w:rPr>
      </w:pPr>
      <w:r>
        <w:rPr>
          <w:rFonts w:hint="eastAsia" w:ascii="仿宋" w:hAnsi="仿宋" w:eastAsia="仿宋" w:cs="仿宋_GB2312"/>
          <w:sz w:val="32"/>
          <w:szCs w:val="32"/>
        </w:rPr>
        <w:t>（三）拟订县内贸易发展规划，促进城乡市场发展，研究提出引导资金投向市场体系建设的政策，指导商品现货市场规范发展和城市商业网点规划、商业体系建设工作，推进农村市场和农产品流通体系建设，组织实施农村现代流通网络工程。</w:t>
      </w:r>
    </w:p>
    <w:p w14:paraId="17FA9616">
      <w:pPr>
        <w:adjustRightInd w:val="0"/>
        <w:snapToGrid w:val="0"/>
        <w:spacing w:line="322" w:lineRule="auto"/>
        <w:ind w:firstLine="646" w:firstLineChars="200"/>
        <w:rPr>
          <w:rFonts w:ascii="仿宋" w:hAnsi="仿宋" w:eastAsia="仿宋" w:cs="仿宋_GB2312"/>
          <w:sz w:val="32"/>
          <w:szCs w:val="32"/>
        </w:rPr>
      </w:pPr>
      <w:r>
        <w:rPr>
          <w:rFonts w:hint="eastAsia" w:ascii="仿宋" w:hAnsi="仿宋" w:eastAsia="仿宋" w:cs="仿宋_GB2312"/>
          <w:sz w:val="32"/>
          <w:szCs w:val="32"/>
        </w:rPr>
        <w:t>（四）承担牵头协调整顿和规范市场经济秩序工作的责任，拟订规范市场运行、流通秩序的政策，推动商务领域信用建设，指导商业信用销售，建立市场诚信公共服务平台，按有关规定对特殊流通行业进行监督管理，拟订全县电子商务发展规划和政策措施并组织实施，完善电子商务服务体系建设，推动电子商务的应用和发展。</w:t>
      </w:r>
    </w:p>
    <w:p w14:paraId="4A762209">
      <w:pPr>
        <w:adjustRightInd w:val="0"/>
        <w:snapToGrid w:val="0"/>
        <w:spacing w:line="322" w:lineRule="auto"/>
        <w:ind w:firstLine="646" w:firstLineChars="200"/>
        <w:rPr>
          <w:rFonts w:ascii="仿宋" w:hAnsi="仿宋" w:eastAsia="仿宋" w:cs="仿宋_GB2312"/>
          <w:sz w:val="32"/>
          <w:szCs w:val="32"/>
        </w:rPr>
      </w:pPr>
      <w:r>
        <w:rPr>
          <w:rFonts w:hint="eastAsia" w:ascii="仿宋" w:hAnsi="仿宋" w:eastAsia="仿宋" w:cs="仿宋_GB2312"/>
          <w:sz w:val="32"/>
          <w:szCs w:val="32"/>
        </w:rPr>
        <w:t>（五）承担组织实施重要消费品市场调控和重要生产资料流通管理的责任，负责建立健全生活必需品市场供应应急管理机制，监测分析市场运行、商品供求状况，调查分析商品价格信息，进行预测预警和信息引导，按有关规定对成品油流通进行监督管理。</w:t>
      </w:r>
    </w:p>
    <w:p w14:paraId="739D307D">
      <w:pPr>
        <w:adjustRightInd w:val="0"/>
        <w:snapToGrid w:val="0"/>
        <w:spacing w:line="322" w:lineRule="auto"/>
        <w:ind w:firstLine="646" w:firstLineChars="200"/>
        <w:rPr>
          <w:rFonts w:ascii="仿宋" w:hAnsi="仿宋" w:eastAsia="仿宋" w:cs="仿宋_GB2312"/>
          <w:sz w:val="32"/>
          <w:szCs w:val="32"/>
        </w:rPr>
      </w:pPr>
      <w:r>
        <w:rPr>
          <w:rFonts w:hint="eastAsia" w:ascii="仿宋" w:hAnsi="仿宋" w:eastAsia="仿宋" w:cs="仿宋_GB2312"/>
          <w:sz w:val="32"/>
          <w:szCs w:val="32"/>
        </w:rPr>
        <w:t>（六）拟订全县对外贸易发展规划，推进全县对外贸易发展体系和新业态建设，执行国家进出口商品、加工贸易管理办法和进出口管理商品、技术目录，拟订促进外贸增长方式转变的政策措施，拟订全县进出口年度计划并组织实施，组织实施重要工业品、原材料和重要农产品进出口总量计划。组织指导全县开拓国际市场贸易促进活动，拟订全县外贸出口基地发展规划和相关政策并组织实施，会同有关部门协调大宗商品进出口。负责全县对外贸易综合统计，分析全县进出口运行情况。</w:t>
      </w:r>
    </w:p>
    <w:p w14:paraId="53507045">
      <w:pPr>
        <w:adjustRightInd w:val="0"/>
        <w:snapToGrid w:val="0"/>
        <w:spacing w:line="322" w:lineRule="auto"/>
        <w:ind w:firstLine="646" w:firstLineChars="200"/>
        <w:rPr>
          <w:rFonts w:ascii="仿宋" w:hAnsi="仿宋" w:eastAsia="仿宋" w:cs="仿宋_GB2312"/>
          <w:sz w:val="32"/>
          <w:szCs w:val="32"/>
        </w:rPr>
      </w:pPr>
      <w:r>
        <w:rPr>
          <w:rFonts w:hint="eastAsia" w:ascii="仿宋" w:hAnsi="仿宋" w:eastAsia="仿宋" w:cs="仿宋_GB2312"/>
          <w:sz w:val="32"/>
          <w:szCs w:val="32"/>
        </w:rPr>
        <w:t>（七）执行国家对外技术贸易、出口管制以及鼓励技术和成套设备进出口的贸易政策，推进进出口贸易标准化工作，依法监督技术引进、设备进口、国家限制出口技术的工作。</w:t>
      </w:r>
    </w:p>
    <w:p w14:paraId="4E4CDDE0">
      <w:pPr>
        <w:adjustRightInd w:val="0"/>
        <w:snapToGrid w:val="0"/>
        <w:spacing w:line="322" w:lineRule="auto"/>
        <w:ind w:firstLine="646"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（八）负责全县招商引资协调服务工作；负责组织和联络参加国内外经贸活动及项目跟踪落实工作。</w:t>
      </w:r>
    </w:p>
    <w:p w14:paraId="6E4C311F">
      <w:pPr>
        <w:adjustRightInd w:val="0"/>
        <w:snapToGrid w:val="0"/>
        <w:spacing w:line="322" w:lineRule="auto"/>
        <w:ind w:firstLine="646"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（九）贯彻执行国家有关区域经济合作的方针政策和法律法规，拟定区域经济合作的政策措施，推进区域经济合作和经济技术交流工作。</w:t>
      </w:r>
    </w:p>
    <w:p w14:paraId="44D328FD">
      <w:pPr>
        <w:adjustRightInd w:val="0"/>
        <w:snapToGrid w:val="0"/>
        <w:spacing w:line="322" w:lineRule="auto"/>
        <w:ind w:firstLine="646"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（十）按权限负责全县商务系统因公出国（境）团组的初审和商贸来访团组接待工作。</w:t>
      </w:r>
    </w:p>
    <w:p w14:paraId="7C503BE7">
      <w:pPr>
        <w:adjustRightInd w:val="0"/>
        <w:snapToGrid w:val="0"/>
        <w:spacing w:line="322" w:lineRule="auto"/>
        <w:ind w:firstLine="646"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（十一）宏观指导全县外商投资工作，按规定初审外商投资企业的设立及变更事项。</w:t>
      </w:r>
    </w:p>
    <w:p w14:paraId="1A405F32">
      <w:pPr>
        <w:adjustRightInd w:val="0"/>
        <w:snapToGrid w:val="0"/>
        <w:spacing w:line="322" w:lineRule="auto"/>
        <w:ind w:firstLine="646" w:firstLineChars="200"/>
        <w:rPr>
          <w:rFonts w:ascii="仿宋" w:hAnsi="仿宋" w:eastAsia="仿宋" w:cs="仿宋_GB2312"/>
          <w:color w:val="000000"/>
          <w:sz w:val="32"/>
          <w:szCs w:val="32"/>
        </w:rPr>
      </w:pPr>
      <w:r>
        <w:rPr>
          <w:rFonts w:hint="eastAsia" w:ascii="仿宋" w:hAnsi="仿宋" w:eastAsia="仿宋" w:cs="仿宋_GB2312"/>
          <w:color w:val="000000"/>
          <w:sz w:val="32"/>
          <w:szCs w:val="32"/>
        </w:rPr>
        <w:t>（十二）负责全县对外经济合作工作，执行国家和省、市促进对外经济合作的政策措施，牵头负责外派劳务和境外就业人员的权益保护工作，贯彻执行国家和省、市对外投资的管理办法和具体政策。负责对外援助和受援相关工作。</w:t>
      </w:r>
    </w:p>
    <w:p w14:paraId="14D68CBC">
      <w:pPr>
        <w:adjustRightInd w:val="0"/>
        <w:snapToGrid w:val="0"/>
        <w:spacing w:line="322" w:lineRule="auto"/>
        <w:ind w:firstLine="646" w:firstLineChars="200"/>
        <w:rPr>
          <w:rFonts w:ascii="仿宋" w:hAnsi="仿宋" w:eastAsia="仿宋" w:cs="仿宋_GB2312"/>
          <w:sz w:val="32"/>
          <w:szCs w:val="32"/>
        </w:rPr>
      </w:pPr>
      <w:r>
        <w:rPr>
          <w:rFonts w:hint="eastAsia" w:ascii="仿宋" w:hAnsi="仿宋" w:eastAsia="仿宋" w:cs="仿宋_GB2312"/>
          <w:sz w:val="32"/>
          <w:szCs w:val="32"/>
        </w:rPr>
        <w:t>（十三）贯彻执行国家外交方针政策和有关涉外法律法规，利用对外交往渠道，服务本地经济建设和对外开放；拓展国际友城交流及与国际组织交往渠道，扩大国际交流，构建参与国际合作平台，广泛开展对外宣传，促进经济、教育、科技、文化和人才的国际合作，推动开放型经济发展。</w:t>
      </w:r>
    </w:p>
    <w:p w14:paraId="03B14712">
      <w:pPr>
        <w:adjustRightInd w:val="0"/>
        <w:snapToGrid w:val="0"/>
        <w:spacing w:line="322" w:lineRule="auto"/>
        <w:ind w:firstLine="646" w:firstLineChars="200"/>
        <w:rPr>
          <w:rFonts w:ascii="仿宋" w:hAnsi="仿宋" w:eastAsia="仿宋" w:cs="仿宋_GB2312"/>
          <w:sz w:val="32"/>
          <w:szCs w:val="32"/>
        </w:rPr>
      </w:pPr>
      <w:r>
        <w:rPr>
          <w:rFonts w:hint="eastAsia" w:ascii="仿宋" w:hAnsi="仿宋" w:eastAsia="仿宋" w:cs="仿宋_GB2312"/>
          <w:sz w:val="32"/>
          <w:szCs w:val="32"/>
        </w:rPr>
        <w:t>（十四）加强涉外管理，负责组织或配合接待来访本县的重要外宾；负责境外其他组织在本县活动的管理及协调工作；负责本县与外国有关领事机构的业务联系和交涉事宜；协助相关部门处理涉外事件；负责本县与外国友好城市以及其他结好单位的交往活动。</w:t>
      </w:r>
    </w:p>
    <w:p w14:paraId="3F714DF1">
      <w:pPr>
        <w:adjustRightInd w:val="0"/>
        <w:snapToGrid w:val="0"/>
        <w:spacing w:line="322" w:lineRule="auto"/>
        <w:ind w:firstLine="646" w:firstLineChars="200"/>
        <w:rPr>
          <w:rFonts w:ascii="仿宋" w:hAnsi="仿宋" w:eastAsia="仿宋" w:cs="仿宋_GB2312"/>
          <w:sz w:val="32"/>
          <w:szCs w:val="32"/>
        </w:rPr>
      </w:pPr>
      <w:r>
        <w:rPr>
          <w:rFonts w:hint="eastAsia" w:ascii="仿宋" w:hAnsi="仿宋" w:eastAsia="仿宋" w:cs="仿宋_GB2312"/>
          <w:sz w:val="32"/>
          <w:szCs w:val="32"/>
        </w:rPr>
        <w:t>（十五）完成县委、县政府和县委外事工作委员会交办的其他任务。</w:t>
      </w:r>
    </w:p>
    <w:p w14:paraId="429E13BD">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0B756D23">
      <w:pPr>
        <w:pStyle w:val="9"/>
        <w:ind w:firstLine="640"/>
        <w:rPr>
          <w:rFonts w:ascii="仿宋" w:hAnsi="仿宋" w:eastAsia="仿宋" w:cs="仿宋_GB2312"/>
          <w:sz w:val="32"/>
          <w:szCs w:val="32"/>
        </w:rPr>
      </w:pPr>
      <w:r>
        <w:rPr>
          <w:rFonts w:hint="eastAsia" w:ascii="仿宋" w:hAnsi="仿宋" w:eastAsia="仿宋" w:cs="仿宋_GB2312"/>
          <w:sz w:val="32"/>
          <w:szCs w:val="32"/>
        </w:rPr>
        <w:t>根据本部门主要职责，机构设置如下：综合办公室。（负责机关和直属单位的党群、人事管理、机构编制、基金监管、教育培训、队伍建设、预决算、机关财务、资产管理、内部审计等工作。）内贸股。（负责我县内贸相关工作）外贸股（负责我县内贸相关工作）</w:t>
      </w:r>
    </w:p>
    <w:p w14:paraId="1B954869">
      <w:pPr>
        <w:spacing w:line="560" w:lineRule="exact"/>
        <w:rPr>
          <w:rFonts w:ascii="黑体" w:eastAsia="黑体"/>
          <w:sz w:val="36"/>
          <w:szCs w:val="36"/>
        </w:rPr>
      </w:pPr>
    </w:p>
    <w:p w14:paraId="6231F4D0">
      <w:pPr>
        <w:spacing w:line="560" w:lineRule="exact"/>
        <w:rPr>
          <w:rFonts w:ascii="黑体" w:eastAsia="黑体"/>
          <w:sz w:val="36"/>
          <w:szCs w:val="36"/>
        </w:rPr>
      </w:pPr>
    </w:p>
    <w:p w14:paraId="2E8AFC8D">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eastAsia="zh-CN"/>
        </w:rPr>
        <w:t>盘山县商务局</w:t>
      </w:r>
      <w:r>
        <w:rPr>
          <w:rFonts w:hint="eastAsia" w:ascii="宋体" w:hAnsi="宋体"/>
          <w:b/>
          <w:sz w:val="36"/>
          <w:szCs w:val="36"/>
          <w:lang w:val="en-US" w:eastAsia="zh-CN"/>
        </w:rPr>
        <w:t>2025年</w:t>
      </w:r>
      <w:r>
        <w:rPr>
          <w:rFonts w:hint="eastAsia" w:ascii="宋体" w:hAnsi="宋体"/>
          <w:b/>
          <w:sz w:val="36"/>
          <w:szCs w:val="36"/>
        </w:rPr>
        <w:t>部</w:t>
      </w:r>
      <w:r>
        <w:rPr>
          <w:rFonts w:hint="eastAsia" w:ascii="宋体" w:hAnsi="宋体"/>
          <w:b/>
          <w:sz w:val="36"/>
          <w:szCs w:val="36"/>
          <w:lang w:eastAsia="zh-CN"/>
        </w:rPr>
        <w:t>单位</w:t>
      </w:r>
      <w:r>
        <w:rPr>
          <w:rFonts w:hint="eastAsia" w:ascii="宋体" w:hAnsi="宋体"/>
          <w:b/>
          <w:sz w:val="36"/>
          <w:szCs w:val="36"/>
        </w:rPr>
        <w:t>预算情况说明</w:t>
      </w:r>
    </w:p>
    <w:p w14:paraId="04CF9CCF">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7B5D26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185.36</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BCB4DB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185.36</w:t>
      </w:r>
      <w:r>
        <w:rPr>
          <w:rFonts w:hint="eastAsia" w:ascii="仿宋_GB2312" w:hAnsi="宋体" w:eastAsia="仿宋_GB2312"/>
          <w:sz w:val="32"/>
          <w:szCs w:val="32"/>
          <w:highlight w:val="none"/>
        </w:rPr>
        <w:t>万元；</w:t>
      </w:r>
    </w:p>
    <w:p w14:paraId="04E0649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C7A22E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599CE6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A000D80">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6894F627">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02182E6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185.36</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AB91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123.86</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D4B2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61.50</w:t>
      </w:r>
      <w:r>
        <w:rPr>
          <w:rFonts w:hint="eastAsia" w:ascii="仿宋_GB2312" w:eastAsia="仿宋_GB2312"/>
          <w:sz w:val="32"/>
          <w:szCs w:val="32"/>
          <w:highlight w:val="none"/>
        </w:rPr>
        <w:t>万元。</w:t>
      </w:r>
    </w:p>
    <w:p w14:paraId="55D03010">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3B4F748E">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 xml:space="preserve">万元。 </w:t>
      </w:r>
    </w:p>
    <w:p w14:paraId="191661B2">
      <w:pPr>
        <w:spacing w:line="560" w:lineRule="exact"/>
        <w:ind w:firstLine="646" w:firstLineChars="200"/>
        <w:rPr>
          <w:rFonts w:hint="default" w:ascii="黑体" w:hAnsi="黑体" w:eastAsia="黑体"/>
          <w:sz w:val="32"/>
          <w:szCs w:val="32"/>
          <w:highlight w:val="none"/>
          <w:lang w:val="en-US" w:eastAsia="zh-CN"/>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sz w:val="32"/>
          <w:szCs w:val="32"/>
          <w:highlight w:val="none"/>
          <w:lang w:val="en-US" w:eastAsia="zh-CN"/>
        </w:rPr>
        <w:t>10.05</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eastAsia="zh-CN"/>
        </w:rPr>
        <w:t>盘山县商务局为</w:t>
      </w:r>
      <w:r>
        <w:rPr>
          <w:rFonts w:hint="eastAsia" w:ascii="黑体" w:hAnsi="黑体" w:eastAsia="黑体"/>
          <w:sz w:val="32"/>
          <w:szCs w:val="32"/>
          <w:highlight w:val="none"/>
          <w:lang w:val="en-US" w:eastAsia="zh-CN"/>
        </w:rPr>
        <w:t>2024年5月新成立单位。</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单位</w:t>
      </w:r>
      <w:r>
        <w:rPr>
          <w:rFonts w:hint="eastAsia" w:ascii="黑体" w:hAnsi="黑体" w:eastAsia="黑体"/>
          <w:sz w:val="32"/>
          <w:szCs w:val="32"/>
        </w:rPr>
        <w:t>管理专项资金情况</w:t>
      </w:r>
    </w:p>
    <w:p w14:paraId="240D2B8C">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盘山县商务局</w:t>
      </w:r>
      <w:r>
        <w:rPr>
          <w:rFonts w:hint="eastAsia" w:ascii="仿宋_GB2312" w:hAnsi="宋体" w:eastAsia="仿宋_GB2312"/>
          <w:sz w:val="32"/>
          <w:szCs w:val="32"/>
        </w:rPr>
        <w:t>，</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11D1136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A27B95D">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盘山县商务局</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86.94</w:t>
      </w:r>
      <w:r>
        <w:rPr>
          <w:rFonts w:hint="eastAsia" w:ascii="仿宋_GB2312" w:hAnsi="宋体" w:eastAsia="仿宋_GB2312"/>
          <w:sz w:val="32"/>
          <w:szCs w:val="32"/>
        </w:rPr>
        <w:t>万元，主要包括</w:t>
      </w:r>
      <w:r>
        <w:rPr>
          <w:rFonts w:hint="eastAsia" w:ascii="仿宋_GB2312" w:hAnsi="宋体" w:eastAsia="仿宋_GB2312"/>
          <w:sz w:val="32"/>
          <w:szCs w:val="32"/>
          <w:lang w:eastAsia="zh-CN"/>
        </w:rPr>
        <w:t>人员经费及公用经费</w:t>
      </w:r>
      <w:r>
        <w:rPr>
          <w:rFonts w:hint="eastAsia" w:ascii="仿宋_GB2312" w:hAnsi="宋体" w:eastAsia="仿宋_GB2312"/>
          <w:sz w:val="32"/>
          <w:szCs w:val="32"/>
        </w:rPr>
        <w:t>。</w:t>
      </w: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7FDB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2025年辽宁省财政厅安排政府采购预算0万元。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441F5C3A">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年，辽宁省财政厅</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16</w:t>
      </w:r>
      <w:r>
        <w:rPr>
          <w:rFonts w:hint="eastAsia" w:ascii="仿宋_GB2312" w:eastAsia="仿宋_GB2312"/>
          <w:sz w:val="32"/>
          <w:szCs w:val="32"/>
        </w:rPr>
        <w:t>万元，</w:t>
      </w:r>
      <w:r>
        <w:rPr>
          <w:rFonts w:hint="eastAsia" w:ascii="仿宋_GB2312" w:eastAsia="仿宋_GB2312"/>
          <w:sz w:val="32"/>
          <w:szCs w:val="32"/>
          <w:lang w:val="en-US" w:eastAsia="zh-CN"/>
        </w:rPr>
        <w:t>2024年新增单位，</w:t>
      </w:r>
      <w:r>
        <w:rPr>
          <w:rFonts w:hint="eastAsia" w:ascii="仿宋_GB2312" w:eastAsia="仿宋_GB2312"/>
          <w:sz w:val="32"/>
          <w:szCs w:val="32"/>
        </w:rPr>
        <w:t>其中：</w:t>
      </w:r>
    </w:p>
    <w:p w14:paraId="4E8D7131">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10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2024年新增单位</w:t>
      </w:r>
      <w:r>
        <w:rPr>
          <w:rFonts w:hint="eastAsia" w:ascii="仿宋_GB2312" w:eastAsia="仿宋_GB2312"/>
          <w:sz w:val="32"/>
          <w:szCs w:val="32"/>
        </w:rPr>
        <w:t>。</w:t>
      </w:r>
    </w:p>
    <w:p w14:paraId="46BE5733">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6</w:t>
      </w:r>
      <w:r>
        <w:rPr>
          <w:rFonts w:hint="eastAsia" w:ascii="仿宋_GB2312" w:eastAsia="仿宋_GB2312"/>
          <w:sz w:val="32"/>
          <w:szCs w:val="32"/>
        </w:rPr>
        <w:t>万元，</w:t>
      </w:r>
      <w:r>
        <w:rPr>
          <w:rFonts w:hint="eastAsia" w:ascii="仿宋_GB2312" w:eastAsia="仿宋_GB2312"/>
          <w:sz w:val="32"/>
          <w:szCs w:val="32"/>
          <w:lang w:val="en-US" w:eastAsia="zh-CN"/>
        </w:rPr>
        <w:t>2024年新增单位</w:t>
      </w:r>
      <w:r>
        <w:rPr>
          <w:rFonts w:hint="eastAsia" w:ascii="仿宋_GB2312" w:eastAsia="仿宋_GB2312"/>
          <w:sz w:val="32"/>
          <w:szCs w:val="32"/>
        </w:rPr>
        <w:t>。</w:t>
      </w:r>
    </w:p>
    <w:p w14:paraId="18ABAB33">
      <w:pPr>
        <w:spacing w:line="560" w:lineRule="exact"/>
        <w:ind w:firstLine="660"/>
        <w:rPr>
          <w:rFonts w:hint="eastAsia" w:ascii="仿宋_GB2312" w:eastAsia="仿宋_GB2312"/>
          <w:sz w:val="32"/>
          <w:szCs w:val="32"/>
          <w:lang w:eastAsia="zh-CN"/>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hint="default"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16</w:t>
            </w: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10</w:t>
            </w: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6</w:t>
            </w: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bl>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eastAsia="zh-CN"/>
        </w:rPr>
        <w:t>盘山县商务</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，盘山县商务局</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个，编制单位整体绩效目标覆盖率</w:t>
      </w:r>
      <w:r>
        <w:rPr>
          <w:rFonts w:hint="eastAsia" w:ascii="仿宋_GB2312" w:hAnsi="宋体" w:eastAsia="仿宋_GB2312"/>
          <w:sz w:val="32"/>
          <w:szCs w:val="32"/>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w:t>
      </w: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4376139D">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67211FD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6CA48BF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D63834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A540C1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223FB02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2E997900">
      <w:pPr>
        <w:spacing w:line="540" w:lineRule="exact"/>
        <w:ind w:firstLine="686" w:firstLineChars="200"/>
        <w:jc w:val="left"/>
        <w:rPr>
          <w:rFonts w:hint="eastAsia" w:ascii="仿宋_GB2312" w:hAnsi="仿宋_GB2312" w:eastAsia="仿宋_GB2312" w:cs="仿宋_GB2312"/>
          <w:sz w:val="34"/>
          <w:szCs w:val="34"/>
        </w:rPr>
      </w:pPr>
      <w:r>
        <w:rPr>
          <w:rFonts w:hint="eastAsia" w:ascii="仿宋_GB2312" w:hAnsi="仿宋_GB2312" w:eastAsia="仿宋_GB2312" w:cs="仿宋_GB2312"/>
          <w:b/>
          <w:sz w:val="34"/>
          <w:szCs w:val="34"/>
          <w:lang w:val="en-US" w:eastAsia="zh-CN"/>
        </w:rPr>
        <w:t>7</w:t>
      </w:r>
      <w:r>
        <w:rPr>
          <w:rFonts w:hint="eastAsia" w:ascii="仿宋_GB2312" w:hAnsi="仿宋_GB2312" w:eastAsia="仿宋_GB2312" w:cs="仿宋_GB2312"/>
          <w:b/>
          <w:sz w:val="34"/>
          <w:szCs w:val="34"/>
        </w:rPr>
        <w:t>.社会保障和就业支出（类）行政事业单位养老支出（款）机关事业单位基本养老保险缴费支出（项）：</w:t>
      </w:r>
      <w:r>
        <w:rPr>
          <w:rFonts w:hint="eastAsia" w:ascii="仿宋_GB2312" w:hAnsi="仿宋_GB2312" w:eastAsia="仿宋_GB2312" w:cs="仿宋_GB2312"/>
          <w:sz w:val="34"/>
          <w:szCs w:val="34"/>
        </w:rPr>
        <w:t>反映机关事业单位实施养老保险制度由单位缴纳的基本养老保险费支出。</w:t>
      </w:r>
    </w:p>
    <w:p w14:paraId="12C3AFFF">
      <w:pPr>
        <w:spacing w:line="540" w:lineRule="exact"/>
        <w:ind w:firstLine="686" w:firstLineChars="200"/>
        <w:jc w:val="left"/>
        <w:rPr>
          <w:rFonts w:hint="eastAsia" w:ascii="仿宋_GB2312" w:hAnsi="仿宋_GB2312" w:eastAsia="仿宋_GB2312" w:cs="仿宋_GB2312"/>
          <w:sz w:val="34"/>
          <w:szCs w:val="34"/>
          <w:lang w:eastAsia="zh-CN"/>
        </w:rPr>
      </w:pPr>
      <w:r>
        <w:rPr>
          <w:rFonts w:hint="eastAsia" w:ascii="仿宋_GB2312" w:hAnsi="仿宋_GB2312" w:eastAsia="仿宋_GB2312" w:cs="仿宋_GB2312"/>
          <w:b/>
          <w:sz w:val="34"/>
          <w:szCs w:val="34"/>
          <w:lang w:val="en-US" w:eastAsia="zh-CN"/>
        </w:rPr>
        <w:t>8</w:t>
      </w:r>
      <w:r>
        <w:rPr>
          <w:rFonts w:hint="eastAsia" w:ascii="仿宋_GB2312" w:hAnsi="仿宋_GB2312" w:eastAsia="仿宋_GB2312" w:cs="仿宋_GB2312"/>
          <w:b/>
          <w:sz w:val="34"/>
          <w:szCs w:val="34"/>
        </w:rPr>
        <w:t>. 社会保障和就业支出（类）行政事业单位养老支出（款）</w:t>
      </w:r>
      <w:r>
        <w:rPr>
          <w:rFonts w:hint="eastAsia" w:ascii="仿宋_GB2312" w:hAnsi="仿宋_GB2312" w:eastAsia="仿宋_GB2312" w:cs="仿宋_GB2312"/>
          <w:b/>
          <w:sz w:val="34"/>
          <w:szCs w:val="34"/>
          <w:lang w:eastAsia="zh-CN"/>
        </w:rPr>
        <w:t>机关事业单位职业年金缴费支出（项）</w:t>
      </w:r>
      <w:r>
        <w:rPr>
          <w:rFonts w:hint="eastAsia" w:ascii="仿宋_GB2312" w:hAnsi="仿宋_GB2312" w:eastAsia="仿宋_GB2312" w:cs="仿宋_GB2312"/>
          <w:sz w:val="34"/>
          <w:szCs w:val="34"/>
          <w:lang w:eastAsia="zh-CN"/>
        </w:rPr>
        <w:t>反应机关事业单位实施养老保险制度由单位实际缴纳的职业年金支出。</w:t>
      </w:r>
    </w:p>
    <w:p w14:paraId="043029C2">
      <w:pPr>
        <w:spacing w:line="540" w:lineRule="exact"/>
        <w:ind w:firstLine="686" w:firstLineChars="200"/>
        <w:jc w:val="left"/>
        <w:rPr>
          <w:rFonts w:hint="eastAsia" w:ascii="仿宋_GB2312" w:hAnsi="仿宋_GB2312" w:eastAsia="仿宋_GB2312" w:cs="仿宋_GB2312"/>
          <w:sz w:val="34"/>
          <w:szCs w:val="34"/>
        </w:rPr>
      </w:pPr>
      <w:r>
        <w:rPr>
          <w:rFonts w:hint="eastAsia" w:ascii="仿宋_GB2312" w:hAnsi="仿宋_GB2312" w:eastAsia="仿宋_GB2312" w:cs="仿宋_GB2312"/>
          <w:b/>
          <w:sz w:val="34"/>
          <w:szCs w:val="34"/>
          <w:lang w:val="en-US" w:eastAsia="zh-CN"/>
        </w:rPr>
        <w:t>9.</w:t>
      </w:r>
      <w:r>
        <w:rPr>
          <w:rFonts w:hint="eastAsia" w:ascii="仿宋_GB2312" w:hAnsi="仿宋_GB2312" w:eastAsia="仿宋_GB2312" w:cs="仿宋_GB2312"/>
          <w:b/>
          <w:sz w:val="34"/>
          <w:szCs w:val="34"/>
        </w:rPr>
        <w:t>卫生健康支出（类）行政事业单位医疗（款），行政单位医疗（项）：</w:t>
      </w:r>
      <w:r>
        <w:rPr>
          <w:rFonts w:hint="eastAsia" w:ascii="仿宋_GB2312" w:hAnsi="仿宋_GB2312" w:eastAsia="仿宋_GB2312" w:cs="仿宋_GB2312"/>
          <w:sz w:val="34"/>
          <w:szCs w:val="34"/>
        </w:rPr>
        <w:t>反映财政部门安排的行政单位（包括实行公务员管理的事业单位，下同）基本医疗保险缴费经费，未参加医疗保险的行政单位的公费医疗经费，按国家规定享受离退休人员、红军老战士待遇人员的医疗经费。</w:t>
      </w:r>
    </w:p>
    <w:p w14:paraId="04CB4B82">
      <w:pPr>
        <w:spacing w:line="540" w:lineRule="exact"/>
        <w:ind w:firstLine="686" w:firstLineChars="200"/>
        <w:jc w:val="left"/>
        <w:rPr>
          <w:rFonts w:hint="eastAsia" w:ascii="仿宋_GB2312" w:hAnsi="仿宋_GB2312" w:eastAsia="仿宋_GB2312" w:cs="仿宋_GB2312"/>
          <w:b/>
          <w:sz w:val="34"/>
          <w:szCs w:val="34"/>
        </w:rPr>
      </w:pPr>
      <w:r>
        <w:rPr>
          <w:rFonts w:hint="eastAsia" w:ascii="仿宋_GB2312" w:hAnsi="仿宋_GB2312" w:eastAsia="仿宋_GB2312" w:cs="仿宋_GB2312"/>
          <w:b/>
          <w:sz w:val="34"/>
          <w:szCs w:val="34"/>
          <w:lang w:val="en-US" w:eastAsia="zh-CN"/>
        </w:rPr>
        <w:t>10</w:t>
      </w:r>
      <w:r>
        <w:rPr>
          <w:rFonts w:hint="eastAsia" w:ascii="仿宋_GB2312" w:hAnsi="仿宋_GB2312" w:eastAsia="仿宋_GB2312" w:cs="仿宋_GB2312"/>
          <w:b/>
          <w:sz w:val="34"/>
          <w:szCs w:val="34"/>
        </w:rPr>
        <w:t>. 住房保障支出（类）住房改革支出（款）住房公积金（项）：</w:t>
      </w:r>
      <w:r>
        <w:rPr>
          <w:rFonts w:hint="eastAsia" w:ascii="仿宋_GB2312" w:hAnsi="仿宋_GB2312" w:eastAsia="仿宋_GB2312" w:cs="仿宋_GB2312"/>
          <w:sz w:val="34"/>
          <w:szCs w:val="34"/>
        </w:rPr>
        <w:t>反映行政事业单位按人力资源和社会保障部、财政部规定的基本工资和津贴补贴以及规定比例为职工缴纳的住房公积金。</w:t>
      </w:r>
    </w:p>
    <w:p w14:paraId="7CC19975">
      <w:pPr>
        <w:spacing w:line="540" w:lineRule="exact"/>
        <w:ind w:firstLine="686" w:firstLineChars="200"/>
        <w:jc w:val="left"/>
        <w:rPr>
          <w:rFonts w:hint="eastAsia" w:ascii="仿宋_GB2312" w:hAnsi="仿宋_GB2312" w:eastAsia="仿宋_GB2312" w:cs="仿宋_GB2312"/>
          <w:b w:val="0"/>
          <w:bCs/>
          <w:sz w:val="34"/>
          <w:szCs w:val="34"/>
          <w:lang w:eastAsia="zh-CN"/>
        </w:rPr>
      </w:pPr>
      <w:r>
        <w:rPr>
          <w:rFonts w:hint="eastAsia" w:ascii="仿宋_GB2312" w:hAnsi="仿宋_GB2312" w:eastAsia="仿宋_GB2312" w:cs="仿宋_GB2312"/>
          <w:b/>
          <w:sz w:val="34"/>
          <w:szCs w:val="34"/>
          <w:lang w:val="en-US" w:eastAsia="zh-CN"/>
        </w:rPr>
        <w:t>11</w:t>
      </w:r>
      <w:r>
        <w:rPr>
          <w:rFonts w:hint="eastAsia" w:ascii="仿宋_GB2312" w:hAnsi="仿宋_GB2312" w:eastAsia="仿宋_GB2312" w:cs="仿宋_GB2312"/>
          <w:b/>
          <w:sz w:val="34"/>
          <w:szCs w:val="34"/>
        </w:rPr>
        <w:t>.</w:t>
      </w:r>
      <w:r>
        <w:rPr>
          <w:rFonts w:hint="eastAsia" w:ascii="仿宋_GB2312" w:hAnsi="仿宋_GB2312" w:eastAsia="仿宋_GB2312" w:cs="仿宋_GB2312"/>
          <w:b/>
          <w:sz w:val="34"/>
          <w:szCs w:val="34"/>
          <w:lang w:eastAsia="zh-CN"/>
        </w:rPr>
        <w:t>一般公共服务支出（类）商贸事务（款）行政运行（项）：</w:t>
      </w:r>
      <w:r>
        <w:rPr>
          <w:rFonts w:hint="eastAsia" w:ascii="仿宋_GB2312" w:hAnsi="仿宋_GB2312" w:eastAsia="仿宋_GB2312" w:cs="仿宋_GB2312"/>
          <w:b w:val="0"/>
          <w:bCs/>
          <w:sz w:val="34"/>
          <w:szCs w:val="34"/>
          <w:lang w:eastAsia="zh-CN"/>
        </w:rPr>
        <w:t>反应行政单位（包括实行公务员管理的事业单位）的基本支出。</w:t>
      </w:r>
    </w:p>
    <w:p w14:paraId="1F391AD1">
      <w:pPr>
        <w:spacing w:line="540" w:lineRule="exact"/>
        <w:ind w:firstLine="686" w:firstLineChars="200"/>
        <w:jc w:val="left"/>
        <w:rPr>
          <w:rFonts w:hint="eastAsia" w:ascii="仿宋_GB2312" w:hAnsi="仿宋_GB2312" w:eastAsia="仿宋_GB2312" w:cs="仿宋_GB2312"/>
          <w:b w:val="0"/>
          <w:bCs/>
          <w:sz w:val="34"/>
          <w:szCs w:val="34"/>
          <w:lang w:eastAsia="zh-CN"/>
        </w:rPr>
      </w:pPr>
      <w:r>
        <w:rPr>
          <w:rFonts w:hint="eastAsia" w:ascii="仿宋_GB2312" w:hAnsi="仿宋_GB2312" w:eastAsia="仿宋_GB2312" w:cs="仿宋_GB2312"/>
          <w:b/>
          <w:bCs w:val="0"/>
          <w:sz w:val="34"/>
          <w:szCs w:val="34"/>
          <w:lang w:val="en-US" w:eastAsia="zh-CN"/>
        </w:rPr>
        <w:t>12.一般公共服务支出（类）</w:t>
      </w:r>
      <w:r>
        <w:rPr>
          <w:rFonts w:hint="eastAsia" w:ascii="仿宋_GB2312" w:hAnsi="仿宋_GB2312" w:eastAsia="仿宋_GB2312" w:cs="仿宋_GB2312"/>
          <w:b/>
          <w:sz w:val="34"/>
          <w:szCs w:val="34"/>
          <w:lang w:eastAsia="zh-CN"/>
        </w:rPr>
        <w:t>商贸事务（款）</w:t>
      </w:r>
      <w:r>
        <w:rPr>
          <w:rFonts w:hint="eastAsia" w:ascii="仿宋_GB2312" w:hAnsi="仿宋_GB2312" w:eastAsia="仿宋_GB2312" w:cs="仿宋_GB2312"/>
          <w:b/>
          <w:bCs w:val="0"/>
          <w:sz w:val="34"/>
          <w:szCs w:val="34"/>
          <w:lang w:val="en-US" w:eastAsia="zh-CN"/>
        </w:rPr>
        <w:t>一般行政管理事务（项）：</w:t>
      </w:r>
      <w:r>
        <w:rPr>
          <w:rFonts w:hint="eastAsia" w:ascii="仿宋_GB2312" w:hAnsi="仿宋_GB2312" w:eastAsia="仿宋_GB2312" w:cs="仿宋_GB2312"/>
          <w:b w:val="0"/>
          <w:bCs/>
          <w:sz w:val="34"/>
          <w:szCs w:val="34"/>
          <w:lang w:val="en-US" w:eastAsia="zh-CN"/>
        </w:rPr>
        <w:t>反应行政单位</w:t>
      </w:r>
      <w:r>
        <w:rPr>
          <w:rFonts w:hint="eastAsia" w:ascii="仿宋_GB2312" w:hAnsi="仿宋_GB2312" w:eastAsia="仿宋_GB2312" w:cs="仿宋_GB2312"/>
          <w:b w:val="0"/>
          <w:bCs/>
          <w:sz w:val="34"/>
          <w:szCs w:val="34"/>
          <w:lang w:eastAsia="zh-CN"/>
        </w:rPr>
        <w:t>（包括实行公务员管理的事业单位）未单独设置项级科目的其他项目支出。</w:t>
      </w:r>
    </w:p>
    <w:p w14:paraId="74385824">
      <w:pPr>
        <w:spacing w:line="540" w:lineRule="exact"/>
        <w:ind w:firstLine="686" w:firstLineChars="200"/>
        <w:jc w:val="left"/>
        <w:rPr>
          <w:rFonts w:hint="eastAsia" w:ascii="仿宋_GB2312" w:hAnsi="仿宋_GB2312" w:eastAsia="仿宋_GB2312" w:cs="仿宋_GB2312"/>
          <w:b w:val="0"/>
          <w:bCs/>
          <w:sz w:val="34"/>
          <w:szCs w:val="34"/>
          <w:lang w:eastAsia="zh-CN"/>
        </w:rPr>
      </w:pPr>
      <w:r>
        <w:rPr>
          <w:rFonts w:hint="eastAsia" w:ascii="仿宋_GB2312" w:hAnsi="仿宋_GB2312" w:eastAsia="仿宋_GB2312" w:cs="仿宋_GB2312"/>
          <w:b/>
          <w:bCs w:val="0"/>
          <w:sz w:val="34"/>
          <w:szCs w:val="34"/>
          <w:lang w:val="en-US" w:eastAsia="zh-CN"/>
        </w:rPr>
        <w:t>13.</w:t>
      </w:r>
      <w:r>
        <w:rPr>
          <w:rFonts w:hint="eastAsia" w:ascii="仿宋_GB2312" w:hAnsi="仿宋_GB2312" w:eastAsia="仿宋_GB2312" w:cs="仿宋_GB2312"/>
          <w:b/>
          <w:sz w:val="34"/>
          <w:szCs w:val="34"/>
          <w:lang w:eastAsia="zh-CN"/>
        </w:rPr>
        <w:t>一般公共服务支出（类）商贸事务（款）招商引资（项）：</w:t>
      </w:r>
      <w:r>
        <w:rPr>
          <w:rFonts w:hint="eastAsia" w:ascii="仿宋_GB2312" w:hAnsi="仿宋_GB2312" w:eastAsia="仿宋_GB2312" w:cs="仿宋_GB2312"/>
          <w:b w:val="0"/>
          <w:bCs/>
          <w:sz w:val="34"/>
          <w:szCs w:val="34"/>
          <w:lang w:eastAsia="zh-CN"/>
        </w:rPr>
        <w:t>反应用于招商引资、优化经济环境等方面的支出。</w:t>
      </w:r>
    </w:p>
    <w:p w14:paraId="5C5579EB">
      <w:pPr>
        <w:spacing w:line="540" w:lineRule="exact"/>
        <w:ind w:firstLine="686" w:firstLineChars="200"/>
        <w:jc w:val="left"/>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bCs w:val="0"/>
          <w:sz w:val="34"/>
          <w:szCs w:val="34"/>
          <w:lang w:val="en-US" w:eastAsia="zh-CN"/>
        </w:rPr>
        <w:t>14.社会保障和就业支出（类）行政事业单位养老支出（款）行政单位离退休（项）：</w:t>
      </w:r>
      <w:r>
        <w:rPr>
          <w:rFonts w:hint="eastAsia" w:ascii="仿宋_GB2312" w:hAnsi="仿宋_GB2312" w:eastAsia="仿宋_GB2312" w:cs="仿宋_GB2312"/>
          <w:b w:val="0"/>
          <w:bCs/>
          <w:sz w:val="34"/>
          <w:szCs w:val="34"/>
          <w:lang w:val="en-US" w:eastAsia="zh-CN"/>
        </w:rPr>
        <w:t>反应行政单位（包括实行公务员管理的事业单位）开支的离退休经费。</w:t>
      </w:r>
    </w:p>
    <w:p w14:paraId="43BFB0D9">
      <w:pPr>
        <w:spacing w:line="540" w:lineRule="exact"/>
        <w:ind w:firstLine="686" w:firstLineChars="200"/>
        <w:jc w:val="left"/>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bCs w:val="0"/>
          <w:sz w:val="34"/>
          <w:szCs w:val="34"/>
          <w:lang w:val="en-US" w:eastAsia="zh-CN"/>
        </w:rPr>
        <w:t>15.社会保障和就业支出（类）抚恤（款）死亡抚恤（项）：</w:t>
      </w:r>
      <w:r>
        <w:rPr>
          <w:rFonts w:hint="eastAsia" w:ascii="仿宋_GB2312" w:hAnsi="仿宋_GB2312" w:eastAsia="仿宋_GB2312" w:cs="仿宋_GB2312"/>
          <w:b w:val="0"/>
          <w:bCs/>
          <w:sz w:val="34"/>
          <w:szCs w:val="34"/>
          <w:lang w:val="en-US" w:eastAsia="zh-CN"/>
        </w:rPr>
        <w:t>反应按规定用于烈士和牺牲、病故人员家属的一次性和定期抚恤金、丧葬补助费以及烈士褒扬金。</w:t>
      </w:r>
    </w:p>
    <w:p w14:paraId="6E26BF27">
      <w:pPr>
        <w:spacing w:line="540" w:lineRule="exact"/>
        <w:ind w:firstLine="686" w:firstLineChars="200"/>
        <w:jc w:val="left"/>
        <w:rPr>
          <w:rFonts w:hint="eastAsia"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16.</w:t>
      </w:r>
      <w:r>
        <w:rPr>
          <w:rFonts w:hint="eastAsia" w:ascii="仿宋_GB2312" w:hAnsi="仿宋_GB2312" w:eastAsia="仿宋_GB2312" w:cs="仿宋_GB2312"/>
          <w:b/>
          <w:bCs w:val="0"/>
          <w:sz w:val="34"/>
          <w:szCs w:val="34"/>
          <w:lang w:val="en-US" w:eastAsia="zh-CN"/>
        </w:rPr>
        <w:t>社会保障和就业支出（类）残疾人事业（款）其他残疾人事业支出（项）：</w:t>
      </w:r>
      <w:r>
        <w:rPr>
          <w:rFonts w:hint="eastAsia" w:ascii="仿宋_GB2312" w:hAnsi="仿宋_GB2312" w:eastAsia="仿宋_GB2312" w:cs="仿宋_GB2312"/>
          <w:b w:val="0"/>
          <w:bCs/>
          <w:sz w:val="34"/>
          <w:szCs w:val="34"/>
          <w:lang w:val="en-US" w:eastAsia="zh-CN"/>
        </w:rPr>
        <w:t>反应除上述项目以外其他用于残疾人事业方面的支出。</w:t>
      </w:r>
    </w:p>
    <w:p w14:paraId="3385A476">
      <w:pPr>
        <w:spacing w:line="540" w:lineRule="exact"/>
        <w:ind w:firstLine="686" w:firstLineChars="200"/>
        <w:jc w:val="left"/>
        <w:rPr>
          <w:rFonts w:hint="default" w:ascii="仿宋_GB2312" w:hAnsi="仿宋_GB2312" w:eastAsia="仿宋_GB2312" w:cs="仿宋_GB2312"/>
          <w:b w:val="0"/>
          <w:bCs/>
          <w:sz w:val="34"/>
          <w:szCs w:val="34"/>
          <w:lang w:val="en-US" w:eastAsia="zh-CN"/>
        </w:rPr>
      </w:pPr>
      <w:r>
        <w:rPr>
          <w:rFonts w:hint="eastAsia" w:ascii="仿宋_GB2312" w:hAnsi="仿宋_GB2312" w:eastAsia="仿宋_GB2312" w:cs="仿宋_GB2312"/>
          <w:b w:val="0"/>
          <w:bCs/>
          <w:sz w:val="34"/>
          <w:szCs w:val="34"/>
          <w:lang w:val="en-US" w:eastAsia="zh-CN"/>
        </w:rPr>
        <w:t>17..</w:t>
      </w:r>
      <w:r>
        <w:rPr>
          <w:rFonts w:hint="eastAsia" w:ascii="仿宋_GB2312" w:hAnsi="仿宋_GB2312" w:eastAsia="仿宋_GB2312" w:cs="仿宋_GB2312"/>
          <w:b/>
          <w:bCs w:val="0"/>
          <w:sz w:val="34"/>
          <w:szCs w:val="34"/>
          <w:lang w:val="en-US" w:eastAsia="zh-CN"/>
        </w:rPr>
        <w:t>社会保障和就业支出（类）其他社会保障和就业支出（款）其他社会保障和就业支出（项）：</w:t>
      </w:r>
      <w:r>
        <w:rPr>
          <w:rFonts w:hint="eastAsia" w:ascii="仿宋_GB2312" w:hAnsi="仿宋_GB2312" w:eastAsia="仿宋_GB2312" w:cs="仿宋_GB2312"/>
          <w:b w:val="0"/>
          <w:bCs/>
          <w:sz w:val="34"/>
          <w:szCs w:val="34"/>
          <w:lang w:val="en-US" w:eastAsia="zh-CN"/>
        </w:rPr>
        <w:t>反应除上述项目以外其他用于社会保障和就业方面的支出。</w:t>
      </w:r>
    </w:p>
    <w:p w14:paraId="520ECDD2">
      <w:pPr>
        <w:spacing w:line="560" w:lineRule="exact"/>
        <w:rPr>
          <w:rFonts w:hint="eastAsia" w:ascii="宋体" w:hAnsi="宋体" w:eastAsia="宋体"/>
          <w:b/>
          <w:sz w:val="36"/>
          <w:szCs w:val="36"/>
          <w:lang w:val="en-US" w:eastAsia="zh-CN"/>
        </w:rPr>
      </w:pPr>
      <w:r>
        <w:rPr>
          <w:rFonts w:hint="eastAsia" w:ascii="宋体" w:hAnsi="宋体"/>
          <w:b/>
          <w:sz w:val="36"/>
          <w:szCs w:val="36"/>
          <w:lang w:val="en-US" w:eastAsia="zh-CN"/>
        </w:rPr>
        <w:t xml:space="preserve"> </w:t>
      </w:r>
    </w:p>
    <w:p w14:paraId="25D55CAB">
      <w:pPr>
        <w:spacing w:line="560" w:lineRule="exact"/>
        <w:jc w:val="center"/>
        <w:rPr>
          <w:rFonts w:ascii="宋体" w:hAnsi="宋体"/>
          <w:b/>
          <w:sz w:val="36"/>
          <w:szCs w:val="36"/>
        </w:rPr>
      </w:pPr>
    </w:p>
    <w:p w14:paraId="37ADFCE3">
      <w:pPr>
        <w:pStyle w:val="2"/>
        <w:rPr>
          <w:rFonts w:ascii="宋体" w:hAnsi="宋体"/>
          <w:b/>
          <w:sz w:val="36"/>
          <w:szCs w:val="36"/>
        </w:rPr>
      </w:pPr>
    </w:p>
    <w:p w14:paraId="2B620C95">
      <w:pPr>
        <w:rPr>
          <w:rFonts w:ascii="宋体" w:hAnsi="宋体"/>
          <w:b/>
          <w:sz w:val="36"/>
          <w:szCs w:val="36"/>
        </w:rPr>
      </w:pPr>
    </w:p>
    <w:p w14:paraId="7F2A0070">
      <w:pPr>
        <w:pStyle w:val="2"/>
        <w:rPr>
          <w:rFonts w:ascii="宋体" w:hAnsi="宋体"/>
          <w:b/>
          <w:sz w:val="36"/>
          <w:szCs w:val="36"/>
        </w:rPr>
      </w:pPr>
    </w:p>
    <w:p w14:paraId="650E3E0F">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8EE79C1"/>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6C7BA9"/>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B8D7E5E"/>
    <w:rsid w:val="3C1C2BDE"/>
    <w:rsid w:val="3CA073AF"/>
    <w:rsid w:val="3CE3375A"/>
    <w:rsid w:val="3DBF7571"/>
    <w:rsid w:val="3DC668D9"/>
    <w:rsid w:val="3EB7A014"/>
    <w:rsid w:val="3EC14D35"/>
    <w:rsid w:val="3F732F2F"/>
    <w:rsid w:val="3FBF7077"/>
    <w:rsid w:val="3FBFDA26"/>
    <w:rsid w:val="3FF3C106"/>
    <w:rsid w:val="3FFF4FC7"/>
    <w:rsid w:val="40353DED"/>
    <w:rsid w:val="40D02D3C"/>
    <w:rsid w:val="417B200B"/>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AC1B34"/>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正文-公1"/>
    <w:basedOn w:val="10"/>
    <w:next w:val="1"/>
    <w:qFormat/>
    <w:uiPriority w:val="0"/>
    <w:pPr>
      <w:ind w:firstLine="200" w:firstLineChars="200"/>
    </w:p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New Ne"/>
    <w:next w:val="9"/>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14</Pages>
  <Words>4137</Words>
  <Characters>4277</Characters>
  <Lines>22</Lines>
  <Paragraphs>6</Paragraphs>
  <TotalTime>41</TotalTime>
  <ScaleCrop>false</ScaleCrop>
  <LinksUpToDate>false</LinksUpToDate>
  <CharactersWithSpaces>4322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2025-01-21T03:17:00Z</cp:lastPrinted>
  <dcterms:modified xsi:type="dcterms:W3CDTF">2025-02-12T01:40:13Z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D913E1BF7FD24C3E9A052117BFD67C2C_13</vt:lpwstr>
  </property>
</Properties>
</file>