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7FE2D5BC">
      <w:pPr>
        <w:rPr>
          <w:rFonts w:hint="eastAsia" w:ascii="仿宋_GB2312" w:eastAsia="仿宋_GB2312"/>
          <w:sz w:val="32"/>
          <w:szCs w:val="32"/>
          <w:lang w:val="en-US" w:eastAsia="zh-CN"/>
        </w:rPr>
      </w:pPr>
    </w:p>
    <w:p w14:paraId="2AB61E80">
      <w:pPr>
        <w:pStyle w:val="2"/>
        <w:rPr>
          <w:rFonts w:hint="eastAsia" w:ascii="仿宋_GB2312" w:eastAsia="仿宋_GB2312"/>
          <w:sz w:val="32"/>
          <w:szCs w:val="32"/>
          <w:lang w:val="en-US" w:eastAsia="zh-CN"/>
        </w:rPr>
      </w:pPr>
    </w:p>
    <w:p w14:paraId="72B3FA8D">
      <w:pPr>
        <w:rPr>
          <w:rFonts w:hint="eastAsia" w:ascii="仿宋_GB2312" w:eastAsia="仿宋_GB2312"/>
          <w:sz w:val="32"/>
          <w:szCs w:val="32"/>
          <w:lang w:val="en-US" w:eastAsia="zh-CN"/>
        </w:rPr>
      </w:pPr>
    </w:p>
    <w:p w14:paraId="0937018C">
      <w:pPr>
        <w:pStyle w:val="2"/>
        <w:rPr>
          <w:rFonts w:hint="eastAsia" w:ascii="仿宋_GB2312" w:eastAsia="仿宋_GB2312"/>
          <w:sz w:val="32"/>
          <w:szCs w:val="32"/>
          <w:lang w:val="en-US" w:eastAsia="zh-CN"/>
        </w:rPr>
      </w:pPr>
    </w:p>
    <w:p w14:paraId="2A76892A">
      <w:pPr>
        <w:rPr>
          <w:rFonts w:hint="eastAsia"/>
          <w:lang w:val="en-US" w:eastAsia="zh-CN"/>
        </w:rPr>
      </w:pPr>
    </w:p>
    <w:p w14:paraId="2DCE84A8">
      <w:pPr>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盘山县政协</w:t>
      </w:r>
    </w:p>
    <w:p w14:paraId="045A9FB0">
      <w:pPr>
        <w:jc w:val="center"/>
        <w:rPr>
          <w:rFonts w:hint="eastAsia" w:ascii="宋体" w:hAnsi="宋体" w:eastAsia="宋体" w:cs="宋体"/>
          <w:b/>
          <w:bCs/>
          <w:sz w:val="44"/>
          <w:szCs w:val="44"/>
          <w:lang w:val="en-US" w:eastAsia="zh-CN"/>
        </w:rPr>
      </w:pPr>
      <w:r>
        <w:rPr>
          <w:rFonts w:hint="eastAsia" w:ascii="宋体" w:hAnsi="宋体" w:cs="宋体"/>
          <w:b/>
          <w:bCs/>
          <w:kern w:val="2"/>
          <w:sz w:val="44"/>
          <w:szCs w:val="44"/>
          <w:highlight w:val="none"/>
          <w:lang w:val="en-US" w:eastAsia="zh-CN" w:bidi="ar"/>
        </w:rPr>
        <w:t>2025年度部门</w:t>
      </w:r>
      <w:r>
        <w:rPr>
          <w:rFonts w:hint="eastAsia" w:ascii="宋体" w:hAnsi="宋体" w:eastAsia="宋体" w:cs="宋体"/>
          <w:b/>
          <w:bCs/>
          <w:kern w:val="2"/>
          <w:sz w:val="44"/>
          <w:szCs w:val="44"/>
          <w:highlight w:val="none"/>
          <w:lang w:val="en-US" w:eastAsia="zh-CN" w:bidi="ar"/>
        </w:rPr>
        <w:t>预算公开</w:t>
      </w:r>
    </w:p>
    <w:p w14:paraId="2FA2255F">
      <w:pPr>
        <w:spacing w:line="560" w:lineRule="exact"/>
        <w:jc w:val="center"/>
        <w:rPr>
          <w:bCs/>
          <w:sz w:val="32"/>
          <w:szCs w:val="32"/>
          <w:u w:val="single"/>
        </w:rPr>
      </w:pP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4301B9B8">
      <w:pPr>
        <w:spacing w:line="560" w:lineRule="exact"/>
        <w:jc w:val="center"/>
        <w:rPr>
          <w:rFonts w:hint="default" w:eastAsia="宋体"/>
          <w:b/>
          <w:sz w:val="44"/>
          <w:szCs w:val="44"/>
          <w:lang w:val="en-US" w:eastAsia="zh-CN"/>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部门</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盘山县政协</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盘山县政协2025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盘山县政协</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部门</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42B83D79">
      <w:pPr>
        <w:spacing w:line="560" w:lineRule="exact"/>
        <w:rPr>
          <w:rFonts w:ascii="宋体" w:hAnsi="宋体"/>
          <w:b/>
          <w:sz w:val="36"/>
          <w:szCs w:val="36"/>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盘山县政协</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29E13BD">
      <w:pPr>
        <w:spacing w:line="560" w:lineRule="exact"/>
        <w:ind w:firstLine="646" w:firstLineChars="200"/>
        <w:jc w:val="left"/>
        <w:rPr>
          <w:rFonts w:ascii="黑体" w:eastAsia="黑体"/>
          <w:sz w:val="32"/>
          <w:szCs w:val="32"/>
        </w:rPr>
      </w:pPr>
      <w:r>
        <w:rPr>
          <w:rFonts w:hint="eastAsia" w:ascii="仿宋_GB2312" w:hAnsi="Times New Roman" w:eastAsia="仿宋_GB2312" w:cs="Times New Roman"/>
          <w:kern w:val="2"/>
          <w:sz w:val="32"/>
          <w:szCs w:val="32"/>
          <w:lang w:val="en-US" w:eastAsia="zh-CN" w:bidi="ar-SA"/>
        </w:rPr>
        <w:t>政协是我国爱国统一战线的组织，是在共产党领导下的多党合作和政治协商的重要机构，主要职责是政治协商、民主监督、参政议政，为促进全县政治、经济、文化及社会各项事业的发展献计出力。承办县委、县政府交办的其他事项。</w:t>
      </w:r>
      <w:r>
        <w:rPr>
          <w:rFonts w:hint="eastAsia" w:ascii="黑体" w:eastAsia="黑体"/>
          <w:sz w:val="32"/>
          <w:szCs w:val="32"/>
        </w:rPr>
        <w:t>二、机构设置</w:t>
      </w:r>
    </w:p>
    <w:p w14:paraId="5FFF5454">
      <w:pPr>
        <w:spacing w:line="540" w:lineRule="exact"/>
        <w:ind w:firstLine="646" w:firstLineChars="200"/>
        <w:jc w:val="left"/>
        <w:rPr>
          <w:rFonts w:hint="eastAsia" w:ascii="仿宋" w:hAnsi="仿宋" w:eastAsia="仿宋" w:cs="仿宋"/>
          <w:sz w:val="32"/>
        </w:rPr>
      </w:pPr>
      <w:r>
        <w:rPr>
          <w:rFonts w:hint="eastAsia" w:ascii="仿宋" w:hAnsi="仿宋" w:eastAsia="仿宋" w:cs="仿宋"/>
          <w:sz w:val="32"/>
        </w:rPr>
        <w:t>根据本部门主要职责，内设机构如下：办公室、提案和委员工作委员会、农业农村和经济委员会、社会法制民族宗教和环境委员会、文化文史和教科体卫委员会。</w:t>
      </w:r>
    </w:p>
    <w:p w14:paraId="4B7C63A3">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w:t>
      </w:r>
      <w:bookmarkStart w:id="0" w:name="_GoBack"/>
      <w:bookmarkEnd w:id="0"/>
      <w:r>
        <w:rPr>
          <w:rFonts w:hint="eastAsia" w:ascii="宋体" w:hAnsi="宋体"/>
          <w:b/>
          <w:sz w:val="36"/>
          <w:szCs w:val="36"/>
          <w:lang w:val="en-US" w:eastAsia="zh-CN"/>
        </w:rPr>
        <w:t>政协2025</w:t>
      </w:r>
      <w:r>
        <w:rPr>
          <w:rFonts w:hint="eastAsia" w:ascii="宋体" w:hAnsi="宋体"/>
          <w:b/>
          <w:sz w:val="36"/>
          <w:szCs w:val="36"/>
        </w:rPr>
        <w:t>年预算情况说明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387.34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387.34</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387.34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307.34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80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23.58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项目支出减少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8873183">
      <w:pPr>
        <w:spacing w:line="560" w:lineRule="exact"/>
        <w:ind w:firstLine="645"/>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2025年，盘山县政协无专项资金项目。</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6"/>
        <w:rPr>
          <w:rFonts w:ascii="仿宋_GB2312" w:hAnsi="宋体" w:eastAsia="仿宋_GB2312"/>
          <w:sz w:val="32"/>
          <w:szCs w:val="32"/>
        </w:rPr>
      </w:pPr>
      <w:r>
        <w:rPr>
          <w:rFonts w:hint="eastAsia" w:ascii="仿宋_GB2312" w:hAnsi="宋体" w:eastAsia="仿宋_GB2312"/>
          <w:sz w:val="32"/>
          <w:szCs w:val="32"/>
          <w:lang w:val="en-US" w:eastAsia="zh-CN"/>
        </w:rPr>
        <w:t>2025年盘山县政协</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8.2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比2024年预算减少1.1万元，主要原因是减少不必要的日常开销。其中：办公费5.2万元、印刷费1万元、公务用车运行维护2万元。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2025年盘山县政协安排政府采购预算0万元，具体为货物0万元，服务0万元，工程0万元；预留面向中小企业采购份额0万元，其中预留给小微企业0万元。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盘山县公安局政协</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与2024年预算相同</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与2024年预算相同</w:t>
      </w:r>
      <w:r>
        <w:rPr>
          <w:rFonts w:hint="eastAsia" w:ascii="仿宋_GB2312" w:eastAsia="仿宋_GB2312"/>
          <w:sz w:val="32"/>
          <w:szCs w:val="32"/>
        </w:rPr>
        <w:t>），</w:t>
      </w:r>
      <w:r>
        <w:rPr>
          <w:rFonts w:hint="eastAsia" w:ascii="仿宋_GB2312" w:eastAsia="仿宋_GB2312"/>
          <w:sz w:val="32"/>
          <w:szCs w:val="32"/>
          <w:lang w:val="en-US" w:eastAsia="zh-CN"/>
        </w:rPr>
        <w:t>与2024年预算相同</w:t>
      </w:r>
      <w:r>
        <w:rPr>
          <w:rFonts w:hint="eastAsia" w:ascii="仿宋_GB2312" w:eastAsia="仿宋_GB2312"/>
          <w:sz w:val="32"/>
          <w:szCs w:val="32"/>
        </w:rPr>
        <w:t>。</w:t>
      </w:r>
    </w:p>
    <w:p w14:paraId="2F030526">
      <w:pPr>
        <w:pStyle w:val="2"/>
      </w:pPr>
    </w:p>
    <w:p w14:paraId="3954068F"/>
    <w:p w14:paraId="2CF779CE">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default" w:ascii="宋体" w:hAnsi="宋体" w:eastAsia="宋体" w:cs="宋体"/>
                <w:color w:val="000000"/>
                <w:kern w:val="0"/>
                <w:sz w:val="24"/>
                <w:lang w:val="en-US" w:eastAsia="zh-CN"/>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盘山县政协2025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1</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17.13</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盘山县政协2025</w:t>
      </w:r>
      <w:r>
        <w:rPr>
          <w:rFonts w:hint="eastAsia" w:ascii="仿宋_GB2312" w:hAnsi="宋体" w:eastAsia="仿宋_GB2312"/>
          <w:sz w:val="32"/>
          <w:szCs w:val="32"/>
        </w:rPr>
        <w:t>年应编制整体绩效目标共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0CA21160">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4FF7734">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E3C23FE">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7101629">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15F2159">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930558E">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0C062648">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7792C3CB">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63CBA98">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10506A1">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E28DEEA">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F28D0CC">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67B76B3">
      <w:pPr>
        <w:spacing w:line="540" w:lineRule="exact"/>
        <w:ind w:firstLine="646"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E34363D">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6000AF9">
      <w:pPr>
        <w:spacing w:line="540" w:lineRule="exact"/>
        <w:ind w:firstLine="646"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725CF0B3">
      <w:pPr>
        <w:spacing w:line="540" w:lineRule="exact"/>
        <w:ind w:firstLine="646"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.一般公共服务支出（类）政协事务（款）行政运行（项）：</w:t>
      </w:r>
      <w:r>
        <w:rPr>
          <w:rFonts w:hint="eastAsia" w:ascii="仿宋_GB2312" w:eastAsia="仿宋_GB2312"/>
          <w:sz w:val="32"/>
          <w:szCs w:val="32"/>
        </w:rPr>
        <w:t>反映行政单位（包括实行公务员管理的事业单位）的基本支出。</w:t>
      </w:r>
    </w:p>
    <w:p w14:paraId="02746AA0">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.一般公共服务支出（类）政协事务（款）一般行政管理事务（项）：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项目</w:t>
      </w:r>
      <w:r>
        <w:rPr>
          <w:rFonts w:hint="eastAsia" w:ascii="仿宋_GB2312" w:eastAsia="仿宋_GB2312"/>
          <w:sz w:val="32"/>
          <w:szCs w:val="32"/>
        </w:rPr>
        <w:t>支出。</w:t>
      </w:r>
    </w:p>
    <w:p w14:paraId="20092F13">
      <w:pPr>
        <w:spacing w:line="540" w:lineRule="exact"/>
        <w:ind w:firstLine="646" w:firstLineChars="200"/>
        <w:jc w:val="left"/>
        <w:rPr>
          <w:rFonts w:hint="eastAsia" w:ascii="宋体" w:hAnsi="宋体" w:cs="宋体"/>
          <w:b w:val="0"/>
          <w:bCs/>
          <w:sz w:val="32"/>
          <w:szCs w:val="32"/>
        </w:rPr>
      </w:pPr>
      <w:r>
        <w:rPr>
          <w:rFonts w:hint="eastAsia" w:ascii="宋体" w:hAnsi="宋体" w:cs="宋体"/>
          <w:b/>
          <w:bCs w:val="0"/>
          <w:sz w:val="32"/>
          <w:szCs w:val="32"/>
          <w:lang w:val="en-US" w:eastAsia="zh-CN"/>
        </w:rPr>
        <w:t>18.</w:t>
      </w:r>
      <w:r>
        <w:rPr>
          <w:rFonts w:hint="eastAsia" w:ascii="宋体" w:hAnsi="宋体" w:cs="宋体"/>
          <w:b/>
          <w:bCs w:val="0"/>
          <w:sz w:val="32"/>
          <w:szCs w:val="32"/>
        </w:rPr>
        <w:t>一般公共服务支出(类)政协事务（款）政协会议（项）：</w:t>
      </w:r>
      <w:r>
        <w:rPr>
          <w:rFonts w:hint="eastAsia" w:ascii="宋体" w:hAnsi="宋体" w:cs="宋体"/>
          <w:b w:val="0"/>
          <w:bCs/>
          <w:sz w:val="32"/>
          <w:szCs w:val="32"/>
        </w:rPr>
        <w:t>反映各级政协召开政治协商会议等专门会议的支出。</w:t>
      </w:r>
    </w:p>
    <w:p w14:paraId="2A1770DB">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6B0A8C6A">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2169BAC7">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51A0719E">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14:paraId="679BE54D">
      <w:pPr>
        <w:spacing w:line="540" w:lineRule="exact"/>
        <w:ind w:firstLine="646" w:firstLineChars="200"/>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46B54C75">
      <w:pPr>
        <w:spacing w:line="540" w:lineRule="exact"/>
        <w:ind w:firstLine="646"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24</w:t>
      </w:r>
      <w:r>
        <w:rPr>
          <w:rFonts w:hint="eastAsia" w:ascii="仿宋_GB2312" w:eastAsia="仿宋_GB2312"/>
          <w:b/>
          <w:bCs/>
          <w:sz w:val="32"/>
          <w:szCs w:val="32"/>
          <w:lang w:val="en-US" w:eastAsia="zh-CN"/>
        </w:rPr>
        <w:t>.机关运行经费：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EEE3894">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68950704">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GYzZGIyNGVkNTg2ZTE2NGY5ZWUxYWVhOTBlZGY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860E52"/>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730F19"/>
    <w:rsid w:val="43F97ACA"/>
    <w:rsid w:val="4602561E"/>
    <w:rsid w:val="46460D56"/>
    <w:rsid w:val="46E13712"/>
    <w:rsid w:val="470E1B72"/>
    <w:rsid w:val="4792414F"/>
    <w:rsid w:val="479A5FB8"/>
    <w:rsid w:val="47B807F3"/>
    <w:rsid w:val="47E81BB1"/>
    <w:rsid w:val="47FC6910"/>
    <w:rsid w:val="4A623313"/>
    <w:rsid w:val="4A726690"/>
    <w:rsid w:val="4B1B6C71"/>
    <w:rsid w:val="4C003682"/>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03416"/>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370</Words>
  <Characters>391</Characters>
  <Lines>22</Lines>
  <Paragraphs>6</Paragraphs>
  <TotalTime>0</TotalTime>
  <ScaleCrop>false</ScaleCrop>
  <LinksUpToDate>false</LinksUpToDate>
  <CharactersWithSpaces>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2025-02-08T01:29:51Z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5608E21AC5424C8CB6C7468D2EB60B42_13</vt:lpwstr>
  </property>
</Properties>
</file>