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9C6494">
      <w:pPr>
        <w:spacing w:line="594" w:lineRule="exact"/>
        <w:jc w:val="center"/>
        <w:rPr>
          <w:rFonts w:hint="eastAsia" w:eastAsia="方正小标宋简体" w:cs="方正仿宋简体"/>
          <w:sz w:val="32"/>
          <w:szCs w:val="32"/>
        </w:rPr>
      </w:pPr>
      <w:r>
        <w:rPr>
          <w:rFonts w:hint="eastAsia" w:eastAsia="方正小标宋简体"/>
          <w:sz w:val="32"/>
          <w:szCs w:val="32"/>
          <w:lang w:val="en-US" w:eastAsia="zh-CN"/>
        </w:rPr>
        <w:t>盘锦市兴隆台区</w:t>
      </w:r>
      <w:r>
        <w:rPr>
          <w:rFonts w:hint="eastAsia" w:eastAsia="方正小标宋简体" w:cs="方正仿宋简体"/>
          <w:sz w:val="32"/>
          <w:szCs w:val="32"/>
          <w:lang w:eastAsia="zh-CN"/>
        </w:rPr>
        <w:t>吸油烟机</w:t>
      </w:r>
      <w:r>
        <w:rPr>
          <w:rFonts w:eastAsia="方正小标宋简体" w:cs="方正仿宋简体"/>
          <w:sz w:val="32"/>
          <w:szCs w:val="32"/>
        </w:rPr>
        <w:t>产品质量监督抽查实施细则</w:t>
      </w:r>
    </w:p>
    <w:p w14:paraId="06DEB04C">
      <w:pPr>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lang w:val="en-US" w:eastAsia="zh-CN"/>
        </w:rPr>
        <w:t>5</w:t>
      </w:r>
      <w:r>
        <w:rPr>
          <w:rFonts w:eastAsia="方正小标宋简体"/>
          <w:color w:val="000000"/>
          <w:sz w:val="32"/>
          <w:szCs w:val="32"/>
        </w:rPr>
        <w:t>年版）</w:t>
      </w:r>
    </w:p>
    <w:p w14:paraId="35AF4920">
      <w:pPr>
        <w:snapToGrid w:val="0"/>
        <w:spacing w:line="360" w:lineRule="auto"/>
        <w:jc w:val="center"/>
        <w:rPr>
          <w:rFonts w:eastAsia="方正小标宋简体"/>
          <w:sz w:val="32"/>
          <w:szCs w:val="32"/>
        </w:rPr>
      </w:pPr>
    </w:p>
    <w:p w14:paraId="534EC04A">
      <w:pPr>
        <w:snapToGrid w:val="0"/>
        <w:spacing w:line="440" w:lineRule="exact"/>
        <w:rPr>
          <w:rFonts w:eastAsia="黑体"/>
          <w:szCs w:val="21"/>
        </w:rPr>
      </w:pPr>
      <w:r>
        <w:rPr>
          <w:rFonts w:eastAsia="黑体"/>
          <w:szCs w:val="21"/>
        </w:rPr>
        <w:t>1 抽样方法</w:t>
      </w:r>
    </w:p>
    <w:p w14:paraId="407907F2">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以随机抽样的方式在被抽样生产者、销售者的待销产品中抽取。</w:t>
      </w:r>
    </w:p>
    <w:p w14:paraId="73BE7D6D">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随机数一般可使用随机数表等方法产生。</w:t>
      </w:r>
    </w:p>
    <w:p w14:paraId="007F901D">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rPr>
        <w:t>每批次产品抽取样品</w:t>
      </w:r>
      <w:r>
        <w:rPr>
          <w:rFonts w:hint="default" w:ascii="Times New Roman" w:hAnsi="Times New Roman" w:eastAsia="宋体" w:cs="Times New Roman"/>
          <w:sz w:val="21"/>
          <w:szCs w:val="21"/>
          <w:lang w:val="en-US" w:eastAsia="zh-CN"/>
        </w:rPr>
        <w:t>2台</w:t>
      </w:r>
      <w:r>
        <w:rPr>
          <w:rFonts w:hint="default" w:ascii="Times New Roman" w:hAnsi="Times New Roman" w:eastAsia="宋体" w:cs="Times New Roman"/>
          <w:sz w:val="21"/>
          <w:szCs w:val="21"/>
        </w:rPr>
        <w:t>，其中</w:t>
      </w:r>
      <w:r>
        <w:rPr>
          <w:rFonts w:hint="default" w:ascii="Times New Roman" w:hAnsi="Times New Roman" w:eastAsia="宋体" w:cs="Times New Roman"/>
          <w:sz w:val="21"/>
          <w:szCs w:val="21"/>
          <w:lang w:val="en-US" w:eastAsia="zh-CN"/>
        </w:rPr>
        <w:t>1台</w:t>
      </w:r>
      <w:r>
        <w:rPr>
          <w:rFonts w:hint="default" w:ascii="Times New Roman" w:hAnsi="Times New Roman" w:eastAsia="宋体" w:cs="Times New Roman"/>
          <w:sz w:val="21"/>
          <w:szCs w:val="21"/>
        </w:rPr>
        <w:t>作为检验样品，</w:t>
      </w:r>
      <w:r>
        <w:rPr>
          <w:rFonts w:hint="default" w:ascii="Times New Roman" w:hAnsi="Times New Roman" w:eastAsia="宋体" w:cs="Times New Roman"/>
          <w:sz w:val="21"/>
          <w:szCs w:val="21"/>
          <w:lang w:val="en-US" w:eastAsia="zh-CN"/>
        </w:rPr>
        <w:t>1台</w:t>
      </w:r>
      <w:r>
        <w:rPr>
          <w:rFonts w:hint="default" w:ascii="Times New Roman" w:hAnsi="Times New Roman" w:eastAsia="宋体" w:cs="Times New Roman"/>
          <w:sz w:val="21"/>
          <w:szCs w:val="21"/>
        </w:rPr>
        <w:t>作为备用样品</w:t>
      </w:r>
      <w:bookmarkStart w:id="0" w:name="_GoBack"/>
      <w:bookmarkEnd w:id="0"/>
      <w:r>
        <w:rPr>
          <w:rFonts w:hint="default" w:ascii="Times New Roman" w:hAnsi="Times New Roman" w:eastAsia="宋体" w:cs="Times New Roman"/>
          <w:color w:val="000000"/>
          <w:sz w:val="21"/>
          <w:szCs w:val="21"/>
        </w:rPr>
        <w:t>。</w:t>
      </w:r>
    </w:p>
    <w:p w14:paraId="74E23AF4">
      <w:pPr>
        <w:pStyle w:val="2"/>
        <w:rPr>
          <w:rFonts w:hint="eastAsia"/>
        </w:rPr>
      </w:pPr>
    </w:p>
    <w:p w14:paraId="1D8A47F3">
      <w:pPr>
        <w:snapToGrid w:val="0"/>
        <w:spacing w:line="440" w:lineRule="exact"/>
        <w:rPr>
          <w:rFonts w:eastAsia="黑体"/>
          <w:szCs w:val="21"/>
        </w:rPr>
      </w:pPr>
      <w:r>
        <w:rPr>
          <w:rFonts w:eastAsia="黑体"/>
          <w:szCs w:val="21"/>
        </w:rPr>
        <w:t>2 检验依据</w:t>
      </w:r>
    </w:p>
    <w:p w14:paraId="3A06D73E">
      <w:pPr>
        <w:spacing w:before="100" w:beforeAutospacing="1" w:after="100" w:afterAutospacing="1"/>
        <w:contextualSpacing/>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吸油烟机（含噪声）</w:t>
      </w:r>
    </w:p>
    <w:tbl>
      <w:tblPr>
        <w:tblStyle w:val="4"/>
        <w:tblW w:w="82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478"/>
        <w:gridCol w:w="2219"/>
        <w:gridCol w:w="2818"/>
      </w:tblGrid>
      <w:tr w14:paraId="61F6A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6468FB30">
            <w:pPr>
              <w:widowControl/>
              <w:adjustRightInd w:val="0"/>
              <w:snapToGrid w:val="0"/>
              <w:jc w:val="center"/>
              <w:rPr>
                <w:rFonts w:hint="default" w:ascii="Times New Roman" w:hAnsi="Times New Roman" w:eastAsia="宋体" w:cs="Times New Roman"/>
                <w:bCs/>
                <w:iCs/>
                <w:kern w:val="0"/>
                <w:sz w:val="21"/>
                <w:szCs w:val="21"/>
              </w:rPr>
            </w:pPr>
            <w:r>
              <w:rPr>
                <w:rFonts w:hint="default" w:ascii="Times New Roman" w:hAnsi="Times New Roman" w:eastAsia="宋体" w:cs="Times New Roman"/>
                <w:bCs/>
                <w:iCs/>
                <w:kern w:val="0"/>
                <w:sz w:val="21"/>
                <w:szCs w:val="21"/>
              </w:rPr>
              <w:t>序号</w:t>
            </w:r>
          </w:p>
        </w:tc>
        <w:tc>
          <w:tcPr>
            <w:tcW w:w="2478" w:type="dxa"/>
            <w:vAlign w:val="center"/>
          </w:tcPr>
          <w:p w14:paraId="33570F4C">
            <w:pPr>
              <w:widowControl/>
              <w:adjustRightInd w:val="0"/>
              <w:snapToGrid w:val="0"/>
              <w:ind w:left="122" w:leftChars="58"/>
              <w:jc w:val="center"/>
              <w:rPr>
                <w:rFonts w:hint="default" w:ascii="Times New Roman" w:hAnsi="Times New Roman" w:eastAsia="宋体" w:cs="Times New Roman"/>
                <w:bCs/>
                <w:iCs/>
                <w:kern w:val="0"/>
                <w:sz w:val="21"/>
                <w:szCs w:val="21"/>
              </w:rPr>
            </w:pPr>
            <w:r>
              <w:rPr>
                <w:rFonts w:hint="default" w:ascii="Times New Roman" w:hAnsi="Times New Roman" w:eastAsia="宋体" w:cs="Times New Roman"/>
                <w:bCs/>
                <w:iCs/>
                <w:kern w:val="0"/>
                <w:sz w:val="21"/>
                <w:szCs w:val="21"/>
              </w:rPr>
              <w:t>检验项目</w:t>
            </w:r>
          </w:p>
        </w:tc>
        <w:tc>
          <w:tcPr>
            <w:tcW w:w="2219" w:type="dxa"/>
            <w:vAlign w:val="center"/>
          </w:tcPr>
          <w:p w14:paraId="1074ECDB">
            <w:pPr>
              <w:widowControl/>
              <w:adjustRightInd w:val="0"/>
              <w:snapToGrid w:val="0"/>
              <w:jc w:val="center"/>
              <w:rPr>
                <w:rFonts w:hint="default" w:ascii="Times New Roman" w:hAnsi="Times New Roman" w:eastAsia="宋体" w:cs="Times New Roman"/>
                <w:bCs/>
                <w:iCs/>
                <w:kern w:val="0"/>
                <w:sz w:val="21"/>
                <w:szCs w:val="21"/>
              </w:rPr>
            </w:pPr>
            <w:r>
              <w:rPr>
                <w:rFonts w:hint="default" w:ascii="Times New Roman" w:hAnsi="Times New Roman" w:eastAsia="宋体" w:cs="Times New Roman"/>
                <w:bCs/>
                <w:kern w:val="0"/>
                <w:sz w:val="21"/>
                <w:szCs w:val="21"/>
              </w:rPr>
              <w:t>依据标准</w:t>
            </w:r>
          </w:p>
        </w:tc>
        <w:tc>
          <w:tcPr>
            <w:tcW w:w="2818" w:type="dxa"/>
            <w:vAlign w:val="center"/>
          </w:tcPr>
          <w:p w14:paraId="736594AE">
            <w:pPr>
              <w:widowControl/>
              <w:adjustRightInd w:val="0"/>
              <w:snapToGrid w:val="0"/>
              <w:jc w:val="center"/>
              <w:rPr>
                <w:rFonts w:hint="default" w:ascii="Times New Roman" w:hAnsi="Times New Roman" w:eastAsia="宋体" w:cs="Times New Roman"/>
                <w:bCs/>
                <w:iCs/>
                <w:kern w:val="0"/>
                <w:sz w:val="21"/>
                <w:szCs w:val="21"/>
              </w:rPr>
            </w:pPr>
            <w:r>
              <w:rPr>
                <w:rFonts w:hint="default" w:ascii="Times New Roman" w:hAnsi="Times New Roman" w:eastAsia="宋体" w:cs="Times New Roman"/>
                <w:bCs/>
                <w:iCs/>
                <w:kern w:val="0"/>
                <w:sz w:val="21"/>
                <w:szCs w:val="21"/>
              </w:rPr>
              <w:t>检测方法</w:t>
            </w:r>
          </w:p>
        </w:tc>
      </w:tr>
      <w:tr w14:paraId="615BE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108A02FF">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rPr>
              <w:t>1</w:t>
            </w:r>
          </w:p>
        </w:tc>
        <w:tc>
          <w:tcPr>
            <w:tcW w:w="2478" w:type="dxa"/>
            <w:vAlign w:val="center"/>
          </w:tcPr>
          <w:p w14:paraId="0C0B3713">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对触及带电部件的防护</w:t>
            </w:r>
          </w:p>
        </w:tc>
        <w:tc>
          <w:tcPr>
            <w:tcW w:w="2219" w:type="dxa"/>
            <w:vMerge w:val="restart"/>
            <w:vAlign w:val="center"/>
          </w:tcPr>
          <w:p w14:paraId="54442A80">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4706.1-2005</w:t>
            </w:r>
          </w:p>
          <w:p w14:paraId="064552DF">
            <w:pPr>
              <w:widowControl/>
              <w:adjustRightInd w:val="0"/>
              <w:snapToGrid w:val="0"/>
              <w:ind w:left="122" w:leftChars="58"/>
              <w:jc w:val="center"/>
              <w:rPr>
                <w:rFonts w:hint="default" w:ascii="Times New Roman" w:hAnsi="Times New Roman" w:eastAsia="宋体" w:cs="Times New Roman"/>
                <w:bCs/>
                <w:iCs/>
                <w:kern w:val="0"/>
                <w:sz w:val="21"/>
                <w:szCs w:val="21"/>
              </w:rPr>
            </w:pPr>
            <w:r>
              <w:rPr>
                <w:rFonts w:hint="default" w:ascii="Times New Roman" w:hAnsi="Times New Roman" w:eastAsia="宋体" w:cs="Times New Roman"/>
                <w:bCs/>
                <w:iCs/>
                <w:kern w:val="0"/>
                <w:sz w:val="21"/>
                <w:szCs w:val="21"/>
              </w:rPr>
              <w:t>GB 4706.2</w:t>
            </w:r>
            <w:r>
              <w:rPr>
                <w:rFonts w:hint="default" w:ascii="Times New Roman" w:hAnsi="Times New Roman" w:eastAsia="宋体" w:cs="Times New Roman"/>
                <w:bCs/>
                <w:iCs/>
                <w:kern w:val="0"/>
                <w:sz w:val="21"/>
                <w:szCs w:val="21"/>
                <w:lang w:val="en-US" w:eastAsia="zh-CN"/>
              </w:rPr>
              <w:t>8</w:t>
            </w:r>
            <w:r>
              <w:rPr>
                <w:rFonts w:hint="default" w:ascii="Times New Roman" w:hAnsi="Times New Roman" w:eastAsia="宋体" w:cs="Times New Roman"/>
                <w:bCs/>
                <w:iCs/>
                <w:kern w:val="0"/>
                <w:sz w:val="21"/>
                <w:szCs w:val="21"/>
              </w:rPr>
              <w:t>-2008</w:t>
            </w:r>
          </w:p>
          <w:p w14:paraId="5728448A">
            <w:pPr>
              <w:widowControl/>
              <w:adjustRightInd w:val="0"/>
              <w:snapToGrid w:val="0"/>
              <w:ind w:left="122" w:leftChars="58"/>
              <w:jc w:val="center"/>
              <w:rPr>
                <w:rFonts w:hint="default" w:ascii="Times New Roman" w:hAnsi="Times New Roman" w:eastAsia="宋体" w:cs="Times New Roman"/>
                <w:bCs/>
                <w:iCs/>
                <w:kern w:val="0"/>
                <w:sz w:val="21"/>
                <w:szCs w:val="21"/>
              </w:rPr>
            </w:pPr>
            <w:r>
              <w:rPr>
                <w:rFonts w:hint="default" w:ascii="Times New Roman" w:hAnsi="Times New Roman" w:eastAsia="宋体" w:cs="Times New Roman"/>
                <w:bCs/>
                <w:iCs/>
                <w:kern w:val="0"/>
                <w:sz w:val="21"/>
                <w:szCs w:val="21"/>
              </w:rPr>
              <w:t>GB 19606-2004</w:t>
            </w:r>
          </w:p>
        </w:tc>
        <w:tc>
          <w:tcPr>
            <w:tcW w:w="2818" w:type="dxa"/>
            <w:vAlign w:val="center"/>
          </w:tcPr>
          <w:p w14:paraId="474489E9">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4706.1-2005</w:t>
            </w:r>
            <w:r>
              <w:rPr>
                <w:rFonts w:hint="default" w:ascii="Times New Roman" w:hAnsi="Times New Roman" w:eastAsia="宋体" w:cs="Times New Roman"/>
                <w:bCs/>
                <w:iCs/>
                <w:kern w:val="0"/>
                <w:sz w:val="21"/>
                <w:szCs w:val="21"/>
                <w:lang w:val="en-US" w:eastAsia="zh-CN"/>
              </w:rPr>
              <w:br w:type="textWrapping"/>
            </w:r>
            <w:r>
              <w:rPr>
                <w:rFonts w:hint="default" w:ascii="Times New Roman" w:hAnsi="Times New Roman" w:eastAsia="宋体" w:cs="Times New Roman"/>
                <w:bCs/>
                <w:iCs/>
                <w:kern w:val="0"/>
                <w:sz w:val="21"/>
                <w:szCs w:val="21"/>
                <w:lang w:val="en-US" w:eastAsia="zh-CN"/>
              </w:rPr>
              <w:t>GB 4706.28-2008</w:t>
            </w:r>
          </w:p>
        </w:tc>
      </w:tr>
      <w:tr w14:paraId="1FB1A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1F0EBF94">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rPr>
              <w:t>2</w:t>
            </w:r>
          </w:p>
        </w:tc>
        <w:tc>
          <w:tcPr>
            <w:tcW w:w="2478" w:type="dxa"/>
            <w:vAlign w:val="center"/>
          </w:tcPr>
          <w:p w14:paraId="7497CD67">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输入功率和电流</w:t>
            </w:r>
          </w:p>
        </w:tc>
        <w:tc>
          <w:tcPr>
            <w:tcW w:w="2219" w:type="dxa"/>
            <w:vMerge w:val="continue"/>
            <w:vAlign w:val="center"/>
          </w:tcPr>
          <w:p w14:paraId="57994540">
            <w:pPr>
              <w:widowControl/>
              <w:adjustRightInd w:val="0"/>
              <w:snapToGrid w:val="0"/>
              <w:ind w:left="122" w:leftChars="58"/>
              <w:jc w:val="center"/>
              <w:rPr>
                <w:rFonts w:hint="default" w:ascii="Times New Roman" w:hAnsi="Times New Roman" w:eastAsia="宋体" w:cs="Times New Roman"/>
                <w:bCs/>
                <w:iCs/>
                <w:kern w:val="0"/>
                <w:sz w:val="21"/>
                <w:szCs w:val="21"/>
              </w:rPr>
            </w:pPr>
          </w:p>
        </w:tc>
        <w:tc>
          <w:tcPr>
            <w:tcW w:w="2818" w:type="dxa"/>
            <w:vAlign w:val="center"/>
          </w:tcPr>
          <w:p w14:paraId="6A8BCAA6">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4706.1-2005</w:t>
            </w:r>
            <w:r>
              <w:rPr>
                <w:rFonts w:hint="default" w:ascii="Times New Roman" w:hAnsi="Times New Roman" w:eastAsia="宋体" w:cs="Times New Roman"/>
                <w:bCs/>
                <w:iCs/>
                <w:kern w:val="0"/>
                <w:sz w:val="21"/>
                <w:szCs w:val="21"/>
                <w:lang w:val="en-US" w:eastAsia="zh-CN"/>
              </w:rPr>
              <w:br w:type="textWrapping"/>
            </w:r>
            <w:r>
              <w:rPr>
                <w:rFonts w:hint="default" w:ascii="Times New Roman" w:hAnsi="Times New Roman" w:eastAsia="宋体" w:cs="Times New Roman"/>
                <w:bCs/>
                <w:iCs/>
                <w:kern w:val="0"/>
                <w:sz w:val="21"/>
                <w:szCs w:val="21"/>
                <w:lang w:val="en-US" w:eastAsia="zh-CN"/>
              </w:rPr>
              <w:t>GB 4706.28-2008</w:t>
            </w:r>
          </w:p>
        </w:tc>
      </w:tr>
      <w:tr w14:paraId="44AB4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739F3B1F">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rPr>
              <w:t>3</w:t>
            </w:r>
          </w:p>
        </w:tc>
        <w:tc>
          <w:tcPr>
            <w:tcW w:w="2478" w:type="dxa"/>
            <w:vAlign w:val="center"/>
          </w:tcPr>
          <w:p w14:paraId="0483639B">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发热</w:t>
            </w:r>
          </w:p>
        </w:tc>
        <w:tc>
          <w:tcPr>
            <w:tcW w:w="2219" w:type="dxa"/>
            <w:vMerge w:val="continue"/>
            <w:vAlign w:val="center"/>
          </w:tcPr>
          <w:p w14:paraId="5F344A7A">
            <w:pPr>
              <w:widowControl/>
              <w:adjustRightInd w:val="0"/>
              <w:snapToGrid w:val="0"/>
              <w:ind w:left="122" w:leftChars="58"/>
              <w:jc w:val="center"/>
              <w:rPr>
                <w:rFonts w:hint="default" w:ascii="Times New Roman" w:hAnsi="Times New Roman" w:eastAsia="宋体" w:cs="Times New Roman"/>
                <w:bCs/>
                <w:iCs/>
                <w:kern w:val="0"/>
                <w:sz w:val="21"/>
                <w:szCs w:val="21"/>
              </w:rPr>
            </w:pPr>
          </w:p>
        </w:tc>
        <w:tc>
          <w:tcPr>
            <w:tcW w:w="2818" w:type="dxa"/>
            <w:vAlign w:val="center"/>
          </w:tcPr>
          <w:p w14:paraId="6953BC34">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4706.1-2005</w:t>
            </w:r>
            <w:r>
              <w:rPr>
                <w:rFonts w:hint="default" w:ascii="Times New Roman" w:hAnsi="Times New Roman" w:eastAsia="宋体" w:cs="Times New Roman"/>
                <w:bCs/>
                <w:iCs/>
                <w:kern w:val="0"/>
                <w:sz w:val="21"/>
                <w:szCs w:val="21"/>
                <w:lang w:val="en-US" w:eastAsia="zh-CN"/>
              </w:rPr>
              <w:br w:type="textWrapping"/>
            </w:r>
            <w:r>
              <w:rPr>
                <w:rFonts w:hint="default" w:ascii="Times New Roman" w:hAnsi="Times New Roman" w:eastAsia="宋体" w:cs="Times New Roman"/>
                <w:bCs/>
                <w:iCs/>
                <w:kern w:val="0"/>
                <w:sz w:val="21"/>
                <w:szCs w:val="21"/>
                <w:lang w:val="en-US" w:eastAsia="zh-CN"/>
              </w:rPr>
              <w:t>GB 4706.28-2008</w:t>
            </w:r>
          </w:p>
        </w:tc>
      </w:tr>
      <w:tr w14:paraId="26439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5C508CBE">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rPr>
              <w:t>4</w:t>
            </w:r>
          </w:p>
        </w:tc>
        <w:tc>
          <w:tcPr>
            <w:tcW w:w="2478" w:type="dxa"/>
            <w:vAlign w:val="center"/>
          </w:tcPr>
          <w:p w14:paraId="6133E156">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工作温度下的泄漏电流和电气强度</w:t>
            </w:r>
          </w:p>
        </w:tc>
        <w:tc>
          <w:tcPr>
            <w:tcW w:w="2219" w:type="dxa"/>
            <w:vMerge w:val="continue"/>
            <w:vAlign w:val="center"/>
          </w:tcPr>
          <w:p w14:paraId="23D83ABF">
            <w:pPr>
              <w:widowControl/>
              <w:adjustRightInd w:val="0"/>
              <w:snapToGrid w:val="0"/>
              <w:ind w:left="122" w:leftChars="58"/>
              <w:jc w:val="center"/>
              <w:rPr>
                <w:rFonts w:hint="default" w:ascii="Times New Roman" w:hAnsi="Times New Roman" w:eastAsia="宋体" w:cs="Times New Roman"/>
                <w:bCs/>
                <w:iCs/>
                <w:kern w:val="0"/>
                <w:sz w:val="21"/>
                <w:szCs w:val="21"/>
              </w:rPr>
            </w:pPr>
          </w:p>
        </w:tc>
        <w:tc>
          <w:tcPr>
            <w:tcW w:w="2818" w:type="dxa"/>
            <w:vAlign w:val="center"/>
          </w:tcPr>
          <w:p w14:paraId="4338543E">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4706.1-2005</w:t>
            </w:r>
            <w:r>
              <w:rPr>
                <w:rFonts w:hint="default" w:ascii="Times New Roman" w:hAnsi="Times New Roman" w:eastAsia="宋体" w:cs="Times New Roman"/>
                <w:bCs/>
                <w:iCs/>
                <w:kern w:val="0"/>
                <w:sz w:val="21"/>
                <w:szCs w:val="21"/>
                <w:lang w:val="en-US" w:eastAsia="zh-CN"/>
              </w:rPr>
              <w:br w:type="textWrapping"/>
            </w:r>
            <w:r>
              <w:rPr>
                <w:rFonts w:hint="default" w:ascii="Times New Roman" w:hAnsi="Times New Roman" w:eastAsia="宋体" w:cs="Times New Roman"/>
                <w:bCs/>
                <w:iCs/>
                <w:kern w:val="0"/>
                <w:sz w:val="21"/>
                <w:szCs w:val="21"/>
                <w:lang w:val="en-US" w:eastAsia="zh-CN"/>
              </w:rPr>
              <w:t>GB 4706.28-2008</w:t>
            </w:r>
          </w:p>
        </w:tc>
      </w:tr>
      <w:tr w14:paraId="17548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0F2311DA">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rPr>
              <w:t>5</w:t>
            </w:r>
          </w:p>
        </w:tc>
        <w:tc>
          <w:tcPr>
            <w:tcW w:w="2478" w:type="dxa"/>
            <w:vAlign w:val="center"/>
          </w:tcPr>
          <w:p w14:paraId="4211EA9E">
            <w:pPr>
              <w:widowControl/>
              <w:adjustRightInd w:val="0"/>
              <w:snapToGrid w:val="0"/>
              <w:ind w:left="122" w:leftChars="58"/>
              <w:jc w:val="center"/>
              <w:rPr>
                <w:rFonts w:hint="default" w:ascii="Times New Roman" w:hAnsi="Times New Roman" w:eastAsia="宋体" w:cs="Times New Roman"/>
                <w:bCs/>
                <w:iCs/>
                <w:kern w:val="0"/>
                <w:sz w:val="21"/>
                <w:szCs w:val="21"/>
              </w:rPr>
            </w:pPr>
            <w:r>
              <w:rPr>
                <w:rFonts w:hint="default" w:ascii="Times New Roman" w:hAnsi="Times New Roman" w:eastAsia="宋体" w:cs="Times New Roman"/>
                <w:bCs/>
                <w:iCs/>
                <w:kern w:val="0"/>
                <w:sz w:val="21"/>
                <w:szCs w:val="21"/>
                <w:lang w:val="en-US" w:eastAsia="zh-CN"/>
              </w:rPr>
              <w:t>瞬态过电压</w:t>
            </w:r>
          </w:p>
        </w:tc>
        <w:tc>
          <w:tcPr>
            <w:tcW w:w="2219" w:type="dxa"/>
            <w:vMerge w:val="continue"/>
            <w:vAlign w:val="center"/>
          </w:tcPr>
          <w:p w14:paraId="3F9EECE7">
            <w:pPr>
              <w:widowControl/>
              <w:adjustRightInd w:val="0"/>
              <w:snapToGrid w:val="0"/>
              <w:ind w:left="122" w:leftChars="58"/>
              <w:jc w:val="center"/>
              <w:rPr>
                <w:rFonts w:hint="default" w:ascii="Times New Roman" w:hAnsi="Times New Roman" w:eastAsia="宋体" w:cs="Times New Roman"/>
                <w:bCs/>
                <w:iCs/>
                <w:kern w:val="0"/>
                <w:sz w:val="21"/>
                <w:szCs w:val="21"/>
              </w:rPr>
            </w:pPr>
          </w:p>
        </w:tc>
        <w:tc>
          <w:tcPr>
            <w:tcW w:w="2818" w:type="dxa"/>
            <w:vAlign w:val="center"/>
          </w:tcPr>
          <w:p w14:paraId="2A677038">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4706.1-2005</w:t>
            </w:r>
            <w:r>
              <w:rPr>
                <w:rFonts w:hint="default" w:ascii="Times New Roman" w:hAnsi="Times New Roman" w:eastAsia="宋体" w:cs="Times New Roman"/>
                <w:bCs/>
                <w:iCs/>
                <w:kern w:val="0"/>
                <w:sz w:val="21"/>
                <w:szCs w:val="21"/>
                <w:lang w:val="en-US" w:eastAsia="zh-CN"/>
              </w:rPr>
              <w:br w:type="textWrapping"/>
            </w:r>
            <w:r>
              <w:rPr>
                <w:rFonts w:hint="default" w:ascii="Times New Roman" w:hAnsi="Times New Roman" w:eastAsia="宋体" w:cs="Times New Roman"/>
                <w:bCs/>
                <w:iCs/>
                <w:kern w:val="0"/>
                <w:sz w:val="21"/>
                <w:szCs w:val="21"/>
                <w:lang w:val="en-US" w:eastAsia="zh-CN"/>
              </w:rPr>
              <w:t>GB 4706.28-2008</w:t>
            </w:r>
          </w:p>
        </w:tc>
      </w:tr>
      <w:tr w14:paraId="2154D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3F8B9899">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6</w:t>
            </w:r>
          </w:p>
        </w:tc>
        <w:tc>
          <w:tcPr>
            <w:tcW w:w="2478" w:type="dxa"/>
            <w:vAlign w:val="center"/>
          </w:tcPr>
          <w:p w14:paraId="59EB20F5">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泄漏电流和电气强度</w:t>
            </w:r>
          </w:p>
        </w:tc>
        <w:tc>
          <w:tcPr>
            <w:tcW w:w="2219" w:type="dxa"/>
            <w:vMerge w:val="continue"/>
            <w:vAlign w:val="center"/>
          </w:tcPr>
          <w:p w14:paraId="69A80B12">
            <w:pPr>
              <w:widowControl/>
              <w:adjustRightInd w:val="0"/>
              <w:snapToGrid w:val="0"/>
              <w:ind w:left="122" w:leftChars="58"/>
              <w:jc w:val="center"/>
              <w:rPr>
                <w:rFonts w:hint="default" w:ascii="Times New Roman" w:hAnsi="Times New Roman" w:eastAsia="宋体" w:cs="Times New Roman"/>
                <w:bCs/>
                <w:iCs/>
                <w:kern w:val="0"/>
                <w:sz w:val="21"/>
                <w:szCs w:val="21"/>
              </w:rPr>
            </w:pPr>
          </w:p>
        </w:tc>
        <w:tc>
          <w:tcPr>
            <w:tcW w:w="2818" w:type="dxa"/>
            <w:vAlign w:val="center"/>
          </w:tcPr>
          <w:p w14:paraId="2C36F19A">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4706.1-2005</w:t>
            </w:r>
            <w:r>
              <w:rPr>
                <w:rFonts w:hint="default" w:ascii="Times New Roman" w:hAnsi="Times New Roman" w:eastAsia="宋体" w:cs="Times New Roman"/>
                <w:bCs/>
                <w:iCs/>
                <w:kern w:val="0"/>
                <w:sz w:val="21"/>
                <w:szCs w:val="21"/>
                <w:lang w:val="en-US" w:eastAsia="zh-CN"/>
              </w:rPr>
              <w:br w:type="textWrapping"/>
            </w:r>
            <w:r>
              <w:rPr>
                <w:rFonts w:hint="default" w:ascii="Times New Roman" w:hAnsi="Times New Roman" w:eastAsia="宋体" w:cs="Times New Roman"/>
                <w:bCs/>
                <w:iCs/>
                <w:kern w:val="0"/>
                <w:sz w:val="21"/>
                <w:szCs w:val="21"/>
                <w:lang w:val="en-US" w:eastAsia="zh-CN"/>
              </w:rPr>
              <w:t>GB 4706.28-2008</w:t>
            </w:r>
          </w:p>
        </w:tc>
      </w:tr>
      <w:tr w14:paraId="501EB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052C856D">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7</w:t>
            </w:r>
          </w:p>
        </w:tc>
        <w:tc>
          <w:tcPr>
            <w:tcW w:w="2478" w:type="dxa"/>
            <w:vAlign w:val="center"/>
          </w:tcPr>
          <w:p w14:paraId="6153822A">
            <w:pPr>
              <w:widowControl/>
              <w:adjustRightInd w:val="0"/>
              <w:snapToGrid w:val="0"/>
              <w:ind w:left="122" w:leftChars="58"/>
              <w:jc w:val="center"/>
              <w:rPr>
                <w:rFonts w:hint="default" w:ascii="Times New Roman" w:hAnsi="Times New Roman" w:eastAsia="宋体" w:cs="Times New Roman"/>
                <w:bCs/>
                <w:iCs/>
                <w:kern w:val="0"/>
                <w:sz w:val="21"/>
                <w:szCs w:val="21"/>
              </w:rPr>
            </w:pPr>
            <w:r>
              <w:rPr>
                <w:rFonts w:hint="default" w:ascii="Times New Roman" w:hAnsi="Times New Roman" w:eastAsia="宋体" w:cs="Times New Roman"/>
                <w:bCs/>
                <w:iCs/>
                <w:kern w:val="0"/>
                <w:sz w:val="21"/>
                <w:szCs w:val="21"/>
                <w:lang w:val="en-US" w:eastAsia="zh-CN"/>
              </w:rPr>
              <w:t>稳定性和机械危险</w:t>
            </w:r>
          </w:p>
        </w:tc>
        <w:tc>
          <w:tcPr>
            <w:tcW w:w="2219" w:type="dxa"/>
            <w:vMerge w:val="continue"/>
            <w:vAlign w:val="center"/>
          </w:tcPr>
          <w:p w14:paraId="28283F39">
            <w:pPr>
              <w:widowControl/>
              <w:adjustRightInd w:val="0"/>
              <w:snapToGrid w:val="0"/>
              <w:ind w:left="122" w:leftChars="58"/>
              <w:jc w:val="center"/>
              <w:rPr>
                <w:rFonts w:hint="default" w:ascii="Times New Roman" w:hAnsi="Times New Roman" w:eastAsia="宋体" w:cs="Times New Roman"/>
                <w:bCs/>
                <w:iCs/>
                <w:kern w:val="0"/>
                <w:sz w:val="21"/>
                <w:szCs w:val="21"/>
              </w:rPr>
            </w:pPr>
          </w:p>
        </w:tc>
        <w:tc>
          <w:tcPr>
            <w:tcW w:w="2818" w:type="dxa"/>
            <w:vAlign w:val="center"/>
          </w:tcPr>
          <w:p w14:paraId="2C741F1D">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4706.1-2005</w:t>
            </w:r>
            <w:r>
              <w:rPr>
                <w:rFonts w:hint="default" w:ascii="Times New Roman" w:hAnsi="Times New Roman" w:eastAsia="宋体" w:cs="Times New Roman"/>
                <w:bCs/>
                <w:iCs/>
                <w:kern w:val="0"/>
                <w:sz w:val="21"/>
                <w:szCs w:val="21"/>
                <w:lang w:val="en-US" w:eastAsia="zh-CN"/>
              </w:rPr>
              <w:br w:type="textWrapping"/>
            </w:r>
            <w:r>
              <w:rPr>
                <w:rFonts w:hint="default" w:ascii="Times New Roman" w:hAnsi="Times New Roman" w:eastAsia="宋体" w:cs="Times New Roman"/>
                <w:bCs/>
                <w:iCs/>
                <w:kern w:val="0"/>
                <w:sz w:val="21"/>
                <w:szCs w:val="21"/>
                <w:lang w:val="en-US" w:eastAsia="zh-CN"/>
              </w:rPr>
              <w:t>GB 4706.28-2008</w:t>
            </w:r>
          </w:p>
        </w:tc>
      </w:tr>
      <w:tr w14:paraId="1B960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502A6D0F">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8</w:t>
            </w:r>
          </w:p>
        </w:tc>
        <w:tc>
          <w:tcPr>
            <w:tcW w:w="2478" w:type="dxa"/>
            <w:vAlign w:val="center"/>
          </w:tcPr>
          <w:p w14:paraId="6F82DD5A">
            <w:pPr>
              <w:widowControl/>
              <w:adjustRightInd w:val="0"/>
              <w:snapToGrid w:val="0"/>
              <w:ind w:left="122" w:leftChars="58"/>
              <w:jc w:val="center"/>
              <w:rPr>
                <w:rFonts w:hint="default" w:ascii="Times New Roman" w:hAnsi="Times New Roman" w:eastAsia="宋体" w:cs="Times New Roman"/>
                <w:bCs/>
                <w:iCs/>
                <w:kern w:val="0"/>
                <w:sz w:val="21"/>
                <w:szCs w:val="21"/>
              </w:rPr>
            </w:pPr>
            <w:r>
              <w:rPr>
                <w:rFonts w:hint="default" w:ascii="Times New Roman" w:hAnsi="Times New Roman" w:eastAsia="宋体" w:cs="Times New Roman"/>
                <w:bCs/>
                <w:iCs/>
                <w:kern w:val="0"/>
                <w:sz w:val="21"/>
                <w:szCs w:val="21"/>
                <w:lang w:val="en-US" w:eastAsia="zh-CN"/>
              </w:rPr>
              <w:t>机械强度</w:t>
            </w:r>
          </w:p>
        </w:tc>
        <w:tc>
          <w:tcPr>
            <w:tcW w:w="2219" w:type="dxa"/>
            <w:vMerge w:val="continue"/>
            <w:vAlign w:val="center"/>
          </w:tcPr>
          <w:p w14:paraId="7CA6405C">
            <w:pPr>
              <w:widowControl/>
              <w:adjustRightInd w:val="0"/>
              <w:snapToGrid w:val="0"/>
              <w:ind w:left="122" w:leftChars="58"/>
              <w:jc w:val="center"/>
              <w:rPr>
                <w:rFonts w:hint="default" w:ascii="Times New Roman" w:hAnsi="Times New Roman" w:eastAsia="宋体" w:cs="Times New Roman"/>
                <w:bCs/>
                <w:iCs/>
                <w:kern w:val="0"/>
                <w:sz w:val="21"/>
                <w:szCs w:val="21"/>
              </w:rPr>
            </w:pPr>
          </w:p>
        </w:tc>
        <w:tc>
          <w:tcPr>
            <w:tcW w:w="2818" w:type="dxa"/>
            <w:vAlign w:val="center"/>
          </w:tcPr>
          <w:p w14:paraId="04905892">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4706.1-2005</w:t>
            </w:r>
            <w:r>
              <w:rPr>
                <w:rFonts w:hint="default" w:ascii="Times New Roman" w:hAnsi="Times New Roman" w:eastAsia="宋体" w:cs="Times New Roman"/>
                <w:bCs/>
                <w:iCs/>
                <w:kern w:val="0"/>
                <w:sz w:val="21"/>
                <w:szCs w:val="21"/>
                <w:lang w:val="en-US" w:eastAsia="zh-CN"/>
              </w:rPr>
              <w:br w:type="textWrapping"/>
            </w:r>
            <w:r>
              <w:rPr>
                <w:rFonts w:hint="default" w:ascii="Times New Roman" w:hAnsi="Times New Roman" w:eastAsia="宋体" w:cs="Times New Roman"/>
                <w:bCs/>
                <w:iCs/>
                <w:kern w:val="0"/>
                <w:sz w:val="21"/>
                <w:szCs w:val="21"/>
                <w:lang w:val="en-US" w:eastAsia="zh-CN"/>
              </w:rPr>
              <w:t>GB 4706.28-2008</w:t>
            </w:r>
          </w:p>
        </w:tc>
      </w:tr>
      <w:tr w14:paraId="25D76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589E5842">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9</w:t>
            </w:r>
          </w:p>
        </w:tc>
        <w:tc>
          <w:tcPr>
            <w:tcW w:w="2478" w:type="dxa"/>
            <w:vAlign w:val="center"/>
          </w:tcPr>
          <w:p w14:paraId="6F50E69A">
            <w:pPr>
              <w:widowControl/>
              <w:adjustRightInd w:val="0"/>
              <w:snapToGrid w:val="0"/>
              <w:ind w:left="122" w:leftChars="58"/>
              <w:jc w:val="center"/>
              <w:rPr>
                <w:rFonts w:hint="default" w:ascii="Times New Roman" w:hAnsi="Times New Roman" w:eastAsia="宋体" w:cs="Times New Roman"/>
                <w:bCs/>
                <w:iCs/>
                <w:kern w:val="0"/>
                <w:sz w:val="21"/>
                <w:szCs w:val="21"/>
              </w:rPr>
            </w:pPr>
            <w:r>
              <w:rPr>
                <w:rFonts w:hint="default" w:ascii="Times New Roman" w:hAnsi="Times New Roman" w:eastAsia="宋体" w:cs="Times New Roman"/>
                <w:bCs/>
                <w:iCs/>
                <w:kern w:val="0"/>
                <w:sz w:val="21"/>
                <w:szCs w:val="21"/>
                <w:lang w:val="en-US" w:eastAsia="zh-CN"/>
              </w:rPr>
              <w:t>结构</w:t>
            </w:r>
          </w:p>
        </w:tc>
        <w:tc>
          <w:tcPr>
            <w:tcW w:w="2219" w:type="dxa"/>
            <w:vMerge w:val="continue"/>
            <w:vAlign w:val="center"/>
          </w:tcPr>
          <w:p w14:paraId="6F2E3AD5">
            <w:pPr>
              <w:widowControl/>
              <w:adjustRightInd w:val="0"/>
              <w:snapToGrid w:val="0"/>
              <w:ind w:left="122" w:leftChars="58"/>
              <w:jc w:val="center"/>
              <w:rPr>
                <w:rFonts w:hint="default" w:ascii="Times New Roman" w:hAnsi="Times New Roman" w:eastAsia="宋体" w:cs="Times New Roman"/>
                <w:bCs/>
                <w:iCs/>
                <w:kern w:val="0"/>
                <w:sz w:val="21"/>
                <w:szCs w:val="21"/>
              </w:rPr>
            </w:pPr>
          </w:p>
        </w:tc>
        <w:tc>
          <w:tcPr>
            <w:tcW w:w="2818" w:type="dxa"/>
            <w:vAlign w:val="center"/>
          </w:tcPr>
          <w:p w14:paraId="3672A424">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4706.1-2005</w:t>
            </w:r>
            <w:r>
              <w:rPr>
                <w:rFonts w:hint="default" w:ascii="Times New Roman" w:hAnsi="Times New Roman" w:eastAsia="宋体" w:cs="Times New Roman"/>
                <w:bCs/>
                <w:iCs/>
                <w:kern w:val="0"/>
                <w:sz w:val="21"/>
                <w:szCs w:val="21"/>
                <w:lang w:val="en-US" w:eastAsia="zh-CN"/>
              </w:rPr>
              <w:br w:type="textWrapping"/>
            </w:r>
            <w:r>
              <w:rPr>
                <w:rFonts w:hint="default" w:ascii="Times New Roman" w:hAnsi="Times New Roman" w:eastAsia="宋体" w:cs="Times New Roman"/>
                <w:bCs/>
                <w:iCs/>
                <w:kern w:val="0"/>
                <w:sz w:val="21"/>
                <w:szCs w:val="21"/>
                <w:lang w:val="en-US" w:eastAsia="zh-CN"/>
              </w:rPr>
              <w:t>GB 4706.28-2008</w:t>
            </w:r>
          </w:p>
        </w:tc>
      </w:tr>
      <w:tr w14:paraId="4CE48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4ACB0A96">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10</w:t>
            </w:r>
          </w:p>
        </w:tc>
        <w:tc>
          <w:tcPr>
            <w:tcW w:w="2478" w:type="dxa"/>
            <w:vAlign w:val="center"/>
          </w:tcPr>
          <w:p w14:paraId="0E63A767">
            <w:pPr>
              <w:widowControl/>
              <w:adjustRightInd w:val="0"/>
              <w:snapToGrid w:val="0"/>
              <w:ind w:left="122" w:leftChars="58"/>
              <w:jc w:val="center"/>
              <w:rPr>
                <w:rFonts w:hint="default" w:ascii="Times New Roman" w:hAnsi="Times New Roman" w:eastAsia="宋体" w:cs="Times New Roman"/>
                <w:bCs/>
                <w:iCs/>
                <w:kern w:val="0"/>
                <w:sz w:val="21"/>
                <w:szCs w:val="21"/>
              </w:rPr>
            </w:pPr>
            <w:r>
              <w:rPr>
                <w:rFonts w:hint="default" w:ascii="Times New Roman" w:hAnsi="Times New Roman" w:eastAsia="宋体" w:cs="Times New Roman"/>
                <w:bCs/>
                <w:iCs/>
                <w:kern w:val="0"/>
                <w:sz w:val="21"/>
                <w:szCs w:val="21"/>
                <w:lang w:val="en-US" w:eastAsia="zh-CN"/>
              </w:rPr>
              <w:t>内部布线</w:t>
            </w:r>
          </w:p>
        </w:tc>
        <w:tc>
          <w:tcPr>
            <w:tcW w:w="2219" w:type="dxa"/>
            <w:vMerge w:val="continue"/>
            <w:vAlign w:val="center"/>
          </w:tcPr>
          <w:p w14:paraId="2946E2D9">
            <w:pPr>
              <w:widowControl/>
              <w:adjustRightInd w:val="0"/>
              <w:snapToGrid w:val="0"/>
              <w:ind w:left="122" w:leftChars="58"/>
              <w:jc w:val="center"/>
              <w:rPr>
                <w:rFonts w:hint="default" w:ascii="Times New Roman" w:hAnsi="Times New Roman" w:eastAsia="宋体" w:cs="Times New Roman"/>
                <w:bCs/>
                <w:iCs/>
                <w:kern w:val="0"/>
                <w:sz w:val="21"/>
                <w:szCs w:val="21"/>
              </w:rPr>
            </w:pPr>
          </w:p>
        </w:tc>
        <w:tc>
          <w:tcPr>
            <w:tcW w:w="2818" w:type="dxa"/>
            <w:vAlign w:val="center"/>
          </w:tcPr>
          <w:p w14:paraId="58DB2187">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4706.1-2005</w:t>
            </w:r>
            <w:r>
              <w:rPr>
                <w:rFonts w:hint="default" w:ascii="Times New Roman" w:hAnsi="Times New Roman" w:eastAsia="宋体" w:cs="Times New Roman"/>
                <w:bCs/>
                <w:iCs/>
                <w:kern w:val="0"/>
                <w:sz w:val="21"/>
                <w:szCs w:val="21"/>
                <w:lang w:val="en-US" w:eastAsia="zh-CN"/>
              </w:rPr>
              <w:br w:type="textWrapping"/>
            </w:r>
            <w:r>
              <w:rPr>
                <w:rFonts w:hint="default" w:ascii="Times New Roman" w:hAnsi="Times New Roman" w:eastAsia="宋体" w:cs="Times New Roman"/>
                <w:bCs/>
                <w:iCs/>
                <w:kern w:val="0"/>
                <w:sz w:val="21"/>
                <w:szCs w:val="21"/>
                <w:lang w:val="en-US" w:eastAsia="zh-CN"/>
              </w:rPr>
              <w:t>GB 4706.28-2008</w:t>
            </w:r>
          </w:p>
        </w:tc>
      </w:tr>
      <w:tr w14:paraId="0A2E8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57B5DC2C">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11</w:t>
            </w:r>
          </w:p>
        </w:tc>
        <w:tc>
          <w:tcPr>
            <w:tcW w:w="2478" w:type="dxa"/>
            <w:vAlign w:val="center"/>
          </w:tcPr>
          <w:p w14:paraId="171BF8BE">
            <w:pPr>
              <w:widowControl/>
              <w:adjustRightInd w:val="0"/>
              <w:snapToGrid w:val="0"/>
              <w:ind w:left="122" w:leftChars="58"/>
              <w:jc w:val="center"/>
              <w:rPr>
                <w:rFonts w:hint="default" w:ascii="Times New Roman" w:hAnsi="Times New Roman" w:eastAsia="宋体" w:cs="Times New Roman"/>
                <w:bCs/>
                <w:iCs/>
                <w:kern w:val="0"/>
                <w:sz w:val="21"/>
                <w:szCs w:val="21"/>
              </w:rPr>
            </w:pPr>
            <w:r>
              <w:rPr>
                <w:rFonts w:hint="default" w:ascii="Times New Roman" w:hAnsi="Times New Roman" w:eastAsia="宋体" w:cs="Times New Roman"/>
                <w:bCs/>
                <w:iCs/>
                <w:kern w:val="0"/>
                <w:sz w:val="21"/>
                <w:szCs w:val="21"/>
                <w:lang w:val="en-US" w:eastAsia="zh-CN"/>
              </w:rPr>
              <w:t>电源连接和外部软线</w:t>
            </w:r>
          </w:p>
        </w:tc>
        <w:tc>
          <w:tcPr>
            <w:tcW w:w="2219" w:type="dxa"/>
            <w:vMerge w:val="continue"/>
            <w:vAlign w:val="center"/>
          </w:tcPr>
          <w:p w14:paraId="242FC930">
            <w:pPr>
              <w:widowControl/>
              <w:adjustRightInd w:val="0"/>
              <w:snapToGrid w:val="0"/>
              <w:ind w:left="122" w:leftChars="58"/>
              <w:jc w:val="center"/>
              <w:rPr>
                <w:rFonts w:hint="default" w:ascii="Times New Roman" w:hAnsi="Times New Roman" w:eastAsia="宋体" w:cs="Times New Roman"/>
                <w:bCs/>
                <w:iCs/>
                <w:kern w:val="0"/>
                <w:sz w:val="21"/>
                <w:szCs w:val="21"/>
              </w:rPr>
            </w:pPr>
          </w:p>
        </w:tc>
        <w:tc>
          <w:tcPr>
            <w:tcW w:w="2818" w:type="dxa"/>
            <w:vAlign w:val="center"/>
          </w:tcPr>
          <w:p w14:paraId="11E36E11">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4706.1-2005</w:t>
            </w:r>
            <w:r>
              <w:rPr>
                <w:rFonts w:hint="default" w:ascii="Times New Roman" w:hAnsi="Times New Roman" w:eastAsia="宋体" w:cs="Times New Roman"/>
                <w:bCs/>
                <w:iCs/>
                <w:kern w:val="0"/>
                <w:sz w:val="21"/>
                <w:szCs w:val="21"/>
                <w:lang w:val="en-US" w:eastAsia="zh-CN"/>
              </w:rPr>
              <w:br w:type="textWrapping"/>
            </w:r>
            <w:r>
              <w:rPr>
                <w:rFonts w:hint="default" w:ascii="Times New Roman" w:hAnsi="Times New Roman" w:eastAsia="宋体" w:cs="Times New Roman"/>
                <w:bCs/>
                <w:iCs/>
                <w:kern w:val="0"/>
                <w:sz w:val="21"/>
                <w:szCs w:val="21"/>
                <w:lang w:val="en-US" w:eastAsia="zh-CN"/>
              </w:rPr>
              <w:t>GB 4706.28-2008</w:t>
            </w:r>
          </w:p>
        </w:tc>
      </w:tr>
      <w:tr w14:paraId="57867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7FF54682">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12</w:t>
            </w:r>
          </w:p>
        </w:tc>
        <w:tc>
          <w:tcPr>
            <w:tcW w:w="2478" w:type="dxa"/>
            <w:vAlign w:val="center"/>
          </w:tcPr>
          <w:p w14:paraId="07999A6F">
            <w:pPr>
              <w:widowControl/>
              <w:adjustRightInd w:val="0"/>
              <w:snapToGrid w:val="0"/>
              <w:ind w:left="122" w:leftChars="58"/>
              <w:jc w:val="center"/>
              <w:rPr>
                <w:rFonts w:hint="default" w:ascii="Times New Roman" w:hAnsi="Times New Roman" w:eastAsia="宋体" w:cs="Times New Roman"/>
                <w:bCs/>
                <w:iCs/>
                <w:kern w:val="0"/>
                <w:sz w:val="21"/>
                <w:szCs w:val="21"/>
              </w:rPr>
            </w:pPr>
            <w:r>
              <w:rPr>
                <w:rFonts w:hint="default" w:ascii="Times New Roman" w:hAnsi="Times New Roman" w:eastAsia="宋体" w:cs="Times New Roman"/>
                <w:bCs/>
                <w:iCs/>
                <w:kern w:val="0"/>
                <w:sz w:val="21"/>
                <w:szCs w:val="21"/>
                <w:lang w:val="en-US" w:eastAsia="zh-CN"/>
              </w:rPr>
              <w:t>外部导线用接线端子</w:t>
            </w:r>
          </w:p>
        </w:tc>
        <w:tc>
          <w:tcPr>
            <w:tcW w:w="2219" w:type="dxa"/>
            <w:vMerge w:val="continue"/>
            <w:vAlign w:val="center"/>
          </w:tcPr>
          <w:p w14:paraId="2063EE7E">
            <w:pPr>
              <w:widowControl/>
              <w:adjustRightInd w:val="0"/>
              <w:snapToGrid w:val="0"/>
              <w:ind w:left="122" w:leftChars="58"/>
              <w:jc w:val="center"/>
              <w:rPr>
                <w:rFonts w:hint="default" w:ascii="Times New Roman" w:hAnsi="Times New Roman" w:eastAsia="宋体" w:cs="Times New Roman"/>
                <w:bCs/>
                <w:iCs/>
                <w:kern w:val="0"/>
                <w:sz w:val="21"/>
                <w:szCs w:val="21"/>
              </w:rPr>
            </w:pPr>
          </w:p>
        </w:tc>
        <w:tc>
          <w:tcPr>
            <w:tcW w:w="2818" w:type="dxa"/>
            <w:vAlign w:val="center"/>
          </w:tcPr>
          <w:p w14:paraId="66D56C7F">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4706.1-2005</w:t>
            </w:r>
            <w:r>
              <w:rPr>
                <w:rFonts w:hint="default" w:ascii="Times New Roman" w:hAnsi="Times New Roman" w:eastAsia="宋体" w:cs="Times New Roman"/>
                <w:bCs/>
                <w:iCs/>
                <w:kern w:val="0"/>
                <w:sz w:val="21"/>
                <w:szCs w:val="21"/>
                <w:lang w:val="en-US" w:eastAsia="zh-CN"/>
              </w:rPr>
              <w:br w:type="textWrapping"/>
            </w:r>
            <w:r>
              <w:rPr>
                <w:rFonts w:hint="default" w:ascii="Times New Roman" w:hAnsi="Times New Roman" w:eastAsia="宋体" w:cs="Times New Roman"/>
                <w:bCs/>
                <w:iCs/>
                <w:kern w:val="0"/>
                <w:sz w:val="21"/>
                <w:szCs w:val="21"/>
                <w:lang w:val="en-US" w:eastAsia="zh-CN"/>
              </w:rPr>
              <w:t>GB 4706.28-2008</w:t>
            </w:r>
          </w:p>
        </w:tc>
      </w:tr>
      <w:tr w14:paraId="776AB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492EAC82">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13</w:t>
            </w:r>
          </w:p>
        </w:tc>
        <w:tc>
          <w:tcPr>
            <w:tcW w:w="2478" w:type="dxa"/>
            <w:vAlign w:val="center"/>
          </w:tcPr>
          <w:p w14:paraId="06A9936E">
            <w:pPr>
              <w:widowControl/>
              <w:adjustRightInd w:val="0"/>
              <w:snapToGrid w:val="0"/>
              <w:ind w:left="122" w:leftChars="58"/>
              <w:jc w:val="center"/>
              <w:rPr>
                <w:rFonts w:hint="default" w:ascii="Times New Roman" w:hAnsi="Times New Roman" w:eastAsia="宋体" w:cs="Times New Roman"/>
                <w:bCs/>
                <w:iCs/>
                <w:kern w:val="0"/>
                <w:sz w:val="21"/>
                <w:szCs w:val="21"/>
              </w:rPr>
            </w:pPr>
            <w:r>
              <w:rPr>
                <w:rFonts w:hint="default" w:ascii="Times New Roman" w:hAnsi="Times New Roman" w:eastAsia="宋体" w:cs="Times New Roman"/>
                <w:bCs/>
                <w:iCs/>
                <w:kern w:val="0"/>
                <w:sz w:val="21"/>
                <w:szCs w:val="21"/>
                <w:lang w:val="en-US" w:eastAsia="zh-CN"/>
              </w:rPr>
              <w:t>接地措施</w:t>
            </w:r>
          </w:p>
        </w:tc>
        <w:tc>
          <w:tcPr>
            <w:tcW w:w="2219" w:type="dxa"/>
            <w:vMerge w:val="continue"/>
            <w:vAlign w:val="center"/>
          </w:tcPr>
          <w:p w14:paraId="360988DD">
            <w:pPr>
              <w:widowControl/>
              <w:adjustRightInd w:val="0"/>
              <w:snapToGrid w:val="0"/>
              <w:ind w:left="122" w:leftChars="58"/>
              <w:jc w:val="center"/>
              <w:rPr>
                <w:rFonts w:hint="default" w:ascii="Times New Roman" w:hAnsi="Times New Roman" w:eastAsia="宋体" w:cs="Times New Roman"/>
                <w:bCs/>
                <w:iCs/>
                <w:kern w:val="0"/>
                <w:sz w:val="21"/>
                <w:szCs w:val="21"/>
              </w:rPr>
            </w:pPr>
          </w:p>
        </w:tc>
        <w:tc>
          <w:tcPr>
            <w:tcW w:w="2818" w:type="dxa"/>
            <w:vAlign w:val="center"/>
          </w:tcPr>
          <w:p w14:paraId="57601533">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4706.1-2005</w:t>
            </w:r>
            <w:r>
              <w:rPr>
                <w:rFonts w:hint="default" w:ascii="Times New Roman" w:hAnsi="Times New Roman" w:eastAsia="宋体" w:cs="Times New Roman"/>
                <w:bCs/>
                <w:iCs/>
                <w:kern w:val="0"/>
                <w:sz w:val="21"/>
                <w:szCs w:val="21"/>
                <w:lang w:val="en-US" w:eastAsia="zh-CN"/>
              </w:rPr>
              <w:br w:type="textWrapping"/>
            </w:r>
            <w:r>
              <w:rPr>
                <w:rFonts w:hint="default" w:ascii="Times New Roman" w:hAnsi="Times New Roman" w:eastAsia="宋体" w:cs="Times New Roman"/>
                <w:bCs/>
                <w:iCs/>
                <w:kern w:val="0"/>
                <w:sz w:val="21"/>
                <w:szCs w:val="21"/>
                <w:lang w:val="en-US" w:eastAsia="zh-CN"/>
              </w:rPr>
              <w:t>GB 4706.28-2008</w:t>
            </w:r>
          </w:p>
        </w:tc>
      </w:tr>
      <w:tr w14:paraId="4EECE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66386221">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14</w:t>
            </w:r>
          </w:p>
        </w:tc>
        <w:tc>
          <w:tcPr>
            <w:tcW w:w="2478" w:type="dxa"/>
            <w:vAlign w:val="center"/>
          </w:tcPr>
          <w:p w14:paraId="35FBBEFC">
            <w:pPr>
              <w:widowControl/>
              <w:adjustRightInd w:val="0"/>
              <w:snapToGrid w:val="0"/>
              <w:ind w:left="122" w:leftChars="58"/>
              <w:jc w:val="center"/>
              <w:rPr>
                <w:rFonts w:hint="default" w:ascii="Times New Roman" w:hAnsi="Times New Roman" w:eastAsia="宋体" w:cs="Times New Roman"/>
                <w:bCs/>
                <w:iCs/>
                <w:kern w:val="0"/>
                <w:sz w:val="21"/>
                <w:szCs w:val="21"/>
              </w:rPr>
            </w:pPr>
            <w:r>
              <w:rPr>
                <w:rFonts w:hint="default" w:ascii="Times New Roman" w:hAnsi="Times New Roman" w:eastAsia="宋体" w:cs="Times New Roman"/>
                <w:bCs/>
                <w:iCs/>
                <w:kern w:val="0"/>
                <w:sz w:val="21"/>
                <w:szCs w:val="21"/>
                <w:lang w:val="en-US" w:eastAsia="zh-CN"/>
              </w:rPr>
              <w:t>螺钉和连接</w:t>
            </w:r>
          </w:p>
        </w:tc>
        <w:tc>
          <w:tcPr>
            <w:tcW w:w="2219" w:type="dxa"/>
            <w:vMerge w:val="continue"/>
            <w:vAlign w:val="center"/>
          </w:tcPr>
          <w:p w14:paraId="3640CE38">
            <w:pPr>
              <w:widowControl/>
              <w:adjustRightInd w:val="0"/>
              <w:snapToGrid w:val="0"/>
              <w:ind w:left="122" w:leftChars="58"/>
              <w:jc w:val="center"/>
              <w:rPr>
                <w:rFonts w:hint="default" w:ascii="Times New Roman" w:hAnsi="Times New Roman" w:eastAsia="宋体" w:cs="Times New Roman"/>
                <w:bCs/>
                <w:iCs/>
                <w:kern w:val="0"/>
                <w:sz w:val="21"/>
                <w:szCs w:val="21"/>
              </w:rPr>
            </w:pPr>
          </w:p>
        </w:tc>
        <w:tc>
          <w:tcPr>
            <w:tcW w:w="2818" w:type="dxa"/>
            <w:vAlign w:val="center"/>
          </w:tcPr>
          <w:p w14:paraId="4CD34886">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4706.1-2005</w:t>
            </w:r>
            <w:r>
              <w:rPr>
                <w:rFonts w:hint="default" w:ascii="Times New Roman" w:hAnsi="Times New Roman" w:eastAsia="宋体" w:cs="Times New Roman"/>
                <w:bCs/>
                <w:iCs/>
                <w:kern w:val="0"/>
                <w:sz w:val="21"/>
                <w:szCs w:val="21"/>
                <w:lang w:val="en-US" w:eastAsia="zh-CN"/>
              </w:rPr>
              <w:br w:type="textWrapping"/>
            </w:r>
            <w:r>
              <w:rPr>
                <w:rFonts w:hint="default" w:ascii="Times New Roman" w:hAnsi="Times New Roman" w:eastAsia="宋体" w:cs="Times New Roman"/>
                <w:bCs/>
                <w:iCs/>
                <w:kern w:val="0"/>
                <w:sz w:val="21"/>
                <w:szCs w:val="21"/>
                <w:lang w:val="en-US" w:eastAsia="zh-CN"/>
              </w:rPr>
              <w:t>GB 4706.28-2008</w:t>
            </w:r>
          </w:p>
        </w:tc>
      </w:tr>
      <w:tr w14:paraId="3C35D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0B4EBA79">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15</w:t>
            </w:r>
          </w:p>
        </w:tc>
        <w:tc>
          <w:tcPr>
            <w:tcW w:w="2478" w:type="dxa"/>
            <w:vAlign w:val="center"/>
          </w:tcPr>
          <w:p w14:paraId="46BE746A">
            <w:pPr>
              <w:widowControl/>
              <w:adjustRightInd w:val="0"/>
              <w:snapToGrid w:val="0"/>
              <w:ind w:left="122" w:leftChars="58"/>
              <w:jc w:val="center"/>
              <w:rPr>
                <w:rFonts w:hint="default" w:ascii="Times New Roman" w:hAnsi="Times New Roman" w:eastAsia="宋体" w:cs="Times New Roman"/>
                <w:bCs/>
                <w:iCs/>
                <w:kern w:val="0"/>
                <w:sz w:val="21"/>
                <w:szCs w:val="21"/>
              </w:rPr>
            </w:pPr>
            <w:r>
              <w:rPr>
                <w:rFonts w:hint="default" w:ascii="Times New Roman" w:hAnsi="Times New Roman" w:eastAsia="宋体" w:cs="Times New Roman"/>
                <w:bCs/>
                <w:iCs/>
                <w:kern w:val="0"/>
                <w:sz w:val="21"/>
                <w:szCs w:val="21"/>
                <w:lang w:val="en-US" w:eastAsia="zh-CN"/>
              </w:rPr>
              <w:t>电气间隙、爬电距离和固体绝缘</w:t>
            </w:r>
          </w:p>
        </w:tc>
        <w:tc>
          <w:tcPr>
            <w:tcW w:w="2219" w:type="dxa"/>
            <w:vMerge w:val="continue"/>
            <w:vAlign w:val="center"/>
          </w:tcPr>
          <w:p w14:paraId="3C7B5224">
            <w:pPr>
              <w:widowControl/>
              <w:adjustRightInd w:val="0"/>
              <w:snapToGrid w:val="0"/>
              <w:ind w:left="122" w:leftChars="58"/>
              <w:jc w:val="center"/>
              <w:rPr>
                <w:rFonts w:hint="default" w:ascii="Times New Roman" w:hAnsi="Times New Roman" w:eastAsia="宋体" w:cs="Times New Roman"/>
                <w:bCs/>
                <w:iCs/>
                <w:kern w:val="0"/>
                <w:sz w:val="21"/>
                <w:szCs w:val="21"/>
              </w:rPr>
            </w:pPr>
          </w:p>
        </w:tc>
        <w:tc>
          <w:tcPr>
            <w:tcW w:w="2818" w:type="dxa"/>
            <w:vAlign w:val="center"/>
          </w:tcPr>
          <w:p w14:paraId="47094814">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4706.1-2005</w:t>
            </w:r>
            <w:r>
              <w:rPr>
                <w:rFonts w:hint="default" w:ascii="Times New Roman" w:hAnsi="Times New Roman" w:eastAsia="宋体" w:cs="Times New Roman"/>
                <w:bCs/>
                <w:iCs/>
                <w:kern w:val="0"/>
                <w:sz w:val="21"/>
                <w:szCs w:val="21"/>
                <w:lang w:val="en-US" w:eastAsia="zh-CN"/>
              </w:rPr>
              <w:br w:type="textWrapping"/>
            </w:r>
            <w:r>
              <w:rPr>
                <w:rFonts w:hint="default" w:ascii="Times New Roman" w:hAnsi="Times New Roman" w:eastAsia="宋体" w:cs="Times New Roman"/>
                <w:bCs/>
                <w:iCs/>
                <w:kern w:val="0"/>
                <w:sz w:val="21"/>
                <w:szCs w:val="21"/>
                <w:lang w:val="en-US" w:eastAsia="zh-CN"/>
              </w:rPr>
              <w:t>GB 4706.28-2008</w:t>
            </w:r>
          </w:p>
        </w:tc>
      </w:tr>
      <w:tr w14:paraId="5B54C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14:paraId="646DECC5">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16</w:t>
            </w:r>
          </w:p>
        </w:tc>
        <w:tc>
          <w:tcPr>
            <w:tcW w:w="2478" w:type="dxa"/>
            <w:vAlign w:val="center"/>
          </w:tcPr>
          <w:p w14:paraId="26B8F23C">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产品噪声限值要求</w:t>
            </w:r>
          </w:p>
        </w:tc>
        <w:tc>
          <w:tcPr>
            <w:tcW w:w="2219" w:type="dxa"/>
            <w:vMerge w:val="continue"/>
            <w:vAlign w:val="center"/>
          </w:tcPr>
          <w:p w14:paraId="19627026">
            <w:pPr>
              <w:widowControl/>
              <w:adjustRightInd w:val="0"/>
              <w:snapToGrid w:val="0"/>
              <w:ind w:left="122" w:leftChars="58"/>
              <w:jc w:val="center"/>
              <w:rPr>
                <w:rFonts w:hint="default" w:ascii="Times New Roman" w:hAnsi="Times New Roman" w:eastAsia="宋体" w:cs="Times New Roman"/>
                <w:bCs/>
                <w:iCs/>
                <w:kern w:val="0"/>
                <w:sz w:val="21"/>
                <w:szCs w:val="21"/>
              </w:rPr>
            </w:pPr>
          </w:p>
        </w:tc>
        <w:tc>
          <w:tcPr>
            <w:tcW w:w="2818" w:type="dxa"/>
            <w:vAlign w:val="center"/>
          </w:tcPr>
          <w:p w14:paraId="03B9EFD0">
            <w:pPr>
              <w:widowControl/>
              <w:adjustRightInd w:val="0"/>
              <w:snapToGrid w:val="0"/>
              <w:ind w:left="122" w:leftChars="58"/>
              <w:jc w:val="center"/>
              <w:rPr>
                <w:rFonts w:hint="default" w:ascii="Times New Roman" w:hAnsi="Times New Roman" w:eastAsia="宋体" w:cs="Times New Roman"/>
                <w:bCs/>
                <w:iCs/>
                <w:kern w:val="0"/>
                <w:sz w:val="21"/>
                <w:szCs w:val="21"/>
                <w:lang w:val="en-US" w:eastAsia="zh-CN"/>
              </w:rPr>
            </w:pPr>
            <w:r>
              <w:rPr>
                <w:rFonts w:hint="default" w:ascii="Times New Roman" w:hAnsi="Times New Roman" w:eastAsia="宋体" w:cs="Times New Roman"/>
                <w:bCs/>
                <w:iCs/>
                <w:kern w:val="0"/>
                <w:sz w:val="21"/>
                <w:szCs w:val="21"/>
                <w:lang w:val="en-US" w:eastAsia="zh-CN"/>
              </w:rPr>
              <w:t>GB 19606-2004</w:t>
            </w:r>
          </w:p>
        </w:tc>
      </w:tr>
    </w:tbl>
    <w:p w14:paraId="2A884E00">
      <w:pPr>
        <w:adjustRightInd w:val="0"/>
        <w:snapToGrid w:val="0"/>
        <w:spacing w:line="440" w:lineRule="exact"/>
        <w:rPr>
          <w:rFonts w:hint="eastAsia"/>
          <w:szCs w:val="21"/>
        </w:rPr>
      </w:pPr>
    </w:p>
    <w:p w14:paraId="3F2B2CCF">
      <w:pPr>
        <w:adjustRightInd w:val="0"/>
        <w:snapToGrid w:val="0"/>
        <w:spacing w:line="440" w:lineRule="exact"/>
        <w:ind w:firstLine="420" w:firstLineChars="200"/>
        <w:rPr>
          <w:rFonts w:hint="eastAsia"/>
          <w:szCs w:val="21"/>
        </w:rPr>
      </w:pPr>
      <w:r>
        <w:rPr>
          <w:rFonts w:hint="eastAsia"/>
          <w:szCs w:val="21"/>
        </w:rPr>
        <w:t>执行企业标准、团体标准、地方标准的产品，检验项目参照上述内容执行。</w:t>
      </w:r>
    </w:p>
    <w:p w14:paraId="3E0A9CCF">
      <w:pPr>
        <w:snapToGrid w:val="0"/>
        <w:spacing w:line="440" w:lineRule="exact"/>
        <w:ind w:firstLine="420" w:firstLineChars="200"/>
        <w:rPr>
          <w:szCs w:val="21"/>
        </w:rPr>
      </w:pPr>
      <w:r>
        <w:rPr>
          <w:szCs w:val="21"/>
        </w:rPr>
        <w:t>凡是注日期的文件，其随后所有的修改单（不包括勘误的内容）或修订版不适用于本细则。凡是不注日期的文件，其最新版本适用于本细则。</w:t>
      </w:r>
    </w:p>
    <w:p w14:paraId="42176C42">
      <w:pPr>
        <w:snapToGrid w:val="0"/>
        <w:spacing w:line="440" w:lineRule="exact"/>
        <w:ind w:firstLine="359" w:firstLineChars="171"/>
        <w:rPr>
          <w:szCs w:val="21"/>
        </w:rPr>
      </w:pPr>
    </w:p>
    <w:p w14:paraId="115F992E">
      <w:pPr>
        <w:spacing w:line="360" w:lineRule="auto"/>
        <w:rPr>
          <w:rFonts w:eastAsia="黑体"/>
          <w:szCs w:val="21"/>
        </w:rPr>
      </w:pPr>
      <w:r>
        <w:rPr>
          <w:rFonts w:eastAsia="黑体"/>
          <w:szCs w:val="21"/>
        </w:rPr>
        <w:t>3 判定规则</w:t>
      </w:r>
    </w:p>
    <w:p w14:paraId="2508AB1A">
      <w:pPr>
        <w:snapToGrid w:val="0"/>
        <w:spacing w:line="440" w:lineRule="exact"/>
        <w:rPr>
          <w:szCs w:val="21"/>
        </w:rPr>
      </w:pPr>
      <w:r>
        <w:rPr>
          <w:szCs w:val="21"/>
        </w:rPr>
        <w:t>3.1依据标准</w:t>
      </w:r>
    </w:p>
    <w:p w14:paraId="2162E093">
      <w:pPr>
        <w:adjustRightInd w:val="0"/>
        <w:snapToGrid w:val="0"/>
        <w:spacing w:line="594" w:lineRule="exact"/>
        <w:ind w:firstLine="420" w:firstLineChars="200"/>
        <w:rPr>
          <w:rFonts w:hint="default" w:ascii="Times New Roman" w:hAnsi="Times New Roman" w:eastAsia="宋体" w:cs="Times New Roman"/>
          <w:sz w:val="21"/>
          <w:szCs w:val="21"/>
          <w:highlight w:val="none"/>
          <w:lang w:eastAsia="zh-CN"/>
        </w:rPr>
      </w:pPr>
      <w:r>
        <w:rPr>
          <w:rFonts w:hint="default" w:ascii="Times New Roman" w:hAnsi="Times New Roman" w:eastAsia="宋体" w:cs="Times New Roman"/>
          <w:sz w:val="21"/>
          <w:szCs w:val="21"/>
          <w:highlight w:val="none"/>
        </w:rPr>
        <w:t xml:space="preserve">GB 4706.1-2005 </w:t>
      </w:r>
      <w:r>
        <w:rPr>
          <w:rFonts w:hint="default" w:ascii="Times New Roman" w:hAnsi="Times New Roman" w:eastAsia="宋体" w:cs="Times New Roman"/>
          <w:sz w:val="21"/>
          <w:szCs w:val="21"/>
          <w:highlight w:val="none"/>
          <w:lang w:eastAsia="zh-CN"/>
        </w:rPr>
        <w:t>家用和类似用途电器的安全 第1部分：通用要求</w:t>
      </w:r>
    </w:p>
    <w:p w14:paraId="12034BE9">
      <w:pPr>
        <w:adjustRightInd w:val="0"/>
        <w:snapToGrid w:val="0"/>
        <w:spacing w:line="594" w:lineRule="exac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GB 4706.28-2008</w:t>
      </w:r>
      <w:r>
        <w:rPr>
          <w:rFonts w:hint="default" w:ascii="Times New Roman" w:hAnsi="Times New Roman" w:eastAsia="宋体" w:cs="Times New Roman"/>
          <w:sz w:val="21"/>
          <w:szCs w:val="21"/>
          <w:highlight w:val="none"/>
          <w:lang w:val="en-US" w:eastAsia="zh-CN"/>
        </w:rPr>
        <w:t xml:space="preserve"> </w:t>
      </w:r>
      <w:r>
        <w:rPr>
          <w:rFonts w:hint="default" w:ascii="Times New Roman" w:hAnsi="Times New Roman" w:eastAsia="宋体" w:cs="Times New Roman"/>
          <w:sz w:val="21"/>
          <w:szCs w:val="21"/>
          <w:highlight w:val="none"/>
        </w:rPr>
        <w:t>家用和类似用途电器的安全 吸油烟机的特殊要求</w:t>
      </w:r>
    </w:p>
    <w:p w14:paraId="2D730384">
      <w:pPr>
        <w:adjustRightInd w:val="0"/>
        <w:snapToGrid w:val="0"/>
        <w:spacing w:line="594" w:lineRule="exact"/>
        <w:ind w:firstLine="420" w:firstLineChars="200"/>
        <w:rPr>
          <w:rFonts w:hint="default" w:ascii="Times New Roman" w:hAnsi="Times New Roman" w:eastAsia="宋体" w:cs="Times New Roman"/>
          <w:sz w:val="21"/>
          <w:szCs w:val="21"/>
          <w:highlight w:val="none"/>
          <w:lang w:eastAsia="zh-CN"/>
        </w:rPr>
      </w:pPr>
      <w:r>
        <w:rPr>
          <w:rFonts w:hint="default" w:ascii="Times New Roman" w:hAnsi="Times New Roman" w:eastAsia="宋体" w:cs="Times New Roman"/>
          <w:sz w:val="21"/>
          <w:szCs w:val="21"/>
          <w:highlight w:val="none"/>
        </w:rPr>
        <w:t>GB 19606-2004 家用和类似用途电器噪声限值</w:t>
      </w:r>
    </w:p>
    <w:p w14:paraId="42630161">
      <w:pPr>
        <w:snapToGrid w:val="0"/>
        <w:spacing w:line="440" w:lineRule="exact"/>
        <w:ind w:firstLine="420" w:firstLineChars="200"/>
        <w:rPr>
          <w:szCs w:val="21"/>
        </w:rPr>
      </w:pPr>
      <w:r>
        <w:rPr>
          <w:szCs w:val="21"/>
        </w:rPr>
        <w:t>现行有效的企业标准、团体标准、地方标准及产品明示质量要求</w:t>
      </w:r>
    </w:p>
    <w:p w14:paraId="3208A9CE">
      <w:pPr>
        <w:snapToGrid w:val="0"/>
        <w:spacing w:line="440" w:lineRule="exact"/>
        <w:rPr>
          <w:szCs w:val="21"/>
        </w:rPr>
      </w:pPr>
      <w:r>
        <w:rPr>
          <w:szCs w:val="21"/>
        </w:rPr>
        <w:t>3.2判定原则</w:t>
      </w:r>
    </w:p>
    <w:p w14:paraId="4B909926">
      <w:pPr>
        <w:snapToGrid w:val="0"/>
        <w:spacing w:line="440" w:lineRule="exact"/>
        <w:ind w:firstLine="420" w:firstLineChars="200"/>
        <w:rPr>
          <w:szCs w:val="21"/>
        </w:rPr>
      </w:pPr>
      <w:r>
        <w:rPr>
          <w:szCs w:val="21"/>
        </w:rPr>
        <w:t>经检验，检验项目全部合格，判定为被抽查产品</w:t>
      </w:r>
      <w:r>
        <w:rPr>
          <w:rFonts w:hint="eastAsia"/>
          <w:szCs w:val="21"/>
        </w:rPr>
        <w:t>所检项目未发现不</w:t>
      </w:r>
      <w:r>
        <w:rPr>
          <w:szCs w:val="21"/>
        </w:rPr>
        <w:t>合格；检验项目中任一项或一项以上不合格，判定为被抽查产品不合格。</w:t>
      </w:r>
    </w:p>
    <w:p w14:paraId="23F62E92">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14:paraId="32C90BED">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14:paraId="50257730">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14:paraId="5166D43D">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14:paraId="2CE85A4E">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14:paraId="3BB14A3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script"/>
    <w:pitch w:val="default"/>
    <w:sig w:usb0="00000000" w:usb1="0000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65628C"/>
    <w:rsid w:val="2F305F78"/>
    <w:rsid w:val="316562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style>
  <w:style w:type="table" w:styleId="4">
    <w:name w:val="Table Grid"/>
    <w:basedOn w:val="3"/>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8</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2025-02-19T01:35:00Z</dcterms:created>
  <dc:creator>WPS_1677761538</dc:creator>
  <cp:lastModifiedBy>WPS_1677761538</cp:lastModifiedBy>
  <dcterms:modified xsi:type="dcterms:W3CDTF">2025-02-19T02:00:50Z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B21EA1C67B2C47D8935E77F2707838A1_11</vt:lpwstr>
  </property>
  <property fmtid="{D5CDD505-2E9C-101B-9397-08002B2CF9AE}" pid="4" name="KSOTemplateDocerSaveRecord">
    <vt:lpwstr>eyJoZGlkIjoiZTQ3OGNlZjI3YzlkZDI5NmY0MDVkNGEzYmRlZDY2M2YiLCJ1c2VySWQiOiIxNDc3ODg5MzQ4In0=</vt:lpwstr>
  </property>
</Properties>
</file>