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AA437D">
      <w:pPr>
        <w:snapToGrid w:val="0"/>
        <w:spacing w:line="440" w:lineRule="exact"/>
        <w:jc w:val="center"/>
        <w:rPr>
          <w:rFonts w:eastAsia="方正小标宋简体"/>
          <w:color w:val="000000"/>
          <w:sz w:val="32"/>
          <w:szCs w:val="32"/>
        </w:rPr>
      </w:pPr>
      <w:r>
        <w:rPr>
          <w:rFonts w:hint="eastAsia" w:eastAsia="方正小标宋简体"/>
          <w:sz w:val="32"/>
          <w:szCs w:val="32"/>
          <w:lang w:val="en-US" w:eastAsia="zh-CN"/>
        </w:rPr>
        <w:t>盘锦市兴隆台区</w:t>
      </w:r>
      <w:r>
        <w:rPr>
          <w:rFonts w:eastAsia="方正小标宋简体"/>
          <w:color w:val="000000"/>
          <w:sz w:val="32"/>
          <w:szCs w:val="32"/>
        </w:rPr>
        <w:t>电热毯产品质量监督抽查实施细则</w:t>
      </w:r>
    </w:p>
    <w:p w14:paraId="1895A4C6">
      <w:pPr>
        <w:spacing w:line="440" w:lineRule="exact"/>
        <w:jc w:val="center"/>
        <w:rPr>
          <w:rFonts w:eastAsia="方正小标宋简体"/>
          <w:color w:val="000000"/>
          <w:sz w:val="32"/>
          <w:szCs w:val="32"/>
        </w:rPr>
      </w:pPr>
      <w:r>
        <w:rPr>
          <w:rFonts w:eastAsia="方正小标宋简体"/>
          <w:color w:val="000000"/>
          <w:sz w:val="32"/>
          <w:szCs w:val="32"/>
        </w:rPr>
        <w:t>（202</w:t>
      </w:r>
      <w:r>
        <w:rPr>
          <w:rFonts w:hint="eastAsia" w:eastAsia="方正小标宋简体"/>
          <w:color w:val="000000"/>
          <w:sz w:val="32"/>
          <w:szCs w:val="32"/>
          <w:lang w:val="en-US" w:eastAsia="zh-CN"/>
        </w:rPr>
        <w:t>5</w:t>
      </w:r>
      <w:r>
        <w:rPr>
          <w:rFonts w:eastAsia="方正小标宋简体"/>
          <w:color w:val="000000"/>
          <w:sz w:val="32"/>
          <w:szCs w:val="32"/>
        </w:rPr>
        <w:t>年版）</w:t>
      </w:r>
    </w:p>
    <w:p w14:paraId="3F83ED54">
      <w:pPr>
        <w:snapToGrid w:val="0"/>
        <w:spacing w:line="440" w:lineRule="exact"/>
        <w:ind w:firstLine="359" w:firstLineChars="171"/>
        <w:rPr>
          <w:color w:val="000000"/>
          <w:szCs w:val="21"/>
        </w:rPr>
      </w:pPr>
    </w:p>
    <w:p w14:paraId="14BFDD6A">
      <w:pPr>
        <w:snapToGrid w:val="0"/>
        <w:spacing w:line="440" w:lineRule="exact"/>
        <w:rPr>
          <w:rFonts w:eastAsia="黑体"/>
          <w:color w:val="000000"/>
          <w:szCs w:val="21"/>
        </w:rPr>
      </w:pPr>
      <w:r>
        <w:rPr>
          <w:rFonts w:eastAsia="黑体"/>
          <w:color w:val="000000"/>
          <w:szCs w:val="21"/>
        </w:rPr>
        <w:t>1 抽样方法</w:t>
      </w:r>
    </w:p>
    <w:p w14:paraId="1F1584C4">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469A89A0">
      <w:pPr>
        <w:snapToGrid w:val="0"/>
        <w:spacing w:line="440" w:lineRule="exact"/>
        <w:ind w:firstLine="420" w:firstLineChars="200"/>
        <w:rPr>
          <w:color w:val="000000"/>
          <w:szCs w:val="21"/>
        </w:rPr>
      </w:pPr>
      <w:r>
        <w:rPr>
          <w:color w:val="000000"/>
          <w:szCs w:val="21"/>
        </w:rPr>
        <w:t>随机数一般可使用随机数表等方法产生。</w:t>
      </w:r>
    </w:p>
    <w:p w14:paraId="15831E5D">
      <w:pPr>
        <w:snapToGrid w:val="0"/>
        <w:spacing w:line="440" w:lineRule="exact"/>
        <w:ind w:firstLine="420" w:firstLineChars="200"/>
        <w:rPr>
          <w:color w:val="000000"/>
          <w:szCs w:val="21"/>
        </w:rPr>
      </w:pPr>
      <w:r>
        <w:rPr>
          <w:color w:val="000000"/>
          <w:szCs w:val="21"/>
        </w:rPr>
        <w:t>每批次产品抽取样品5床（条），其中3床（条）作为检验样品，2床（条）作为备用样品。</w:t>
      </w:r>
    </w:p>
    <w:p w14:paraId="4E4D4025">
      <w:pPr>
        <w:snapToGrid w:val="0"/>
        <w:spacing w:line="440" w:lineRule="exact"/>
        <w:rPr>
          <w:color w:val="000000"/>
          <w:szCs w:val="21"/>
        </w:rPr>
      </w:pPr>
      <w:bookmarkStart w:id="0" w:name="_GoBack"/>
      <w:bookmarkEnd w:id="0"/>
    </w:p>
    <w:p w14:paraId="753BA252">
      <w:pPr>
        <w:snapToGrid w:val="0"/>
        <w:spacing w:line="440" w:lineRule="exact"/>
        <w:rPr>
          <w:rFonts w:eastAsia="黑体"/>
          <w:color w:val="000000"/>
          <w:szCs w:val="21"/>
        </w:rPr>
      </w:pPr>
      <w:r>
        <w:rPr>
          <w:rFonts w:eastAsia="黑体"/>
          <w:color w:val="000000"/>
          <w:szCs w:val="21"/>
        </w:rPr>
        <w:t>2 检验依据</w:t>
      </w:r>
    </w:p>
    <w:p w14:paraId="138A2E37">
      <w:pPr>
        <w:snapToGrid w:val="0"/>
        <w:spacing w:line="440" w:lineRule="exact"/>
        <w:jc w:val="center"/>
        <w:rPr>
          <w:color w:val="000000"/>
          <w:szCs w:val="21"/>
        </w:rPr>
      </w:pPr>
    </w:p>
    <w:tbl>
      <w:tblPr>
        <w:tblStyle w:val="2"/>
        <w:tblW w:w="4864" w:type="pct"/>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8"/>
        <w:gridCol w:w="5160"/>
        <w:gridCol w:w="2172"/>
      </w:tblGrid>
      <w:tr w14:paraId="485A2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pct"/>
            <w:noWrap w:val="0"/>
            <w:vAlign w:val="top"/>
          </w:tcPr>
          <w:p w14:paraId="1DEB8A09">
            <w:pPr>
              <w:snapToGrid w:val="0"/>
              <w:spacing w:line="300" w:lineRule="exact"/>
              <w:jc w:val="center"/>
              <w:rPr>
                <w:color w:val="000000"/>
                <w:szCs w:val="21"/>
              </w:rPr>
            </w:pPr>
            <w:r>
              <w:rPr>
                <w:color w:val="000000"/>
                <w:szCs w:val="21"/>
              </w:rPr>
              <w:t>序号</w:t>
            </w:r>
          </w:p>
        </w:tc>
        <w:tc>
          <w:tcPr>
            <w:tcW w:w="3112" w:type="pct"/>
            <w:noWrap w:val="0"/>
            <w:vAlign w:val="top"/>
          </w:tcPr>
          <w:p w14:paraId="7828D6C5">
            <w:pPr>
              <w:snapToGrid w:val="0"/>
              <w:spacing w:line="300" w:lineRule="exact"/>
              <w:jc w:val="center"/>
              <w:rPr>
                <w:color w:val="000000"/>
                <w:szCs w:val="21"/>
              </w:rPr>
            </w:pPr>
            <w:r>
              <w:rPr>
                <w:color w:val="000000"/>
                <w:szCs w:val="21"/>
              </w:rPr>
              <w:t>检验项目</w:t>
            </w:r>
          </w:p>
        </w:tc>
        <w:tc>
          <w:tcPr>
            <w:tcW w:w="1311" w:type="pct"/>
            <w:noWrap w:val="0"/>
            <w:vAlign w:val="top"/>
          </w:tcPr>
          <w:p w14:paraId="413FE284">
            <w:pPr>
              <w:snapToGrid w:val="0"/>
              <w:spacing w:line="300" w:lineRule="exact"/>
              <w:jc w:val="center"/>
              <w:rPr>
                <w:color w:val="000000"/>
                <w:szCs w:val="21"/>
              </w:rPr>
            </w:pPr>
            <w:r>
              <w:rPr>
                <w:color w:val="000000"/>
                <w:szCs w:val="21"/>
              </w:rPr>
              <w:t>检验方法</w:t>
            </w:r>
          </w:p>
        </w:tc>
      </w:tr>
      <w:tr w14:paraId="26EF9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pct"/>
            <w:noWrap w:val="0"/>
            <w:vAlign w:val="center"/>
          </w:tcPr>
          <w:p w14:paraId="3A8C5997">
            <w:pPr>
              <w:spacing w:line="300" w:lineRule="exact"/>
              <w:jc w:val="center"/>
              <w:textAlignment w:val="center"/>
              <w:rPr>
                <w:color w:val="000000"/>
                <w:szCs w:val="21"/>
              </w:rPr>
            </w:pPr>
            <w:r>
              <w:rPr>
                <w:kern w:val="0"/>
                <w:szCs w:val="21"/>
              </w:rPr>
              <w:t>1</w:t>
            </w:r>
          </w:p>
        </w:tc>
        <w:tc>
          <w:tcPr>
            <w:tcW w:w="3112" w:type="pct"/>
            <w:noWrap w:val="0"/>
            <w:vAlign w:val="center"/>
          </w:tcPr>
          <w:p w14:paraId="284B4255">
            <w:pPr>
              <w:snapToGrid w:val="0"/>
              <w:spacing w:line="300" w:lineRule="exact"/>
              <w:jc w:val="center"/>
              <w:rPr>
                <w:color w:val="000000"/>
                <w:szCs w:val="21"/>
              </w:rPr>
            </w:pPr>
            <w:r>
              <w:rPr>
                <w:color w:val="000000"/>
                <w:szCs w:val="21"/>
              </w:rPr>
              <w:t>标志和说明</w:t>
            </w:r>
          </w:p>
        </w:tc>
        <w:tc>
          <w:tcPr>
            <w:tcW w:w="1311" w:type="pct"/>
            <w:noWrap w:val="0"/>
            <w:vAlign w:val="center"/>
          </w:tcPr>
          <w:p w14:paraId="7973DAD0">
            <w:pPr>
              <w:spacing w:line="300" w:lineRule="exact"/>
              <w:jc w:val="center"/>
              <w:rPr>
                <w:color w:val="000000"/>
                <w:szCs w:val="21"/>
              </w:rPr>
            </w:pPr>
            <w:r>
              <w:rPr>
                <w:color w:val="000000"/>
                <w:szCs w:val="21"/>
              </w:rPr>
              <w:t xml:space="preserve">GB 4706.1—2005 </w:t>
            </w:r>
          </w:p>
          <w:p w14:paraId="14BB2650">
            <w:pPr>
              <w:spacing w:line="300" w:lineRule="exact"/>
              <w:jc w:val="center"/>
              <w:rPr>
                <w:color w:val="000000"/>
                <w:szCs w:val="21"/>
              </w:rPr>
            </w:pPr>
            <w:r>
              <w:rPr>
                <w:color w:val="000000"/>
                <w:szCs w:val="21"/>
              </w:rPr>
              <w:t>GB 4706.8—2008</w:t>
            </w:r>
          </w:p>
        </w:tc>
      </w:tr>
      <w:tr w14:paraId="5AD0A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pct"/>
            <w:noWrap w:val="0"/>
            <w:vAlign w:val="center"/>
          </w:tcPr>
          <w:p w14:paraId="3F0112F4">
            <w:pPr>
              <w:spacing w:line="300" w:lineRule="exact"/>
              <w:jc w:val="center"/>
              <w:textAlignment w:val="center"/>
              <w:rPr>
                <w:color w:val="000000"/>
                <w:szCs w:val="21"/>
              </w:rPr>
            </w:pPr>
            <w:r>
              <w:rPr>
                <w:kern w:val="0"/>
                <w:szCs w:val="21"/>
              </w:rPr>
              <w:t>2</w:t>
            </w:r>
          </w:p>
        </w:tc>
        <w:tc>
          <w:tcPr>
            <w:tcW w:w="3112" w:type="pct"/>
            <w:noWrap w:val="0"/>
            <w:vAlign w:val="center"/>
          </w:tcPr>
          <w:p w14:paraId="1D3599E6">
            <w:pPr>
              <w:snapToGrid w:val="0"/>
              <w:spacing w:line="300" w:lineRule="exact"/>
              <w:jc w:val="center"/>
              <w:rPr>
                <w:color w:val="000000"/>
                <w:szCs w:val="21"/>
              </w:rPr>
            </w:pPr>
            <w:r>
              <w:rPr>
                <w:color w:val="000000"/>
                <w:szCs w:val="21"/>
              </w:rPr>
              <w:t>对触及带电部件的防护</w:t>
            </w:r>
          </w:p>
        </w:tc>
        <w:tc>
          <w:tcPr>
            <w:tcW w:w="1311" w:type="pct"/>
            <w:noWrap w:val="0"/>
            <w:vAlign w:val="center"/>
          </w:tcPr>
          <w:p w14:paraId="79AAB52C">
            <w:pPr>
              <w:spacing w:line="300" w:lineRule="exact"/>
              <w:jc w:val="center"/>
              <w:rPr>
                <w:color w:val="000000"/>
                <w:szCs w:val="21"/>
              </w:rPr>
            </w:pPr>
            <w:r>
              <w:rPr>
                <w:color w:val="000000"/>
                <w:szCs w:val="21"/>
              </w:rPr>
              <w:t xml:space="preserve">GB 4706.1—2005 </w:t>
            </w:r>
          </w:p>
          <w:p w14:paraId="2A77A9BE">
            <w:pPr>
              <w:spacing w:line="300" w:lineRule="exact"/>
              <w:jc w:val="center"/>
              <w:rPr>
                <w:color w:val="000000"/>
                <w:szCs w:val="21"/>
              </w:rPr>
            </w:pPr>
            <w:r>
              <w:rPr>
                <w:color w:val="000000"/>
                <w:szCs w:val="21"/>
              </w:rPr>
              <w:t>GB 4706.8—2008</w:t>
            </w:r>
          </w:p>
        </w:tc>
      </w:tr>
      <w:tr w14:paraId="14420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pct"/>
            <w:noWrap w:val="0"/>
            <w:vAlign w:val="center"/>
          </w:tcPr>
          <w:p w14:paraId="4BF180D4">
            <w:pPr>
              <w:spacing w:line="300" w:lineRule="exact"/>
              <w:jc w:val="center"/>
              <w:textAlignment w:val="center"/>
              <w:rPr>
                <w:color w:val="000000"/>
                <w:szCs w:val="21"/>
              </w:rPr>
            </w:pPr>
            <w:r>
              <w:rPr>
                <w:kern w:val="0"/>
                <w:szCs w:val="21"/>
              </w:rPr>
              <w:t>3</w:t>
            </w:r>
          </w:p>
        </w:tc>
        <w:tc>
          <w:tcPr>
            <w:tcW w:w="3112" w:type="pct"/>
            <w:noWrap w:val="0"/>
            <w:vAlign w:val="center"/>
          </w:tcPr>
          <w:p w14:paraId="73355472">
            <w:pPr>
              <w:snapToGrid w:val="0"/>
              <w:spacing w:line="300" w:lineRule="exact"/>
              <w:jc w:val="center"/>
              <w:rPr>
                <w:color w:val="000000"/>
                <w:szCs w:val="21"/>
              </w:rPr>
            </w:pPr>
            <w:r>
              <w:rPr>
                <w:color w:val="000000"/>
                <w:szCs w:val="21"/>
              </w:rPr>
              <w:t>输入功率和电流</w:t>
            </w:r>
          </w:p>
        </w:tc>
        <w:tc>
          <w:tcPr>
            <w:tcW w:w="1311" w:type="pct"/>
            <w:noWrap w:val="0"/>
            <w:vAlign w:val="center"/>
          </w:tcPr>
          <w:p w14:paraId="1FA50BC1">
            <w:pPr>
              <w:spacing w:line="300" w:lineRule="exact"/>
              <w:jc w:val="center"/>
              <w:rPr>
                <w:color w:val="000000"/>
                <w:szCs w:val="21"/>
              </w:rPr>
            </w:pPr>
            <w:r>
              <w:rPr>
                <w:color w:val="000000"/>
                <w:szCs w:val="21"/>
              </w:rPr>
              <w:t xml:space="preserve">GB 4706.1—2005 </w:t>
            </w:r>
          </w:p>
          <w:p w14:paraId="542FC3DF">
            <w:pPr>
              <w:spacing w:line="300" w:lineRule="exact"/>
              <w:jc w:val="center"/>
              <w:rPr>
                <w:color w:val="000000"/>
                <w:szCs w:val="21"/>
              </w:rPr>
            </w:pPr>
            <w:r>
              <w:rPr>
                <w:color w:val="000000"/>
                <w:szCs w:val="21"/>
              </w:rPr>
              <w:t>GB 4706.8—2008</w:t>
            </w:r>
          </w:p>
        </w:tc>
      </w:tr>
      <w:tr w14:paraId="35032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pct"/>
            <w:noWrap w:val="0"/>
            <w:vAlign w:val="center"/>
          </w:tcPr>
          <w:p w14:paraId="56BDAE40">
            <w:pPr>
              <w:spacing w:line="300" w:lineRule="exact"/>
              <w:jc w:val="center"/>
              <w:textAlignment w:val="center"/>
              <w:rPr>
                <w:color w:val="000000"/>
                <w:szCs w:val="21"/>
              </w:rPr>
            </w:pPr>
            <w:r>
              <w:rPr>
                <w:kern w:val="0"/>
                <w:szCs w:val="21"/>
              </w:rPr>
              <w:t>4</w:t>
            </w:r>
          </w:p>
        </w:tc>
        <w:tc>
          <w:tcPr>
            <w:tcW w:w="3112" w:type="pct"/>
            <w:noWrap w:val="0"/>
            <w:vAlign w:val="center"/>
          </w:tcPr>
          <w:p w14:paraId="478DB705">
            <w:pPr>
              <w:snapToGrid w:val="0"/>
              <w:spacing w:line="300" w:lineRule="exact"/>
              <w:jc w:val="center"/>
              <w:rPr>
                <w:color w:val="000000"/>
                <w:szCs w:val="21"/>
              </w:rPr>
            </w:pPr>
            <w:r>
              <w:rPr>
                <w:color w:val="000000"/>
                <w:szCs w:val="21"/>
              </w:rPr>
              <w:t>耐潮湿</w:t>
            </w:r>
          </w:p>
        </w:tc>
        <w:tc>
          <w:tcPr>
            <w:tcW w:w="1311" w:type="pct"/>
            <w:noWrap w:val="0"/>
            <w:vAlign w:val="center"/>
          </w:tcPr>
          <w:p w14:paraId="4B7EE3CE">
            <w:pPr>
              <w:spacing w:line="300" w:lineRule="exact"/>
              <w:jc w:val="center"/>
              <w:rPr>
                <w:color w:val="000000"/>
                <w:szCs w:val="21"/>
              </w:rPr>
            </w:pPr>
            <w:r>
              <w:rPr>
                <w:color w:val="000000"/>
                <w:szCs w:val="21"/>
              </w:rPr>
              <w:t xml:space="preserve">GB 4706.1—2005 </w:t>
            </w:r>
          </w:p>
          <w:p w14:paraId="3C67AF9B">
            <w:pPr>
              <w:spacing w:line="300" w:lineRule="exact"/>
              <w:jc w:val="center"/>
              <w:rPr>
                <w:color w:val="000000"/>
                <w:szCs w:val="21"/>
              </w:rPr>
            </w:pPr>
            <w:r>
              <w:rPr>
                <w:color w:val="000000"/>
                <w:szCs w:val="21"/>
              </w:rPr>
              <w:t>GB 4706.8—2008</w:t>
            </w:r>
          </w:p>
        </w:tc>
      </w:tr>
      <w:tr w14:paraId="679AF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pct"/>
            <w:noWrap w:val="0"/>
            <w:vAlign w:val="center"/>
          </w:tcPr>
          <w:p w14:paraId="4D5D3753">
            <w:pPr>
              <w:spacing w:line="300" w:lineRule="exact"/>
              <w:jc w:val="center"/>
              <w:textAlignment w:val="center"/>
              <w:rPr>
                <w:color w:val="000000"/>
                <w:szCs w:val="21"/>
              </w:rPr>
            </w:pPr>
            <w:r>
              <w:rPr>
                <w:kern w:val="0"/>
                <w:szCs w:val="21"/>
              </w:rPr>
              <w:t>5</w:t>
            </w:r>
          </w:p>
        </w:tc>
        <w:tc>
          <w:tcPr>
            <w:tcW w:w="3112" w:type="pct"/>
            <w:noWrap w:val="0"/>
            <w:vAlign w:val="center"/>
          </w:tcPr>
          <w:p w14:paraId="7E79D1AE">
            <w:pPr>
              <w:snapToGrid w:val="0"/>
              <w:spacing w:line="300" w:lineRule="exact"/>
              <w:jc w:val="center"/>
              <w:rPr>
                <w:color w:val="000000"/>
                <w:szCs w:val="21"/>
              </w:rPr>
            </w:pPr>
            <w:r>
              <w:rPr>
                <w:color w:val="000000"/>
                <w:szCs w:val="21"/>
              </w:rPr>
              <w:t>泄漏电流和电气强度</w:t>
            </w:r>
          </w:p>
        </w:tc>
        <w:tc>
          <w:tcPr>
            <w:tcW w:w="1311" w:type="pct"/>
            <w:noWrap w:val="0"/>
            <w:vAlign w:val="center"/>
          </w:tcPr>
          <w:p w14:paraId="08C34159">
            <w:pPr>
              <w:spacing w:line="300" w:lineRule="exact"/>
              <w:jc w:val="center"/>
              <w:rPr>
                <w:color w:val="000000"/>
                <w:szCs w:val="21"/>
              </w:rPr>
            </w:pPr>
            <w:r>
              <w:rPr>
                <w:color w:val="000000"/>
                <w:szCs w:val="21"/>
              </w:rPr>
              <w:t xml:space="preserve">GB 4706.1—2005 </w:t>
            </w:r>
          </w:p>
          <w:p w14:paraId="39632889">
            <w:pPr>
              <w:spacing w:line="300" w:lineRule="exact"/>
              <w:jc w:val="center"/>
              <w:rPr>
                <w:color w:val="000000"/>
                <w:szCs w:val="21"/>
              </w:rPr>
            </w:pPr>
            <w:r>
              <w:rPr>
                <w:color w:val="000000"/>
                <w:szCs w:val="21"/>
              </w:rPr>
              <w:t>GB 4706.8—2008</w:t>
            </w:r>
          </w:p>
        </w:tc>
      </w:tr>
      <w:tr w14:paraId="64810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pct"/>
            <w:noWrap w:val="0"/>
            <w:vAlign w:val="center"/>
          </w:tcPr>
          <w:p w14:paraId="0E1191C5">
            <w:pPr>
              <w:spacing w:line="300" w:lineRule="exact"/>
              <w:jc w:val="center"/>
              <w:textAlignment w:val="center"/>
              <w:rPr>
                <w:color w:val="000000"/>
                <w:szCs w:val="21"/>
              </w:rPr>
            </w:pPr>
            <w:r>
              <w:rPr>
                <w:kern w:val="0"/>
                <w:szCs w:val="21"/>
              </w:rPr>
              <w:t>6</w:t>
            </w:r>
          </w:p>
        </w:tc>
        <w:tc>
          <w:tcPr>
            <w:tcW w:w="3112" w:type="pct"/>
            <w:noWrap w:val="0"/>
            <w:vAlign w:val="center"/>
          </w:tcPr>
          <w:p w14:paraId="11ED7102">
            <w:pPr>
              <w:snapToGrid w:val="0"/>
              <w:spacing w:line="300" w:lineRule="exact"/>
              <w:jc w:val="center"/>
              <w:rPr>
                <w:color w:val="000000"/>
                <w:szCs w:val="21"/>
              </w:rPr>
            </w:pPr>
            <w:r>
              <w:rPr>
                <w:color w:val="000000"/>
                <w:szCs w:val="21"/>
              </w:rPr>
              <w:t>非正常工作（只进行19.102或19.103或19.110条的试验）</w:t>
            </w:r>
          </w:p>
        </w:tc>
        <w:tc>
          <w:tcPr>
            <w:tcW w:w="1311" w:type="pct"/>
            <w:noWrap w:val="0"/>
            <w:vAlign w:val="center"/>
          </w:tcPr>
          <w:p w14:paraId="474BA931">
            <w:pPr>
              <w:spacing w:line="300" w:lineRule="exact"/>
              <w:jc w:val="center"/>
              <w:rPr>
                <w:color w:val="000000"/>
                <w:szCs w:val="21"/>
              </w:rPr>
            </w:pPr>
            <w:r>
              <w:rPr>
                <w:color w:val="000000"/>
                <w:szCs w:val="21"/>
              </w:rPr>
              <w:t xml:space="preserve">GB 4706.1—2005 </w:t>
            </w:r>
          </w:p>
          <w:p w14:paraId="217F350A">
            <w:pPr>
              <w:spacing w:line="300" w:lineRule="exact"/>
              <w:jc w:val="center"/>
              <w:rPr>
                <w:color w:val="000000"/>
                <w:szCs w:val="21"/>
              </w:rPr>
            </w:pPr>
            <w:r>
              <w:rPr>
                <w:color w:val="000000"/>
                <w:szCs w:val="21"/>
              </w:rPr>
              <w:t>GB 4706.8—2008</w:t>
            </w:r>
          </w:p>
        </w:tc>
      </w:tr>
      <w:tr w14:paraId="33E83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pct"/>
            <w:noWrap w:val="0"/>
            <w:vAlign w:val="center"/>
          </w:tcPr>
          <w:p w14:paraId="01A739EE">
            <w:pPr>
              <w:spacing w:line="300" w:lineRule="exact"/>
              <w:jc w:val="center"/>
              <w:textAlignment w:val="center"/>
              <w:rPr>
                <w:color w:val="000000"/>
                <w:szCs w:val="21"/>
              </w:rPr>
            </w:pPr>
            <w:r>
              <w:rPr>
                <w:kern w:val="0"/>
                <w:szCs w:val="21"/>
              </w:rPr>
              <w:t>7</w:t>
            </w:r>
          </w:p>
        </w:tc>
        <w:tc>
          <w:tcPr>
            <w:tcW w:w="3112" w:type="pct"/>
            <w:noWrap w:val="0"/>
            <w:vAlign w:val="center"/>
          </w:tcPr>
          <w:p w14:paraId="3C0BC31E">
            <w:pPr>
              <w:snapToGrid w:val="0"/>
              <w:spacing w:line="300" w:lineRule="exact"/>
              <w:jc w:val="center"/>
              <w:rPr>
                <w:color w:val="000000"/>
                <w:szCs w:val="21"/>
              </w:rPr>
            </w:pPr>
            <w:r>
              <w:rPr>
                <w:color w:val="000000"/>
                <w:szCs w:val="21"/>
              </w:rPr>
              <w:t>机械强度（只进行21.111.1条的试验）</w:t>
            </w:r>
          </w:p>
        </w:tc>
        <w:tc>
          <w:tcPr>
            <w:tcW w:w="1311" w:type="pct"/>
            <w:noWrap w:val="0"/>
            <w:vAlign w:val="center"/>
          </w:tcPr>
          <w:p w14:paraId="775F3BD6">
            <w:pPr>
              <w:spacing w:line="300" w:lineRule="exact"/>
              <w:jc w:val="center"/>
              <w:rPr>
                <w:color w:val="000000"/>
                <w:szCs w:val="21"/>
              </w:rPr>
            </w:pPr>
            <w:r>
              <w:rPr>
                <w:color w:val="000000"/>
                <w:szCs w:val="21"/>
              </w:rPr>
              <w:t xml:space="preserve">GB 4706.1—2005 </w:t>
            </w:r>
          </w:p>
          <w:p w14:paraId="7EB44A0D">
            <w:pPr>
              <w:spacing w:line="300" w:lineRule="exact"/>
              <w:jc w:val="center"/>
              <w:rPr>
                <w:color w:val="000000"/>
                <w:szCs w:val="21"/>
              </w:rPr>
            </w:pPr>
            <w:r>
              <w:rPr>
                <w:color w:val="000000"/>
                <w:szCs w:val="21"/>
              </w:rPr>
              <w:t>GB 4706.8—2008</w:t>
            </w:r>
          </w:p>
        </w:tc>
      </w:tr>
      <w:tr w14:paraId="3C3C3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pct"/>
            <w:noWrap w:val="0"/>
            <w:vAlign w:val="center"/>
          </w:tcPr>
          <w:p w14:paraId="62826F62">
            <w:pPr>
              <w:spacing w:line="300" w:lineRule="exact"/>
              <w:jc w:val="center"/>
              <w:textAlignment w:val="center"/>
              <w:rPr>
                <w:color w:val="000000"/>
                <w:szCs w:val="21"/>
              </w:rPr>
            </w:pPr>
            <w:r>
              <w:rPr>
                <w:kern w:val="0"/>
                <w:szCs w:val="21"/>
              </w:rPr>
              <w:t>8</w:t>
            </w:r>
          </w:p>
        </w:tc>
        <w:tc>
          <w:tcPr>
            <w:tcW w:w="3112" w:type="pct"/>
            <w:noWrap w:val="0"/>
            <w:vAlign w:val="center"/>
          </w:tcPr>
          <w:p w14:paraId="2887E9B5">
            <w:pPr>
              <w:snapToGrid w:val="0"/>
              <w:spacing w:line="300" w:lineRule="exact"/>
              <w:jc w:val="center"/>
              <w:rPr>
                <w:color w:val="000000"/>
                <w:szCs w:val="21"/>
              </w:rPr>
            </w:pPr>
            <w:r>
              <w:rPr>
                <w:color w:val="000000"/>
                <w:szCs w:val="21"/>
              </w:rPr>
              <w:t>结构（不包括第22.46条的试验）</w:t>
            </w:r>
          </w:p>
        </w:tc>
        <w:tc>
          <w:tcPr>
            <w:tcW w:w="1311" w:type="pct"/>
            <w:noWrap w:val="0"/>
            <w:vAlign w:val="center"/>
          </w:tcPr>
          <w:p w14:paraId="0D901722">
            <w:pPr>
              <w:spacing w:line="300" w:lineRule="exact"/>
              <w:jc w:val="center"/>
              <w:rPr>
                <w:color w:val="000000"/>
                <w:szCs w:val="21"/>
              </w:rPr>
            </w:pPr>
            <w:r>
              <w:rPr>
                <w:color w:val="000000"/>
                <w:szCs w:val="21"/>
              </w:rPr>
              <w:t xml:space="preserve">GB 4706.1—2005 </w:t>
            </w:r>
          </w:p>
          <w:p w14:paraId="4A3DE646">
            <w:pPr>
              <w:spacing w:line="300" w:lineRule="exact"/>
              <w:jc w:val="center"/>
              <w:rPr>
                <w:color w:val="000000"/>
                <w:szCs w:val="21"/>
              </w:rPr>
            </w:pPr>
            <w:r>
              <w:rPr>
                <w:color w:val="000000"/>
                <w:szCs w:val="21"/>
              </w:rPr>
              <w:t>GB 4706.8—2008</w:t>
            </w:r>
          </w:p>
        </w:tc>
      </w:tr>
      <w:tr w14:paraId="50F1C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pct"/>
            <w:noWrap w:val="0"/>
            <w:vAlign w:val="center"/>
          </w:tcPr>
          <w:p w14:paraId="38B1577B">
            <w:pPr>
              <w:spacing w:line="300" w:lineRule="exact"/>
              <w:jc w:val="center"/>
              <w:textAlignment w:val="center"/>
              <w:rPr>
                <w:color w:val="000000"/>
                <w:szCs w:val="21"/>
              </w:rPr>
            </w:pPr>
            <w:r>
              <w:rPr>
                <w:kern w:val="0"/>
                <w:szCs w:val="21"/>
              </w:rPr>
              <w:t>9</w:t>
            </w:r>
          </w:p>
        </w:tc>
        <w:tc>
          <w:tcPr>
            <w:tcW w:w="3112" w:type="pct"/>
            <w:noWrap w:val="0"/>
            <w:vAlign w:val="center"/>
          </w:tcPr>
          <w:p w14:paraId="584C1112">
            <w:pPr>
              <w:snapToGrid w:val="0"/>
              <w:spacing w:line="300" w:lineRule="exact"/>
              <w:jc w:val="center"/>
              <w:rPr>
                <w:color w:val="000000"/>
                <w:szCs w:val="21"/>
              </w:rPr>
            </w:pPr>
            <w:r>
              <w:rPr>
                <w:color w:val="000000"/>
                <w:szCs w:val="21"/>
              </w:rPr>
              <w:t>电源连接和外部软线</w:t>
            </w:r>
          </w:p>
        </w:tc>
        <w:tc>
          <w:tcPr>
            <w:tcW w:w="1311" w:type="pct"/>
            <w:noWrap w:val="0"/>
            <w:vAlign w:val="center"/>
          </w:tcPr>
          <w:p w14:paraId="56DE48C0">
            <w:pPr>
              <w:spacing w:line="300" w:lineRule="exact"/>
              <w:jc w:val="center"/>
              <w:rPr>
                <w:color w:val="000000"/>
                <w:szCs w:val="21"/>
              </w:rPr>
            </w:pPr>
            <w:r>
              <w:rPr>
                <w:color w:val="000000"/>
                <w:szCs w:val="21"/>
              </w:rPr>
              <w:t xml:space="preserve">GB 4706.1—2005 </w:t>
            </w:r>
          </w:p>
          <w:p w14:paraId="6A636847">
            <w:pPr>
              <w:spacing w:line="300" w:lineRule="exact"/>
              <w:jc w:val="center"/>
              <w:rPr>
                <w:color w:val="000000"/>
                <w:szCs w:val="21"/>
              </w:rPr>
            </w:pPr>
            <w:r>
              <w:rPr>
                <w:color w:val="000000"/>
                <w:szCs w:val="21"/>
              </w:rPr>
              <w:t>GB 4706.8—2008</w:t>
            </w:r>
          </w:p>
        </w:tc>
      </w:tr>
      <w:tr w14:paraId="09141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pct"/>
            <w:noWrap w:val="0"/>
            <w:vAlign w:val="center"/>
          </w:tcPr>
          <w:p w14:paraId="38622A64">
            <w:pPr>
              <w:spacing w:line="300" w:lineRule="exact"/>
              <w:jc w:val="center"/>
              <w:textAlignment w:val="center"/>
              <w:rPr>
                <w:color w:val="000000"/>
                <w:szCs w:val="21"/>
              </w:rPr>
            </w:pPr>
            <w:r>
              <w:rPr>
                <w:kern w:val="0"/>
                <w:szCs w:val="21"/>
              </w:rPr>
              <w:t>10</w:t>
            </w:r>
          </w:p>
        </w:tc>
        <w:tc>
          <w:tcPr>
            <w:tcW w:w="3112" w:type="pct"/>
            <w:noWrap w:val="0"/>
            <w:vAlign w:val="center"/>
          </w:tcPr>
          <w:p w14:paraId="28629662">
            <w:pPr>
              <w:snapToGrid w:val="0"/>
              <w:spacing w:line="300" w:lineRule="exact"/>
              <w:jc w:val="center"/>
              <w:rPr>
                <w:color w:val="000000"/>
                <w:szCs w:val="21"/>
              </w:rPr>
            </w:pPr>
            <w:r>
              <w:rPr>
                <w:color w:val="000000"/>
                <w:szCs w:val="21"/>
              </w:rPr>
              <w:t>电气间隙、爬电距离和固体绝缘</w:t>
            </w:r>
          </w:p>
        </w:tc>
        <w:tc>
          <w:tcPr>
            <w:tcW w:w="1311" w:type="pct"/>
            <w:noWrap w:val="0"/>
            <w:vAlign w:val="center"/>
          </w:tcPr>
          <w:p w14:paraId="2D69D015">
            <w:pPr>
              <w:spacing w:line="300" w:lineRule="exact"/>
              <w:jc w:val="center"/>
              <w:rPr>
                <w:color w:val="000000"/>
                <w:szCs w:val="21"/>
              </w:rPr>
            </w:pPr>
            <w:r>
              <w:rPr>
                <w:color w:val="000000"/>
                <w:szCs w:val="21"/>
              </w:rPr>
              <w:t xml:space="preserve">GB 4706.1—2005 </w:t>
            </w:r>
          </w:p>
          <w:p w14:paraId="3A7EA274">
            <w:pPr>
              <w:spacing w:line="300" w:lineRule="exact"/>
              <w:jc w:val="center"/>
              <w:rPr>
                <w:color w:val="000000"/>
                <w:szCs w:val="21"/>
              </w:rPr>
            </w:pPr>
            <w:r>
              <w:rPr>
                <w:color w:val="000000"/>
                <w:szCs w:val="21"/>
              </w:rPr>
              <w:t>GB 4706.8—2008</w:t>
            </w:r>
          </w:p>
        </w:tc>
      </w:tr>
    </w:tbl>
    <w:p w14:paraId="7F367345">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51A5E414">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1566E59B">
      <w:pPr>
        <w:snapToGrid w:val="0"/>
        <w:spacing w:line="440" w:lineRule="exact"/>
        <w:ind w:firstLine="359" w:firstLineChars="171"/>
        <w:rPr>
          <w:color w:val="000000"/>
          <w:szCs w:val="21"/>
        </w:rPr>
      </w:pPr>
    </w:p>
    <w:p w14:paraId="3A37899D">
      <w:pPr>
        <w:spacing w:line="440" w:lineRule="exact"/>
        <w:rPr>
          <w:rFonts w:eastAsia="黑体"/>
          <w:color w:val="000000"/>
          <w:szCs w:val="21"/>
        </w:rPr>
      </w:pPr>
      <w:r>
        <w:rPr>
          <w:rFonts w:eastAsia="黑体"/>
          <w:color w:val="000000"/>
          <w:szCs w:val="21"/>
        </w:rPr>
        <w:t>3 判定规则</w:t>
      </w:r>
    </w:p>
    <w:p w14:paraId="60C4E97A">
      <w:pPr>
        <w:snapToGrid w:val="0"/>
        <w:spacing w:line="440" w:lineRule="exact"/>
        <w:rPr>
          <w:color w:val="000000"/>
          <w:szCs w:val="21"/>
        </w:rPr>
      </w:pPr>
      <w:r>
        <w:rPr>
          <w:color w:val="000000"/>
          <w:szCs w:val="21"/>
        </w:rPr>
        <w:t>3.1依据标准</w:t>
      </w:r>
    </w:p>
    <w:p w14:paraId="65FE3020">
      <w:pPr>
        <w:snapToGrid w:val="0"/>
        <w:spacing w:line="440" w:lineRule="exact"/>
        <w:ind w:firstLine="359" w:firstLineChars="171"/>
        <w:rPr>
          <w:color w:val="000000"/>
          <w:szCs w:val="21"/>
        </w:rPr>
      </w:pPr>
      <w:r>
        <w:rPr>
          <w:color w:val="000000"/>
          <w:szCs w:val="21"/>
        </w:rPr>
        <w:t>GB 4706.1—2005 家用和类似用途电器的安全  第1部分：通用要求</w:t>
      </w:r>
    </w:p>
    <w:p w14:paraId="341DA9B8">
      <w:pPr>
        <w:snapToGrid w:val="0"/>
        <w:spacing w:line="440" w:lineRule="exact"/>
        <w:ind w:firstLine="359" w:firstLineChars="171"/>
        <w:rPr>
          <w:color w:val="000000"/>
          <w:szCs w:val="21"/>
        </w:rPr>
      </w:pPr>
      <w:r>
        <w:rPr>
          <w:color w:val="000000"/>
          <w:szCs w:val="21"/>
        </w:rPr>
        <w:t>GB 4706.8—2008 家用和类似用途电器的安全  电热毯、电热垫及类似柔性发热器具的特殊要求</w:t>
      </w:r>
    </w:p>
    <w:p w14:paraId="786129BD">
      <w:pPr>
        <w:snapToGrid w:val="0"/>
        <w:spacing w:line="440" w:lineRule="exact"/>
        <w:ind w:firstLine="359" w:firstLineChars="171"/>
        <w:rPr>
          <w:color w:val="000000"/>
          <w:szCs w:val="21"/>
        </w:rPr>
      </w:pPr>
      <w:r>
        <w:rPr>
          <w:color w:val="000000"/>
          <w:szCs w:val="21"/>
        </w:rPr>
        <w:t>现行有效的企业标准、团体标准、地方标准及产品明示质量要求</w:t>
      </w:r>
    </w:p>
    <w:p w14:paraId="63FAC8CA">
      <w:pPr>
        <w:snapToGrid w:val="0"/>
        <w:spacing w:line="440" w:lineRule="exact"/>
        <w:rPr>
          <w:color w:val="000000"/>
          <w:szCs w:val="21"/>
        </w:rPr>
      </w:pPr>
      <w:r>
        <w:rPr>
          <w:color w:val="000000"/>
          <w:szCs w:val="21"/>
        </w:rPr>
        <w:t>3.2判定原则</w:t>
      </w:r>
    </w:p>
    <w:p w14:paraId="5F2057C2">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206F7F1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8DB0907">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5F446A7A">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60E5F70">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122F458C">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64247D0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923680"/>
    <w:rsid w:val="1F9236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2025-02-19T00:53:00Z</dcterms:created>
  <dc:creator>WPS_1677761538</dc:creator>
  <cp:lastModifiedBy>WPS_1677761538</cp:lastModifiedBy>
  <dcterms:modified xsi:type="dcterms:W3CDTF">2025-02-19T00:54:18Z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D21ECD50D3434E029F1C4F88D988413B_11</vt:lpwstr>
  </property>
  <property fmtid="{D5CDD505-2E9C-101B-9397-08002B2CF9AE}" pid="4" name="KSOTemplateDocerSaveRecord">
    <vt:lpwstr>eyJoZGlkIjoiZTQ3OGNlZjI3YzlkZDI5NmY0MDVkNGEzYmRlZDY2M2YiLCJ1c2VySWQiOiIxNDc3ODg5MzQ4In0=</vt:lpwstr>
  </property>
</Properties>
</file>