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24D62">
      <w:pPr>
        <w:pStyle w:val="2"/>
        <w:rPr>
          <w:rFonts w:hint="eastAsia" w:ascii="仿宋_GB2312" w:eastAsia="仿宋_GB2312"/>
          <w:sz w:val="32"/>
          <w:szCs w:val="32"/>
          <w:lang w:val="en-US" w:eastAsia="zh-CN"/>
        </w:rPr>
      </w:pPr>
    </w:p>
    <w:p w14:paraId="503174B3">
      <w:pPr>
        <w:spacing w:line="560" w:lineRule="exact"/>
        <w:jc w:val="center"/>
        <w:rPr>
          <w:bCs/>
          <w:sz w:val="32"/>
          <w:szCs w:val="32"/>
          <w:u w:val="single"/>
        </w:rPr>
      </w:pPr>
    </w:p>
    <w:p w14:paraId="161E35A0">
      <w:pPr>
        <w:spacing w:line="560" w:lineRule="exact"/>
        <w:jc w:val="center"/>
        <w:rPr>
          <w:b/>
          <w:sz w:val="44"/>
          <w:szCs w:val="44"/>
          <w:u w:val="single"/>
        </w:rPr>
      </w:pPr>
    </w:p>
    <w:p w14:paraId="22291E48">
      <w:pPr>
        <w:pStyle w:val="2"/>
      </w:pPr>
    </w:p>
    <w:p w14:paraId="5AC78D56">
      <w:pPr>
        <w:spacing w:line="560" w:lineRule="exact"/>
        <w:jc w:val="center"/>
        <w:rPr>
          <w:b/>
          <w:sz w:val="44"/>
          <w:szCs w:val="44"/>
          <w:u w:val="single"/>
        </w:rPr>
      </w:pPr>
    </w:p>
    <w:p w14:paraId="2431C723">
      <w:pPr>
        <w:spacing w:line="560" w:lineRule="exact"/>
        <w:jc w:val="both"/>
        <w:rPr>
          <w:rFonts w:hint="eastAsia"/>
          <w:b/>
          <w:sz w:val="44"/>
          <w:szCs w:val="44"/>
        </w:rPr>
      </w:pPr>
    </w:p>
    <w:p w14:paraId="03A711A6">
      <w:pPr>
        <w:spacing w:line="560" w:lineRule="exact"/>
        <w:jc w:val="both"/>
        <w:rPr>
          <w:rFonts w:hint="eastAsia"/>
          <w:b/>
          <w:sz w:val="44"/>
          <w:szCs w:val="44"/>
        </w:rPr>
      </w:pPr>
    </w:p>
    <w:p w14:paraId="46762989">
      <w:pPr>
        <w:spacing w:line="560" w:lineRule="exact"/>
        <w:jc w:val="both"/>
        <w:rPr>
          <w:rFonts w:hint="eastAsia"/>
          <w:b/>
          <w:sz w:val="44"/>
          <w:szCs w:val="44"/>
        </w:rPr>
      </w:pPr>
    </w:p>
    <w:p w14:paraId="511B9B81">
      <w:pPr>
        <w:spacing w:line="560" w:lineRule="exact"/>
        <w:jc w:val="center"/>
        <w:rPr>
          <w:rFonts w:hint="eastAsia"/>
          <w:b/>
          <w:sz w:val="44"/>
          <w:szCs w:val="44"/>
          <w:lang w:val="en-US" w:eastAsia="zh-CN"/>
        </w:rPr>
      </w:pPr>
      <w:r>
        <w:rPr>
          <w:rFonts w:hint="eastAsia"/>
          <w:b/>
          <w:sz w:val="44"/>
          <w:szCs w:val="44"/>
          <w:lang w:val="en-US" w:eastAsia="zh-CN"/>
        </w:rPr>
        <w:t>盘锦市城市管理综合行政执法局</w:t>
      </w:r>
    </w:p>
    <w:p w14:paraId="7CC51680">
      <w:pPr>
        <w:spacing w:line="560" w:lineRule="exact"/>
        <w:jc w:val="center"/>
        <w:rPr>
          <w:rFonts w:hint="default" w:eastAsia="宋体"/>
          <w:b/>
          <w:sz w:val="44"/>
          <w:szCs w:val="44"/>
          <w:lang w:val="en-US" w:eastAsia="zh-CN"/>
        </w:rPr>
      </w:pPr>
      <w:r>
        <w:rPr>
          <w:rFonts w:hint="eastAsia"/>
          <w:b/>
          <w:sz w:val="44"/>
          <w:szCs w:val="44"/>
          <w:lang w:val="en-US" w:eastAsia="zh-CN"/>
        </w:rPr>
        <w:t>2025年度部门预算</w:t>
      </w:r>
    </w:p>
    <w:p w14:paraId="42C2C7F8">
      <w:pPr>
        <w:spacing w:line="560" w:lineRule="exact"/>
        <w:jc w:val="center"/>
        <w:rPr>
          <w:rFonts w:hint="eastAsia"/>
          <w:b/>
          <w:sz w:val="44"/>
          <w:szCs w:val="44"/>
        </w:rPr>
      </w:pPr>
    </w:p>
    <w:p w14:paraId="198314F3">
      <w:pPr>
        <w:spacing w:line="560" w:lineRule="exact"/>
        <w:jc w:val="center"/>
        <w:rPr>
          <w:rFonts w:hint="eastAsia"/>
          <w:b/>
          <w:sz w:val="44"/>
          <w:szCs w:val="44"/>
        </w:rPr>
      </w:pPr>
    </w:p>
    <w:p w14:paraId="75F3884B">
      <w:pPr>
        <w:spacing w:line="560" w:lineRule="exact"/>
        <w:jc w:val="center"/>
        <w:rPr>
          <w:rFonts w:hint="eastAsia"/>
          <w:b/>
          <w:sz w:val="44"/>
          <w:szCs w:val="44"/>
        </w:rPr>
      </w:pPr>
    </w:p>
    <w:p w14:paraId="3E6B38AE">
      <w:pPr>
        <w:spacing w:line="560" w:lineRule="exact"/>
        <w:jc w:val="center"/>
        <w:rPr>
          <w:rFonts w:hint="eastAsia"/>
          <w:b/>
          <w:sz w:val="44"/>
          <w:szCs w:val="44"/>
        </w:rPr>
      </w:pPr>
    </w:p>
    <w:p w14:paraId="690FB1B7">
      <w:pPr>
        <w:spacing w:line="560" w:lineRule="exact"/>
        <w:jc w:val="center"/>
        <w:rPr>
          <w:rFonts w:hint="eastAsia"/>
          <w:b/>
          <w:sz w:val="44"/>
          <w:szCs w:val="44"/>
        </w:rPr>
      </w:pPr>
    </w:p>
    <w:p w14:paraId="60A0A381">
      <w:pPr>
        <w:spacing w:line="560" w:lineRule="exact"/>
        <w:jc w:val="center"/>
        <w:rPr>
          <w:rFonts w:hint="eastAsia"/>
          <w:b/>
          <w:sz w:val="44"/>
          <w:szCs w:val="44"/>
        </w:rPr>
      </w:pPr>
    </w:p>
    <w:p w14:paraId="1C8F336F">
      <w:pPr>
        <w:spacing w:line="560" w:lineRule="exact"/>
        <w:jc w:val="center"/>
        <w:rPr>
          <w:rFonts w:hint="eastAsia"/>
          <w:b/>
          <w:sz w:val="44"/>
          <w:szCs w:val="44"/>
        </w:rPr>
      </w:pPr>
    </w:p>
    <w:p w14:paraId="7688FBFE">
      <w:pPr>
        <w:spacing w:line="560" w:lineRule="exact"/>
        <w:jc w:val="center"/>
        <w:rPr>
          <w:rFonts w:hint="eastAsia"/>
          <w:b/>
          <w:sz w:val="44"/>
          <w:szCs w:val="44"/>
        </w:rPr>
      </w:pPr>
    </w:p>
    <w:p w14:paraId="1ABE61B5">
      <w:pPr>
        <w:spacing w:line="560" w:lineRule="exact"/>
        <w:jc w:val="center"/>
        <w:rPr>
          <w:rFonts w:hint="eastAsia"/>
          <w:b/>
          <w:sz w:val="44"/>
          <w:szCs w:val="44"/>
        </w:rPr>
      </w:pPr>
    </w:p>
    <w:p w14:paraId="13AD51E7">
      <w:pPr>
        <w:spacing w:line="560" w:lineRule="exact"/>
        <w:jc w:val="center"/>
        <w:rPr>
          <w:rFonts w:hint="eastAsia"/>
          <w:b/>
          <w:sz w:val="44"/>
          <w:szCs w:val="44"/>
        </w:rPr>
      </w:pPr>
    </w:p>
    <w:p w14:paraId="7E3DE0C5">
      <w:pPr>
        <w:spacing w:line="560" w:lineRule="exact"/>
        <w:jc w:val="center"/>
        <w:rPr>
          <w:rFonts w:hint="eastAsia"/>
          <w:b/>
          <w:sz w:val="44"/>
          <w:szCs w:val="44"/>
        </w:rPr>
      </w:pPr>
    </w:p>
    <w:p w14:paraId="6AFB86AB">
      <w:pPr>
        <w:spacing w:line="560" w:lineRule="exact"/>
        <w:jc w:val="both"/>
        <w:rPr>
          <w:rFonts w:hint="eastAsia" w:eastAsia="宋体"/>
          <w:b/>
          <w:sz w:val="44"/>
          <w:szCs w:val="44"/>
          <w:lang w:eastAsia="zh-CN"/>
        </w:rPr>
      </w:pPr>
    </w:p>
    <w:p w14:paraId="6B650198">
      <w:pPr>
        <w:spacing w:line="560" w:lineRule="exact"/>
        <w:jc w:val="center"/>
        <w:rPr>
          <w:rFonts w:hint="eastAsia"/>
          <w:b/>
          <w:sz w:val="44"/>
          <w:szCs w:val="44"/>
        </w:rPr>
      </w:pPr>
    </w:p>
    <w:p w14:paraId="583CB930">
      <w:pPr>
        <w:spacing w:line="560" w:lineRule="exact"/>
        <w:jc w:val="center"/>
        <w:rPr>
          <w:rFonts w:hint="eastAsia"/>
          <w:b/>
          <w:sz w:val="44"/>
          <w:szCs w:val="44"/>
        </w:rPr>
      </w:pPr>
    </w:p>
    <w:p w14:paraId="0A340633">
      <w:pPr>
        <w:spacing w:line="560" w:lineRule="exact"/>
        <w:jc w:val="center"/>
        <w:rPr>
          <w:b/>
          <w:sz w:val="44"/>
          <w:szCs w:val="44"/>
        </w:rPr>
      </w:pPr>
      <w:r>
        <w:rPr>
          <w:rFonts w:hint="eastAsia"/>
          <w:b/>
          <w:sz w:val="44"/>
          <w:szCs w:val="44"/>
        </w:rPr>
        <w:t>目    录</w:t>
      </w:r>
    </w:p>
    <w:p w14:paraId="29D6253F">
      <w:pPr>
        <w:spacing w:line="560" w:lineRule="exact"/>
        <w:rPr>
          <w:b/>
          <w:sz w:val="44"/>
          <w:szCs w:val="44"/>
          <w:u w:val="single"/>
        </w:rPr>
      </w:pPr>
    </w:p>
    <w:p w14:paraId="5866169D">
      <w:pPr>
        <w:spacing w:line="560" w:lineRule="exact"/>
        <w:rPr>
          <w:b/>
          <w:sz w:val="44"/>
          <w:szCs w:val="44"/>
          <w:u w:val="single"/>
        </w:rPr>
      </w:pPr>
    </w:p>
    <w:p w14:paraId="1F1251A1">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784FA33A">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盘锦市城市管理综合行政执法局</w:t>
      </w:r>
      <w:r>
        <w:rPr>
          <w:rFonts w:hint="eastAsia" w:ascii="黑体" w:hAnsi="黑体" w:eastAsia="黑体"/>
          <w:sz w:val="32"/>
          <w:szCs w:val="32"/>
        </w:rPr>
        <w:t>概况</w:t>
      </w:r>
    </w:p>
    <w:p w14:paraId="2488C806">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1AE6AC20">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6BDDC00F">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盘锦市城市管理综合行政执法局部门</w:t>
      </w:r>
      <w:r>
        <w:rPr>
          <w:rFonts w:hint="eastAsia" w:ascii="黑体" w:hAnsi="黑体" w:eastAsia="黑体"/>
          <w:sz w:val="32"/>
          <w:szCs w:val="32"/>
        </w:rPr>
        <w:t>预算情况说明</w:t>
      </w:r>
    </w:p>
    <w:p w14:paraId="44EE2578">
      <w:pPr>
        <w:spacing w:line="560" w:lineRule="exact"/>
        <w:rPr>
          <w:rFonts w:ascii="黑体" w:hAnsi="黑体" w:eastAsia="黑体"/>
          <w:sz w:val="32"/>
          <w:szCs w:val="32"/>
        </w:rPr>
      </w:pPr>
      <w:r>
        <w:rPr>
          <w:rFonts w:hint="eastAsia" w:ascii="黑体" w:hAnsi="黑体" w:eastAsia="黑体"/>
          <w:sz w:val="32"/>
          <w:szCs w:val="32"/>
        </w:rPr>
        <w:t>第四部分    名词解释</w:t>
      </w:r>
    </w:p>
    <w:p w14:paraId="31D9DF00">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盘锦市城市管理综合行政执法局部门</w:t>
      </w:r>
      <w:r>
        <w:rPr>
          <w:rFonts w:hint="eastAsia" w:ascii="黑体" w:hAnsi="黑体" w:eastAsia="黑体"/>
          <w:sz w:val="32"/>
          <w:szCs w:val="32"/>
        </w:rPr>
        <w:t>预算</w:t>
      </w:r>
      <w:r>
        <w:rPr>
          <w:rFonts w:hint="eastAsia" w:ascii="黑体" w:hAnsi="黑体" w:eastAsia="黑体"/>
          <w:sz w:val="32"/>
          <w:szCs w:val="32"/>
          <w:lang w:eastAsia="zh-CN"/>
        </w:rPr>
        <w:t>公开</w:t>
      </w:r>
      <w:r>
        <w:rPr>
          <w:rFonts w:hint="eastAsia" w:ascii="黑体" w:hAnsi="黑体" w:eastAsia="黑体"/>
          <w:sz w:val="32"/>
          <w:szCs w:val="32"/>
        </w:rPr>
        <w:t>表</w:t>
      </w:r>
    </w:p>
    <w:p w14:paraId="6C50D2AE">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6A562A3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26450AA4">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3347E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41B5CBD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39ED1D0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5E74F2E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4D3981BC">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226B632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1A16BD3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14BF25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331B4D1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2EEAC5B2">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262C71D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41B1D4A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4E26405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5B42610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21DA35D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C52A07F">
      <w:pPr>
        <w:spacing w:line="560" w:lineRule="exact"/>
        <w:rPr>
          <w:rFonts w:ascii="黑体" w:hAnsi="黑体" w:eastAsia="黑体"/>
          <w:sz w:val="32"/>
          <w:szCs w:val="32"/>
        </w:rPr>
      </w:pPr>
      <w:r>
        <w:rPr>
          <w:rFonts w:hint="eastAsia" w:ascii="黑体" w:hAnsi="黑体" w:eastAsia="黑体"/>
          <w:sz w:val="32"/>
          <w:szCs w:val="32"/>
        </w:rPr>
        <w:t>　</w:t>
      </w:r>
    </w:p>
    <w:p w14:paraId="75A54607">
      <w:pPr>
        <w:spacing w:line="560" w:lineRule="exact"/>
        <w:rPr>
          <w:rFonts w:ascii="黑体" w:hAnsi="黑体" w:eastAsia="黑体"/>
          <w:sz w:val="32"/>
          <w:szCs w:val="32"/>
        </w:rPr>
      </w:pPr>
    </w:p>
    <w:p w14:paraId="01FF3F47">
      <w:pPr>
        <w:spacing w:line="560" w:lineRule="exact"/>
        <w:rPr>
          <w:rFonts w:ascii="黑体" w:hAnsi="黑体" w:eastAsia="黑体"/>
          <w:sz w:val="32"/>
          <w:szCs w:val="32"/>
        </w:rPr>
      </w:pPr>
    </w:p>
    <w:p w14:paraId="4655F40D">
      <w:pPr>
        <w:spacing w:line="560" w:lineRule="exact"/>
        <w:rPr>
          <w:rFonts w:ascii="宋体" w:hAnsi="宋体"/>
          <w:b/>
          <w:sz w:val="36"/>
          <w:szCs w:val="36"/>
        </w:rPr>
      </w:pPr>
    </w:p>
    <w:p w14:paraId="55709595">
      <w:pPr>
        <w:spacing w:line="560" w:lineRule="exact"/>
        <w:rPr>
          <w:rFonts w:ascii="宋体" w:hAnsi="宋体"/>
          <w:b/>
          <w:sz w:val="36"/>
          <w:szCs w:val="36"/>
        </w:rPr>
      </w:pPr>
    </w:p>
    <w:p w14:paraId="39EEDE20">
      <w:pPr>
        <w:spacing w:line="560" w:lineRule="exact"/>
        <w:jc w:val="center"/>
        <w:rPr>
          <w:rFonts w:ascii="宋体" w:hAnsi="宋体"/>
          <w:b/>
          <w:sz w:val="36"/>
          <w:szCs w:val="36"/>
        </w:rPr>
      </w:pPr>
    </w:p>
    <w:p w14:paraId="66FBC1F0">
      <w:pPr>
        <w:spacing w:line="560" w:lineRule="exact"/>
        <w:jc w:val="center"/>
        <w:rPr>
          <w:rFonts w:ascii="宋体" w:hAnsi="宋体"/>
          <w:b/>
          <w:sz w:val="36"/>
          <w:szCs w:val="36"/>
        </w:rPr>
      </w:pPr>
    </w:p>
    <w:p w14:paraId="3A6810EC">
      <w:pPr>
        <w:spacing w:line="560" w:lineRule="exact"/>
        <w:jc w:val="center"/>
        <w:rPr>
          <w:rFonts w:ascii="宋体" w:hAnsi="宋体"/>
          <w:b/>
          <w:sz w:val="36"/>
          <w:szCs w:val="36"/>
        </w:rPr>
      </w:pPr>
    </w:p>
    <w:p w14:paraId="4C017E35">
      <w:pPr>
        <w:spacing w:line="560" w:lineRule="exact"/>
        <w:jc w:val="center"/>
        <w:rPr>
          <w:rFonts w:ascii="宋体" w:hAnsi="宋体"/>
          <w:b/>
          <w:sz w:val="36"/>
          <w:szCs w:val="36"/>
        </w:rPr>
      </w:pPr>
    </w:p>
    <w:p w14:paraId="79CC3710">
      <w:pPr>
        <w:spacing w:line="560" w:lineRule="exact"/>
        <w:jc w:val="center"/>
        <w:rPr>
          <w:rFonts w:ascii="宋体" w:hAnsi="宋体"/>
          <w:b/>
          <w:sz w:val="36"/>
          <w:szCs w:val="36"/>
        </w:rPr>
      </w:pPr>
    </w:p>
    <w:p w14:paraId="2C02BD7D">
      <w:pPr>
        <w:spacing w:line="560" w:lineRule="exact"/>
        <w:jc w:val="center"/>
        <w:rPr>
          <w:rFonts w:ascii="宋体" w:hAnsi="宋体"/>
          <w:b/>
          <w:sz w:val="36"/>
          <w:szCs w:val="36"/>
        </w:rPr>
      </w:pPr>
    </w:p>
    <w:p w14:paraId="09D861EE">
      <w:pPr>
        <w:spacing w:line="560" w:lineRule="exact"/>
        <w:jc w:val="center"/>
        <w:rPr>
          <w:rFonts w:ascii="宋体" w:hAnsi="宋体"/>
          <w:b/>
          <w:sz w:val="36"/>
          <w:szCs w:val="36"/>
        </w:rPr>
      </w:pPr>
    </w:p>
    <w:p w14:paraId="27D5FF4D">
      <w:pPr>
        <w:spacing w:line="560" w:lineRule="exact"/>
        <w:jc w:val="center"/>
        <w:rPr>
          <w:rFonts w:ascii="宋体" w:hAnsi="宋体"/>
          <w:b/>
          <w:sz w:val="36"/>
          <w:szCs w:val="36"/>
        </w:rPr>
      </w:pPr>
    </w:p>
    <w:p w14:paraId="291F74AD">
      <w:pPr>
        <w:spacing w:line="560" w:lineRule="exact"/>
        <w:jc w:val="center"/>
        <w:rPr>
          <w:rFonts w:ascii="宋体" w:hAnsi="宋体"/>
          <w:b/>
          <w:sz w:val="36"/>
          <w:szCs w:val="36"/>
        </w:rPr>
      </w:pPr>
    </w:p>
    <w:p w14:paraId="77BFD262">
      <w:pPr>
        <w:spacing w:line="560" w:lineRule="exact"/>
        <w:jc w:val="center"/>
        <w:rPr>
          <w:rFonts w:ascii="宋体" w:hAnsi="宋体"/>
          <w:b/>
          <w:sz w:val="36"/>
          <w:szCs w:val="36"/>
        </w:rPr>
      </w:pPr>
    </w:p>
    <w:p w14:paraId="784F1C3A">
      <w:pPr>
        <w:spacing w:line="560" w:lineRule="exact"/>
        <w:jc w:val="center"/>
        <w:rPr>
          <w:rFonts w:ascii="宋体" w:hAnsi="宋体"/>
          <w:b/>
          <w:sz w:val="36"/>
          <w:szCs w:val="36"/>
        </w:rPr>
      </w:pPr>
    </w:p>
    <w:p w14:paraId="16C6E00B">
      <w:pPr>
        <w:spacing w:line="560" w:lineRule="exact"/>
        <w:jc w:val="both"/>
        <w:rPr>
          <w:rFonts w:ascii="宋体" w:hAnsi="宋体"/>
          <w:b/>
          <w:sz w:val="36"/>
          <w:szCs w:val="36"/>
        </w:rPr>
      </w:pPr>
    </w:p>
    <w:p w14:paraId="2EB014D2">
      <w:pPr>
        <w:pStyle w:val="2"/>
      </w:pPr>
    </w:p>
    <w:p w14:paraId="26D632E1">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3DD42328">
      <w:pPr>
        <w:spacing w:line="560" w:lineRule="exact"/>
        <w:jc w:val="center"/>
        <w:rPr>
          <w:rFonts w:ascii="宋体" w:hAnsi="宋体"/>
          <w:b/>
          <w:sz w:val="36"/>
          <w:szCs w:val="36"/>
        </w:rPr>
      </w:pPr>
    </w:p>
    <w:p w14:paraId="0ABC778B">
      <w:pPr>
        <w:spacing w:line="560" w:lineRule="exact"/>
        <w:ind w:firstLine="646" w:firstLineChars="200"/>
        <w:jc w:val="lef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1.《关于切实做好2025年市县预算公开工作的通知》（辽财预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5</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1号）</w:t>
      </w:r>
    </w:p>
    <w:p w14:paraId="3CE17367">
      <w:pPr>
        <w:ind w:firstLine="645"/>
        <w:jc w:val="left"/>
        <w:rPr>
          <w:rFonts w:ascii="宋体" w:hAnsi="宋体"/>
          <w:b/>
          <w:sz w:val="36"/>
          <w:szCs w:val="36"/>
        </w:rPr>
      </w:pPr>
      <w:r>
        <w:rPr>
          <w:rFonts w:hint="eastAsia" w:ascii="仿宋_GB2312" w:hAnsi="仿宋_GB2312" w:eastAsia="仿宋_GB2312" w:cs="仿宋_GB2312"/>
          <w:b w:val="0"/>
          <w:bCs/>
          <w:sz w:val="32"/>
          <w:szCs w:val="32"/>
          <w:lang w:val="en-US" w:eastAsia="zh-CN"/>
        </w:rPr>
        <w:t>2.《</w:t>
      </w:r>
      <w:r>
        <w:rPr>
          <w:rFonts w:hint="eastAsia" w:ascii="仿宋_GB2312" w:hAnsi="仿宋_GB2312" w:eastAsia="仿宋_GB2312" w:cs="仿宋_GB2312"/>
          <w:b w:val="0"/>
          <w:bCs/>
          <w:sz w:val="32"/>
          <w:szCs w:val="32"/>
        </w:rPr>
        <w:t>关于印发</w:t>
      </w:r>
      <w:r>
        <w:rPr>
          <w:rFonts w:hint="eastAsia" w:ascii="仿宋_GB2312" w:hAnsi="仿宋_GB2312" w:eastAsia="仿宋_GB2312" w:cs="仿宋_GB2312"/>
          <w:b w:val="0"/>
          <w:bCs/>
          <w:sz w:val="32"/>
          <w:szCs w:val="32"/>
          <w:lang w:eastAsia="zh-CN"/>
        </w:rPr>
        <w:t>盘锦市</w:t>
      </w:r>
      <w:r>
        <w:rPr>
          <w:rFonts w:hint="eastAsia" w:ascii="仿宋_GB2312" w:hAnsi="仿宋_GB2312" w:eastAsia="仿宋_GB2312" w:cs="仿宋_GB2312"/>
          <w:b w:val="0"/>
          <w:bCs/>
          <w:sz w:val="32"/>
          <w:szCs w:val="32"/>
        </w:rPr>
        <w:t>财政预决算</w:t>
      </w:r>
      <w:r>
        <w:rPr>
          <w:rFonts w:hint="eastAsia" w:ascii="仿宋_GB2312" w:hAnsi="仿宋_GB2312" w:eastAsia="仿宋_GB2312" w:cs="仿宋_GB2312"/>
          <w:b w:val="0"/>
          <w:bCs/>
          <w:sz w:val="32"/>
          <w:szCs w:val="32"/>
          <w:lang w:eastAsia="zh-CN"/>
        </w:rPr>
        <w:t>领域基层政务公开标准指引的通知》</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eastAsia="zh-CN"/>
        </w:rPr>
        <w:t>盘</w:t>
      </w:r>
      <w:r>
        <w:rPr>
          <w:rFonts w:hint="eastAsia" w:ascii="仿宋_GB2312" w:hAnsi="仿宋_GB2312" w:eastAsia="仿宋_GB2312" w:cs="仿宋_GB2312"/>
          <w:b w:val="0"/>
          <w:bCs/>
          <w:sz w:val="32"/>
          <w:szCs w:val="32"/>
        </w:rPr>
        <w:t>财</w:t>
      </w:r>
      <w:r>
        <w:rPr>
          <w:rFonts w:hint="eastAsia" w:ascii="仿宋_GB2312" w:hAnsi="仿宋_GB2312" w:eastAsia="仿宋_GB2312" w:cs="仿宋_GB2312"/>
          <w:b w:val="0"/>
          <w:bCs/>
          <w:sz w:val="32"/>
          <w:szCs w:val="32"/>
          <w:lang w:eastAsia="zh-CN"/>
        </w:rPr>
        <w:t>预</w:t>
      </w:r>
      <w:r>
        <w:rPr>
          <w:rFonts w:hint="eastAsia" w:ascii="仿宋_GB2312" w:hAnsi="仿宋_GB2312" w:eastAsia="仿宋_GB2312" w:cs="仿宋_GB2312"/>
          <w:b w:val="0"/>
          <w:bCs/>
          <w:sz w:val="32"/>
          <w:szCs w:val="32"/>
        </w:rPr>
        <w:t>〔202</w:t>
      </w:r>
      <w:r>
        <w:rPr>
          <w:rFonts w:hint="eastAsia" w:ascii="仿宋_GB2312" w:hAnsi="仿宋_GB2312" w:eastAsia="仿宋_GB2312" w:cs="仿宋_GB2312"/>
          <w:b w:val="0"/>
          <w:bCs/>
          <w:sz w:val="32"/>
          <w:szCs w:val="32"/>
          <w:lang w:val="en-US" w:eastAsia="zh-CN"/>
        </w:rPr>
        <w:t>1</w:t>
      </w:r>
      <w:r>
        <w:rPr>
          <w:rFonts w:hint="eastAsia" w:ascii="仿宋_GB2312" w:hAnsi="仿宋_GB2312" w:eastAsia="仿宋_GB2312" w:cs="仿宋_GB2312"/>
          <w:b w:val="0"/>
          <w:bCs/>
          <w:sz w:val="32"/>
          <w:szCs w:val="32"/>
        </w:rPr>
        <w:t>〕</w:t>
      </w:r>
      <w:r>
        <w:rPr>
          <w:rFonts w:hint="eastAsia" w:ascii="仿宋_GB2312" w:hAnsi="仿宋_GB2312" w:eastAsia="仿宋_GB2312" w:cs="仿宋_GB2312"/>
          <w:b w:val="0"/>
          <w:bCs/>
          <w:sz w:val="32"/>
          <w:szCs w:val="32"/>
          <w:lang w:val="en-US" w:eastAsia="zh-CN"/>
        </w:rPr>
        <w:t>253</w:t>
      </w:r>
      <w:r>
        <w:rPr>
          <w:rFonts w:hint="eastAsia" w:ascii="仿宋_GB2312" w:hAnsi="仿宋_GB2312" w:eastAsia="仿宋_GB2312" w:cs="仿宋_GB2312"/>
          <w:b w:val="0"/>
          <w:bCs/>
          <w:sz w:val="32"/>
          <w:szCs w:val="32"/>
        </w:rPr>
        <w:t>号)</w:t>
      </w:r>
    </w:p>
    <w:p w14:paraId="7EB02E58">
      <w:pPr>
        <w:rPr>
          <w:rFonts w:ascii="宋体" w:hAnsi="宋体"/>
          <w:b/>
          <w:sz w:val="36"/>
          <w:szCs w:val="36"/>
        </w:rPr>
      </w:pPr>
    </w:p>
    <w:p w14:paraId="0D953634">
      <w:pPr>
        <w:pStyle w:val="9"/>
      </w:pPr>
    </w:p>
    <w:p w14:paraId="75A7E5B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盘锦市城市管理综合行政执法局</w:t>
      </w:r>
      <w:r>
        <w:rPr>
          <w:rFonts w:hint="eastAsia" w:ascii="宋体" w:hAnsi="宋体"/>
          <w:b/>
          <w:sz w:val="36"/>
          <w:szCs w:val="36"/>
        </w:rPr>
        <w:t>概况</w:t>
      </w:r>
    </w:p>
    <w:p w14:paraId="65E39FD2">
      <w:pPr>
        <w:keepNext w:val="0"/>
        <w:keepLines w:val="0"/>
        <w:pageBreakBefore w:val="0"/>
        <w:widowControl w:val="0"/>
        <w:kinsoku/>
        <w:wordWrap/>
        <w:overflowPunct/>
        <w:topLinePunct w:val="0"/>
        <w:autoSpaceDE/>
        <w:autoSpaceDN/>
        <w:bidi w:val="0"/>
        <w:adjustRightInd/>
        <w:snapToGrid/>
        <w:spacing w:line="360" w:lineRule="auto"/>
        <w:ind w:firstLine="646" w:firstLineChars="200"/>
        <w:jc w:val="left"/>
        <w:textAlignment w:val="auto"/>
        <w:rPr>
          <w:rFonts w:ascii="黑体" w:eastAsia="黑体"/>
          <w:sz w:val="32"/>
          <w:szCs w:val="32"/>
        </w:rPr>
      </w:pPr>
    </w:p>
    <w:p w14:paraId="73BDBA40">
      <w:pPr>
        <w:keepNext w:val="0"/>
        <w:keepLines w:val="0"/>
        <w:pageBreakBefore w:val="0"/>
        <w:widowControl w:val="0"/>
        <w:kinsoku/>
        <w:wordWrap/>
        <w:overflowPunct/>
        <w:topLinePunct w:val="0"/>
        <w:autoSpaceDE/>
        <w:autoSpaceDN/>
        <w:bidi w:val="0"/>
        <w:adjustRightInd/>
        <w:snapToGrid/>
        <w:spacing w:line="360" w:lineRule="auto"/>
        <w:ind w:firstLine="646" w:firstLineChars="200"/>
        <w:jc w:val="left"/>
        <w:textAlignment w:val="auto"/>
        <w:rPr>
          <w:rFonts w:ascii="黑体" w:eastAsia="黑体"/>
          <w:sz w:val="32"/>
          <w:szCs w:val="32"/>
        </w:rPr>
      </w:pPr>
      <w:r>
        <w:rPr>
          <w:rFonts w:hint="eastAsia" w:ascii="黑体" w:eastAsia="黑体"/>
          <w:sz w:val="32"/>
          <w:szCs w:val="32"/>
        </w:rPr>
        <w:t>一、部门职责</w:t>
      </w:r>
    </w:p>
    <w:p w14:paraId="7FE2A398">
      <w:pPr>
        <w:keepNext w:val="0"/>
        <w:keepLines w:val="0"/>
        <w:pageBreakBefore w:val="0"/>
        <w:widowControl w:val="0"/>
        <w:kinsoku/>
        <w:wordWrap/>
        <w:overflowPunct/>
        <w:topLinePunct w:val="0"/>
        <w:autoSpaceDE/>
        <w:autoSpaceDN/>
        <w:bidi w:val="0"/>
        <w:adjustRightInd/>
        <w:snapToGrid/>
        <w:spacing w:line="360"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为了规范盘锦市城市管理综合行政执法局的职能配置、内设机构和人员编制，推进机构、职能、权限、程序、责任法定化，根据《中国共产党机构编制工作条例》以及《盘锦市机构改革方案》，制定本规定。</w:t>
      </w:r>
    </w:p>
    <w:p w14:paraId="3D74F081">
      <w:pPr>
        <w:keepNext w:val="0"/>
        <w:keepLines w:val="0"/>
        <w:pageBreakBefore w:val="0"/>
        <w:widowControl w:val="0"/>
        <w:kinsoku/>
        <w:wordWrap/>
        <w:overflowPunct/>
        <w:topLinePunct w:val="0"/>
        <w:autoSpaceDE/>
        <w:autoSpaceDN/>
        <w:bidi w:val="0"/>
        <w:adjustRightInd/>
        <w:snapToGrid/>
        <w:spacing w:line="360"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盘锦市城市管理综合行政执法局是市政府工作部门，为正处级。</w:t>
      </w:r>
    </w:p>
    <w:p w14:paraId="3307645F">
      <w:pPr>
        <w:keepNext w:val="0"/>
        <w:keepLines w:val="0"/>
        <w:pageBreakBefore w:val="0"/>
        <w:widowControl w:val="0"/>
        <w:kinsoku/>
        <w:wordWrap/>
        <w:overflowPunct/>
        <w:topLinePunct w:val="0"/>
        <w:autoSpaceDE/>
        <w:autoSpaceDN/>
        <w:bidi w:val="0"/>
        <w:adjustRightInd/>
        <w:snapToGrid/>
        <w:spacing w:line="360"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盘锦市城市管理综合行政执法局承担的大洼区城市管理综合行政执法管理职责划入大洼区。</w:t>
      </w:r>
    </w:p>
    <w:p w14:paraId="0518CB0C">
      <w:pPr>
        <w:keepNext w:val="0"/>
        <w:keepLines w:val="0"/>
        <w:pageBreakBefore w:val="0"/>
        <w:widowControl w:val="0"/>
        <w:kinsoku/>
        <w:wordWrap/>
        <w:overflowPunct/>
        <w:topLinePunct w:val="0"/>
        <w:autoSpaceDE/>
        <w:autoSpaceDN/>
        <w:bidi w:val="0"/>
        <w:adjustRightInd/>
        <w:snapToGrid/>
        <w:spacing w:line="360"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本规定确定的主要职责、机构设置、人员编制等，是盘锦市城市管理综合行政执法局机构职责权限、人员配备和工作运行的基本依据。</w:t>
      </w:r>
    </w:p>
    <w:p w14:paraId="61A97E1A">
      <w:pPr>
        <w:keepNext w:val="0"/>
        <w:keepLines w:val="0"/>
        <w:pageBreakBefore w:val="0"/>
        <w:widowControl w:val="0"/>
        <w:kinsoku/>
        <w:wordWrap/>
        <w:overflowPunct/>
        <w:topLinePunct w:val="0"/>
        <w:autoSpaceDE/>
        <w:autoSpaceDN/>
        <w:bidi w:val="0"/>
        <w:adjustRightInd/>
        <w:snapToGrid/>
        <w:spacing w:line="360"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盘锦市城市管理综合行政执法局在履行职责过程中加强党对城市管理工作的组织领导，贯彻落实党中央关于城市管理综合行政执法工作的方针政策和决策部署以及省委、市委工作要求。</w:t>
      </w:r>
    </w:p>
    <w:p w14:paraId="6144FDA6">
      <w:pPr>
        <w:keepNext w:val="0"/>
        <w:keepLines w:val="0"/>
        <w:pageBreakBefore w:val="0"/>
        <w:widowControl w:val="0"/>
        <w:kinsoku/>
        <w:wordWrap/>
        <w:overflowPunct/>
        <w:topLinePunct w:val="0"/>
        <w:autoSpaceDE/>
        <w:autoSpaceDN/>
        <w:bidi w:val="0"/>
        <w:adjustRightInd/>
        <w:snapToGrid/>
        <w:spacing w:line="360"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主要职责是：</w:t>
      </w:r>
    </w:p>
    <w:p w14:paraId="37FCE8E1">
      <w:pPr>
        <w:keepNext w:val="0"/>
        <w:keepLines w:val="0"/>
        <w:pageBreakBefore w:val="0"/>
        <w:widowControl w:val="0"/>
        <w:kinsoku/>
        <w:wordWrap/>
        <w:overflowPunct/>
        <w:topLinePunct w:val="0"/>
        <w:autoSpaceDE/>
        <w:autoSpaceDN/>
        <w:bidi w:val="0"/>
        <w:adjustRightInd/>
        <w:snapToGrid/>
        <w:spacing w:line="360"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（一）贯彻执行国家有关城市管理综合行政执法的方针政策和法律法规及省委、市委工作要求；拟订全市城市管理综合行政执法相关的规范性文件及政策制度并组织实施。</w:t>
      </w:r>
    </w:p>
    <w:p w14:paraId="64B44CF6">
      <w:pPr>
        <w:keepNext w:val="0"/>
        <w:keepLines w:val="0"/>
        <w:pageBreakBefore w:val="0"/>
        <w:widowControl w:val="0"/>
        <w:kinsoku/>
        <w:wordWrap/>
        <w:overflowPunct/>
        <w:topLinePunct w:val="0"/>
        <w:autoSpaceDE/>
        <w:autoSpaceDN/>
        <w:bidi w:val="0"/>
        <w:adjustRightInd/>
        <w:snapToGrid/>
        <w:spacing w:line="360"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（二）负责全市城市管理执法人员教育培训工作；负责全市城市管理执法人员队风队纪的监督、检查、考核、问责。</w:t>
      </w:r>
    </w:p>
    <w:p w14:paraId="26153FA2">
      <w:pPr>
        <w:keepNext w:val="0"/>
        <w:keepLines w:val="0"/>
        <w:pageBreakBefore w:val="0"/>
        <w:widowControl w:val="0"/>
        <w:kinsoku/>
        <w:wordWrap/>
        <w:overflowPunct/>
        <w:topLinePunct w:val="0"/>
        <w:autoSpaceDE/>
        <w:autoSpaceDN/>
        <w:bidi w:val="0"/>
        <w:adjustRightInd/>
        <w:snapToGrid/>
        <w:spacing w:line="360"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（三）负责行使全市住房公积金管理方面法律、法规、规章规定的行政处罚权。</w:t>
      </w:r>
    </w:p>
    <w:p w14:paraId="7C3EEAEC">
      <w:pPr>
        <w:keepNext w:val="0"/>
        <w:keepLines w:val="0"/>
        <w:pageBreakBefore w:val="0"/>
        <w:widowControl w:val="0"/>
        <w:kinsoku/>
        <w:wordWrap/>
        <w:overflowPunct/>
        <w:topLinePunct w:val="0"/>
        <w:autoSpaceDE/>
        <w:autoSpaceDN/>
        <w:bidi w:val="0"/>
        <w:adjustRightInd/>
        <w:snapToGrid/>
        <w:spacing w:line="360"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（四）负责行使双台子区、兴隆台区、辽滨沿海经济技术开发区（306平方公里区域）内住建领域除消防方面以外的法律、法规、规章规定的行政处罚权及相关行政强制权。</w:t>
      </w:r>
    </w:p>
    <w:p w14:paraId="180AB0B8">
      <w:pPr>
        <w:keepNext w:val="0"/>
        <w:keepLines w:val="0"/>
        <w:pageBreakBefore w:val="0"/>
        <w:widowControl w:val="0"/>
        <w:kinsoku/>
        <w:wordWrap/>
        <w:overflowPunct/>
        <w:topLinePunct w:val="0"/>
        <w:autoSpaceDE/>
        <w:autoSpaceDN/>
        <w:bidi w:val="0"/>
        <w:adjustRightInd/>
        <w:snapToGrid/>
        <w:spacing w:line="360"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负责行使双台子区、兴隆台区、辽滨沿海经济技术开发区（306平方公里区域）内自然资源领域法律、法规、规章规定的城市规划管理方面全部行政处罚权及相关行政强制权。负责双台子区、兴隆台区、大洼区、辽滨沿海经济技术开发区自然资源领域土地、矿产、测绘地理信息行政处罚工作。</w:t>
      </w:r>
    </w:p>
    <w:p w14:paraId="20485C80">
      <w:pPr>
        <w:keepNext w:val="0"/>
        <w:keepLines w:val="0"/>
        <w:pageBreakBefore w:val="0"/>
        <w:widowControl w:val="0"/>
        <w:kinsoku/>
        <w:wordWrap/>
        <w:overflowPunct/>
        <w:topLinePunct w:val="0"/>
        <w:autoSpaceDE/>
        <w:autoSpaceDN/>
        <w:bidi w:val="0"/>
        <w:adjustRightInd/>
        <w:snapToGrid/>
        <w:spacing w:line="360"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（六）负责行使双台子区、兴隆台区城区内以及辽滨沿海经济技术开发区（306平方公里区域）内关于市场管理方面户外公共场所无照经营、违规设置户外广告行为的行政处罚权及相关行政强制权。</w:t>
      </w:r>
    </w:p>
    <w:p w14:paraId="65CF7C6E">
      <w:pPr>
        <w:keepNext w:val="0"/>
        <w:keepLines w:val="0"/>
        <w:pageBreakBefore w:val="0"/>
        <w:widowControl w:val="0"/>
        <w:kinsoku/>
        <w:wordWrap/>
        <w:overflowPunct/>
        <w:topLinePunct w:val="0"/>
        <w:autoSpaceDE/>
        <w:autoSpaceDN/>
        <w:bidi w:val="0"/>
        <w:adjustRightInd/>
        <w:snapToGrid/>
        <w:spacing w:line="360"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（七）负责行使双台子区、兴隆台区城区内以及辽滨沿海经济技术开发区（306平方公里区域）内关于食品药品监管方面户外公共场所食品销售和餐饮摊点无证经营行为的行政处罚权及相关行政强制权。</w:t>
      </w:r>
    </w:p>
    <w:p w14:paraId="000B1815">
      <w:pPr>
        <w:keepNext w:val="0"/>
        <w:keepLines w:val="0"/>
        <w:pageBreakBefore w:val="0"/>
        <w:widowControl w:val="0"/>
        <w:kinsoku/>
        <w:wordWrap/>
        <w:overflowPunct/>
        <w:topLinePunct w:val="0"/>
        <w:autoSpaceDE/>
        <w:autoSpaceDN/>
        <w:bidi w:val="0"/>
        <w:adjustRightInd/>
        <w:snapToGrid/>
        <w:spacing w:line="360"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负责行使双台子区、兴隆台区城区内以及辽滨沿海经济技术开发区（306平方公里区域）内关于民政殡葬管理方面户外搭灵棚、设灵堂，播放或者吹奏哀乐、抛撒纸钱、销售冥品等行为的行政处罚权及相关行政强制权。</w:t>
      </w:r>
    </w:p>
    <w:p w14:paraId="303879AE">
      <w:pPr>
        <w:keepNext w:val="0"/>
        <w:keepLines w:val="0"/>
        <w:pageBreakBefore w:val="0"/>
        <w:widowControl w:val="0"/>
        <w:kinsoku/>
        <w:wordWrap/>
        <w:overflowPunct/>
        <w:topLinePunct w:val="0"/>
        <w:autoSpaceDE/>
        <w:autoSpaceDN/>
        <w:bidi w:val="0"/>
        <w:adjustRightInd/>
        <w:snapToGrid/>
        <w:spacing w:line="360"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负责行使双台子区、兴隆台区城区内以及辽滨沿海经济技术开发区（306平方公里区域）内关于环境保护领域方面社会生活噪声污染、建筑施工噪声污染、建筑施工扬尘污染、餐饮服务业油烟污染、露天烧烤污染、城市焚烧沥青塑料垃圾等有毒有害烟尘和恶臭污染、露天焚烧秸秆落叶等烟尘污染、燃放烟花爆竹污染等行为的行政处罚权及相关行政强制权。</w:t>
      </w:r>
    </w:p>
    <w:p w14:paraId="2924E713">
      <w:pPr>
        <w:keepNext w:val="0"/>
        <w:keepLines w:val="0"/>
        <w:pageBreakBefore w:val="0"/>
        <w:widowControl w:val="0"/>
        <w:kinsoku/>
        <w:wordWrap/>
        <w:overflowPunct/>
        <w:topLinePunct w:val="0"/>
        <w:autoSpaceDE/>
        <w:autoSpaceDN/>
        <w:bidi w:val="0"/>
        <w:adjustRightInd/>
        <w:snapToGrid/>
        <w:spacing w:line="360"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（十）负责督促、检查城区内"门前四包"责任制的签订与落实工作。</w:t>
      </w:r>
    </w:p>
    <w:p w14:paraId="75B9549C">
      <w:pPr>
        <w:keepNext w:val="0"/>
        <w:keepLines w:val="0"/>
        <w:pageBreakBefore w:val="0"/>
        <w:widowControl w:val="0"/>
        <w:kinsoku/>
        <w:wordWrap/>
        <w:overflowPunct/>
        <w:topLinePunct w:val="0"/>
        <w:autoSpaceDE/>
        <w:autoSpaceDN/>
        <w:bidi w:val="0"/>
        <w:adjustRightInd/>
        <w:snapToGrid/>
        <w:spacing w:line="360"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（十一）负责对大洼区、盘山县城市管理执法工作的业务指导、组织协调、监督检查、考核评价工作，承担跨区域、重大疑难违法违规案件查处和全市性城市管理专项活动及重大执法活动的组织实施。</w:t>
      </w:r>
    </w:p>
    <w:p w14:paraId="2889FA92">
      <w:pPr>
        <w:keepNext w:val="0"/>
        <w:keepLines w:val="0"/>
        <w:pageBreakBefore w:val="0"/>
        <w:widowControl w:val="0"/>
        <w:kinsoku/>
        <w:wordWrap/>
        <w:overflowPunct/>
        <w:topLinePunct w:val="0"/>
        <w:autoSpaceDE/>
        <w:autoSpaceDN/>
        <w:bidi w:val="0"/>
        <w:adjustRightInd/>
        <w:snapToGrid/>
        <w:spacing w:line="360"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（十二）负责全市数字化城市管理运行工作。</w:t>
      </w:r>
    </w:p>
    <w:p w14:paraId="4579BD95">
      <w:pPr>
        <w:keepNext w:val="0"/>
        <w:keepLines w:val="0"/>
        <w:pageBreakBefore w:val="0"/>
        <w:widowControl w:val="0"/>
        <w:kinsoku/>
        <w:wordWrap/>
        <w:overflowPunct/>
        <w:topLinePunct w:val="0"/>
        <w:autoSpaceDE/>
        <w:autoSpaceDN/>
        <w:bidi w:val="0"/>
        <w:adjustRightInd/>
        <w:snapToGrid/>
        <w:spacing w:line="360"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（十三）负责全市城区内停车场管理及共享单车管理工作。</w:t>
      </w:r>
    </w:p>
    <w:p w14:paraId="67D64231">
      <w:pPr>
        <w:keepNext w:val="0"/>
        <w:keepLines w:val="0"/>
        <w:pageBreakBefore w:val="0"/>
        <w:widowControl w:val="0"/>
        <w:kinsoku/>
        <w:wordWrap/>
        <w:overflowPunct/>
        <w:topLinePunct w:val="0"/>
        <w:autoSpaceDE/>
        <w:autoSpaceDN/>
        <w:bidi w:val="0"/>
        <w:adjustRightInd/>
        <w:snapToGrid/>
        <w:spacing w:line="360" w:lineRule="auto"/>
        <w:ind w:firstLine="646"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（十四）完成市委、市政府交办的其他任务。</w:t>
      </w:r>
    </w:p>
    <w:p w14:paraId="1EAD5E05">
      <w:pPr>
        <w:keepNext w:val="0"/>
        <w:keepLines w:val="0"/>
        <w:pageBreakBefore w:val="0"/>
        <w:widowControl w:val="0"/>
        <w:kinsoku/>
        <w:wordWrap/>
        <w:overflowPunct/>
        <w:topLinePunct w:val="0"/>
        <w:autoSpaceDE/>
        <w:autoSpaceDN/>
        <w:bidi w:val="0"/>
        <w:adjustRightInd/>
        <w:snapToGrid/>
        <w:spacing w:line="360" w:lineRule="auto"/>
        <w:ind w:firstLine="646" w:firstLineChars="200"/>
        <w:jc w:val="left"/>
        <w:textAlignment w:val="auto"/>
        <w:rPr>
          <w:rFonts w:ascii="黑体" w:eastAsia="黑体"/>
          <w:sz w:val="32"/>
          <w:szCs w:val="32"/>
        </w:rPr>
      </w:pPr>
      <w:r>
        <w:rPr>
          <w:rFonts w:hint="eastAsia" w:ascii="黑体" w:eastAsia="黑体"/>
          <w:sz w:val="32"/>
          <w:szCs w:val="32"/>
        </w:rPr>
        <w:t>二、机构设置</w:t>
      </w:r>
    </w:p>
    <w:p w14:paraId="3D95CA07">
      <w:pPr>
        <w:keepNext w:val="0"/>
        <w:keepLines w:val="0"/>
        <w:pageBreakBefore w:val="0"/>
        <w:widowControl w:val="0"/>
        <w:kinsoku/>
        <w:wordWrap/>
        <w:overflowPunct/>
        <w:topLinePunct w:val="0"/>
        <w:autoSpaceDE/>
        <w:autoSpaceDN/>
        <w:bidi w:val="0"/>
        <w:adjustRightInd/>
        <w:snapToGrid/>
        <w:spacing w:line="360" w:lineRule="auto"/>
        <w:ind w:firstLine="646" w:firstLineChars="200"/>
        <w:jc w:val="left"/>
        <w:textAlignment w:val="auto"/>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盘锦市城市管理综合行政执法局</w:t>
      </w:r>
      <w:r>
        <w:rPr>
          <w:rFonts w:hint="eastAsia" w:ascii="仿宋_GB2312" w:eastAsia="仿宋_GB2312"/>
          <w:b/>
          <w:sz w:val="32"/>
          <w:szCs w:val="32"/>
          <w:lang w:val="en-US" w:eastAsia="zh-CN"/>
        </w:rPr>
        <w:t>2025年度</w:t>
      </w:r>
      <w:r>
        <w:rPr>
          <w:rFonts w:hint="eastAsia" w:ascii="仿宋_GB2312" w:eastAsia="仿宋_GB2312"/>
          <w:b/>
          <w:sz w:val="32"/>
          <w:szCs w:val="32"/>
          <w:lang w:eastAsia="zh-CN"/>
        </w:rPr>
        <w:t>部门</w:t>
      </w:r>
      <w:r>
        <w:rPr>
          <w:rFonts w:hint="eastAsia" w:ascii="仿宋_GB2312" w:eastAsia="仿宋_GB2312"/>
          <w:b/>
          <w:sz w:val="32"/>
          <w:szCs w:val="32"/>
        </w:rPr>
        <w:t>预算编制范围的二级预算单位包括：</w:t>
      </w:r>
    </w:p>
    <w:p w14:paraId="32164A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6"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1.盘锦市城市管理综合行政执法局本级</w:t>
      </w:r>
    </w:p>
    <w:p w14:paraId="6C61D2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6"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2.盘锦市城市管理综合行政执法队</w:t>
      </w:r>
    </w:p>
    <w:p w14:paraId="59FF5C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6"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3.盘锦市城市管理综合行政执法双台子大队</w:t>
      </w:r>
    </w:p>
    <w:p w14:paraId="407FE86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6" w:firstLineChars="200"/>
        <w:textAlignment w:val="auto"/>
        <w:rPr>
          <w:rFonts w:ascii="黑体" w:eastAsia="黑体"/>
          <w:sz w:val="36"/>
          <w:szCs w:val="36"/>
        </w:rPr>
      </w:pPr>
      <w:r>
        <w:rPr>
          <w:rFonts w:hint="eastAsia" w:ascii="仿宋_GB2312" w:hAnsi="仿宋_GB2312" w:eastAsia="仿宋_GB2312" w:cs="仿宋_GB2312"/>
          <w:sz w:val="32"/>
          <w:lang w:val="en-US" w:eastAsia="zh-CN"/>
        </w:rPr>
        <w:t>4.盘锦市城市管理综合行政执法兴隆台大队</w:t>
      </w:r>
      <w:bookmarkStart w:id="0" w:name="_GoBack"/>
      <w:bookmarkEnd w:id="0"/>
    </w:p>
    <w:p w14:paraId="72EFF5AE">
      <w:pPr>
        <w:spacing w:line="560" w:lineRule="exact"/>
        <w:jc w:val="both"/>
        <w:rPr>
          <w:rFonts w:ascii="宋体" w:hAnsi="宋体"/>
          <w:b/>
          <w:sz w:val="36"/>
          <w:szCs w:val="36"/>
        </w:rPr>
      </w:pPr>
    </w:p>
    <w:p w14:paraId="1356A138">
      <w:pPr>
        <w:numPr>
          <w:ilvl w:val="0"/>
          <w:numId w:val="2"/>
        </w:numPr>
        <w:spacing w:line="560" w:lineRule="exact"/>
        <w:jc w:val="center"/>
        <w:rPr>
          <w:rFonts w:ascii="宋体" w:hAnsi="宋体"/>
          <w:b/>
          <w:sz w:val="36"/>
          <w:szCs w:val="36"/>
        </w:rPr>
      </w:pPr>
      <w:r>
        <w:rPr>
          <w:rFonts w:hint="eastAsia" w:ascii="宋体" w:hAnsi="宋体"/>
          <w:b/>
          <w:sz w:val="36"/>
          <w:szCs w:val="36"/>
          <w:lang w:val="en-US" w:eastAsia="zh-CN"/>
        </w:rPr>
        <w:t>盘锦市城市管理综合行政执法局2025年度部门</w:t>
      </w:r>
      <w:r>
        <w:rPr>
          <w:rFonts w:hint="eastAsia" w:ascii="宋体" w:hAnsi="宋体"/>
          <w:b/>
          <w:sz w:val="36"/>
          <w:szCs w:val="36"/>
        </w:rPr>
        <w:t>预算情况说明</w:t>
      </w:r>
    </w:p>
    <w:p w14:paraId="2DACF0DE">
      <w:pPr>
        <w:spacing w:line="560" w:lineRule="exact"/>
        <w:jc w:val="center"/>
        <w:rPr>
          <w:rFonts w:ascii="宋体" w:hAnsi="宋体"/>
          <w:b/>
          <w:sz w:val="36"/>
          <w:szCs w:val="36"/>
        </w:rPr>
      </w:pPr>
    </w:p>
    <w:p w14:paraId="3D53E5C7">
      <w:pPr>
        <w:keepNext w:val="0"/>
        <w:keepLines w:val="0"/>
        <w:pageBreakBefore w:val="0"/>
        <w:widowControl w:val="0"/>
        <w:kinsoku/>
        <w:wordWrap/>
        <w:overflowPunct/>
        <w:topLinePunct w:val="0"/>
        <w:autoSpaceDN/>
        <w:bidi w:val="0"/>
        <w:adjustRightInd/>
        <w:snapToGrid/>
        <w:spacing w:line="360" w:lineRule="auto"/>
        <w:ind w:left="0" w:leftChars="0" w:firstLine="632" w:firstLineChars="196"/>
        <w:textAlignment w:val="auto"/>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0AF95B4B">
      <w:pPr>
        <w:keepNext w:val="0"/>
        <w:keepLines w:val="0"/>
        <w:pageBreakBefore w:val="0"/>
        <w:widowControl w:val="0"/>
        <w:kinsoku/>
        <w:wordWrap/>
        <w:overflowPunct/>
        <w:topLinePunct w:val="0"/>
        <w:autoSpaceDN/>
        <w:bidi w:val="0"/>
        <w:adjustRightInd/>
        <w:snapToGrid/>
        <w:spacing w:line="360" w:lineRule="auto"/>
        <w:ind w:left="0" w:leftChars="0" w:firstLine="660"/>
        <w:textAlignment w:val="auto"/>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7273.77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324032D6">
      <w:pPr>
        <w:keepNext w:val="0"/>
        <w:keepLines w:val="0"/>
        <w:pageBreakBefore w:val="0"/>
        <w:widowControl w:val="0"/>
        <w:kinsoku/>
        <w:wordWrap/>
        <w:overflowPunct/>
        <w:topLinePunct w:val="0"/>
        <w:autoSpaceDN/>
        <w:bidi w:val="0"/>
        <w:adjustRightInd/>
        <w:snapToGrid/>
        <w:spacing w:line="360" w:lineRule="auto"/>
        <w:ind w:left="0" w:leftChars="0" w:firstLine="66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7273.77</w:t>
      </w:r>
      <w:r>
        <w:rPr>
          <w:rFonts w:hint="eastAsia" w:ascii="仿宋_GB2312" w:hAnsi="宋体" w:eastAsia="仿宋_GB2312"/>
          <w:sz w:val="32"/>
          <w:szCs w:val="32"/>
          <w:highlight w:val="none"/>
        </w:rPr>
        <w:t>万元；</w:t>
      </w:r>
    </w:p>
    <w:p w14:paraId="307E6B24">
      <w:pPr>
        <w:keepNext w:val="0"/>
        <w:keepLines w:val="0"/>
        <w:pageBreakBefore w:val="0"/>
        <w:widowControl w:val="0"/>
        <w:kinsoku/>
        <w:wordWrap/>
        <w:overflowPunct/>
        <w:topLinePunct w:val="0"/>
        <w:autoSpaceDN/>
        <w:bidi w:val="0"/>
        <w:adjustRightInd/>
        <w:snapToGrid/>
        <w:spacing w:line="360" w:lineRule="auto"/>
        <w:ind w:left="0" w:leftChars="0" w:firstLine="660"/>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09D5276A">
      <w:pPr>
        <w:keepNext w:val="0"/>
        <w:keepLines w:val="0"/>
        <w:pageBreakBefore w:val="0"/>
        <w:widowControl w:val="0"/>
        <w:kinsoku/>
        <w:wordWrap/>
        <w:overflowPunct/>
        <w:topLinePunct w:val="0"/>
        <w:autoSpaceDN/>
        <w:bidi w:val="0"/>
        <w:adjustRightInd/>
        <w:snapToGrid/>
        <w:spacing w:line="360" w:lineRule="auto"/>
        <w:ind w:left="0" w:leftChars="0" w:firstLine="655" w:firstLineChars="203"/>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F2DFAA0">
      <w:pPr>
        <w:keepNext w:val="0"/>
        <w:keepLines w:val="0"/>
        <w:pageBreakBefore w:val="0"/>
        <w:widowControl w:val="0"/>
        <w:kinsoku/>
        <w:wordWrap/>
        <w:overflowPunct/>
        <w:topLinePunct w:val="0"/>
        <w:autoSpaceDN/>
        <w:bidi w:val="0"/>
        <w:adjustRightInd/>
        <w:snapToGrid/>
        <w:spacing w:line="360" w:lineRule="auto"/>
        <w:ind w:left="0" w:leftChars="0" w:firstLine="655" w:firstLineChars="203"/>
        <w:textAlignment w:val="auto"/>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BF31357">
      <w:pPr>
        <w:keepNext w:val="0"/>
        <w:keepLines w:val="0"/>
        <w:pageBreakBefore w:val="0"/>
        <w:widowControl w:val="0"/>
        <w:kinsoku/>
        <w:wordWrap/>
        <w:overflowPunct/>
        <w:topLinePunct w:val="0"/>
        <w:autoSpaceDN/>
        <w:bidi w:val="0"/>
        <w:adjustRightInd/>
        <w:snapToGrid/>
        <w:spacing w:line="360" w:lineRule="auto"/>
        <w:ind w:left="0" w:leftChars="0" w:firstLine="646" w:firstLineChars="200"/>
        <w:textAlignment w:val="auto"/>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w:t>
      </w:r>
    </w:p>
    <w:p w14:paraId="40362897">
      <w:pPr>
        <w:keepNext w:val="0"/>
        <w:keepLines w:val="0"/>
        <w:pageBreakBefore w:val="0"/>
        <w:widowControl w:val="0"/>
        <w:kinsoku/>
        <w:wordWrap/>
        <w:overflowPunct/>
        <w:topLinePunct w:val="0"/>
        <w:autoSpaceDN/>
        <w:bidi w:val="0"/>
        <w:adjustRightInd/>
        <w:snapToGrid/>
        <w:spacing w:line="360" w:lineRule="auto"/>
        <w:ind w:left="0" w:leftChars="0" w:firstLine="646" w:firstLineChars="200"/>
        <w:textAlignment w:val="auto"/>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hAnsi="仿宋_GB2312" w:eastAsia="仿宋_GB2312" w:cs="仿宋_GB2312"/>
          <w:sz w:val="32"/>
          <w:szCs w:val="32"/>
          <w:highlight w:val="none"/>
        </w:rPr>
        <w:t>。</w:t>
      </w:r>
    </w:p>
    <w:p w14:paraId="4702001C">
      <w:pPr>
        <w:keepNext w:val="0"/>
        <w:keepLines w:val="0"/>
        <w:pageBreakBefore w:val="0"/>
        <w:widowControl w:val="0"/>
        <w:kinsoku/>
        <w:wordWrap/>
        <w:overflowPunct/>
        <w:topLinePunct w:val="0"/>
        <w:autoSpaceDN/>
        <w:bidi w:val="0"/>
        <w:adjustRightInd/>
        <w:snapToGrid/>
        <w:spacing w:line="360" w:lineRule="auto"/>
        <w:ind w:left="0" w:leftChars="0" w:firstLine="655" w:firstLineChars="203"/>
        <w:textAlignment w:val="auto"/>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7273.77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482BAC65">
      <w:pPr>
        <w:keepNext w:val="0"/>
        <w:keepLines w:val="0"/>
        <w:pageBreakBefore w:val="0"/>
        <w:widowControl w:val="0"/>
        <w:kinsoku/>
        <w:wordWrap/>
        <w:overflowPunct/>
        <w:topLinePunct w:val="0"/>
        <w:autoSpaceDE w:val="0"/>
        <w:autoSpaceDN/>
        <w:bidi w:val="0"/>
        <w:adjustRightInd/>
        <w:snapToGrid/>
        <w:spacing w:line="360" w:lineRule="auto"/>
        <w:ind w:left="0" w:leftChars="0" w:firstLine="646" w:firstLineChars="200"/>
        <w:textAlignment w:val="auto"/>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6986.27</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4E9A173C">
      <w:pPr>
        <w:keepNext w:val="0"/>
        <w:keepLines w:val="0"/>
        <w:pageBreakBefore w:val="0"/>
        <w:widowControl w:val="0"/>
        <w:kinsoku/>
        <w:wordWrap/>
        <w:overflowPunct/>
        <w:topLinePunct w:val="0"/>
        <w:autoSpaceDE w:val="0"/>
        <w:autoSpaceDN/>
        <w:bidi w:val="0"/>
        <w:adjustRightInd/>
        <w:snapToGrid/>
        <w:spacing w:line="360" w:lineRule="auto"/>
        <w:ind w:left="0" w:leftChars="0" w:firstLine="646" w:firstLineChars="200"/>
        <w:textAlignment w:val="auto"/>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287.50</w:t>
      </w:r>
      <w:r>
        <w:rPr>
          <w:rFonts w:hint="eastAsia" w:ascii="仿宋_GB2312" w:eastAsia="仿宋_GB2312"/>
          <w:sz w:val="32"/>
          <w:szCs w:val="32"/>
          <w:highlight w:val="none"/>
        </w:rPr>
        <w:t>万元。</w:t>
      </w:r>
    </w:p>
    <w:p w14:paraId="30604DE4">
      <w:pPr>
        <w:keepNext w:val="0"/>
        <w:keepLines w:val="0"/>
        <w:pageBreakBefore w:val="0"/>
        <w:widowControl w:val="0"/>
        <w:kinsoku/>
        <w:wordWrap/>
        <w:overflowPunct/>
        <w:topLinePunct w:val="0"/>
        <w:autoSpaceDN/>
        <w:bidi w:val="0"/>
        <w:adjustRightInd/>
        <w:snapToGrid/>
        <w:spacing w:line="360" w:lineRule="auto"/>
        <w:ind w:left="0" w:leftChars="0" w:firstLine="646" w:firstLineChars="200"/>
        <w:jc w:val="distribute"/>
        <w:textAlignment w:val="auto"/>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552CD715">
      <w:pPr>
        <w:keepNext w:val="0"/>
        <w:keepLines w:val="0"/>
        <w:pageBreakBefore w:val="0"/>
        <w:widowControl w:val="0"/>
        <w:kinsoku/>
        <w:wordWrap/>
        <w:overflowPunct/>
        <w:topLinePunct w:val="0"/>
        <w:autoSpaceDN/>
        <w:bidi w:val="0"/>
        <w:adjustRightInd/>
        <w:snapToGrid/>
        <w:spacing w:line="360" w:lineRule="auto"/>
        <w:ind w:left="0" w:leftChars="0"/>
        <w:textAlignment w:val="auto"/>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285</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7</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287.5</w:t>
      </w:r>
      <w:r>
        <w:rPr>
          <w:rFonts w:hint="eastAsia" w:ascii="仿宋_GB2312" w:eastAsia="仿宋_GB2312" w:cs="仿宋_GB2312"/>
          <w:sz w:val="32"/>
          <w:szCs w:val="32"/>
          <w:highlight w:val="none"/>
        </w:rPr>
        <w:t xml:space="preserve">万元。 </w:t>
      </w:r>
    </w:p>
    <w:p w14:paraId="0D92DBBB">
      <w:pPr>
        <w:keepNext w:val="0"/>
        <w:keepLines w:val="0"/>
        <w:pageBreakBefore w:val="0"/>
        <w:widowControl w:val="0"/>
        <w:kinsoku/>
        <w:wordWrap/>
        <w:overflowPunct/>
        <w:topLinePunct w:val="0"/>
        <w:autoSpaceDN/>
        <w:bidi w:val="0"/>
        <w:adjustRightInd/>
        <w:snapToGrid/>
        <w:spacing w:line="360" w:lineRule="auto"/>
        <w:ind w:left="0" w:leftChars="0" w:firstLine="646" w:firstLineChars="200"/>
        <w:textAlignment w:val="auto"/>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w:t>
      </w:r>
      <w:r>
        <w:rPr>
          <w:rFonts w:hint="eastAsia" w:ascii="黑体" w:hAnsi="黑体" w:eastAsia="黑体"/>
          <w:sz w:val="32"/>
          <w:szCs w:val="32"/>
          <w:highlight w:val="none"/>
          <w:lang w:eastAsia="zh-CN"/>
        </w:rPr>
        <w:t>增加</w:t>
      </w:r>
      <w:r>
        <w:rPr>
          <w:rFonts w:hint="eastAsia" w:ascii="黑体" w:hAnsi="黑体" w:eastAsia="黑体"/>
          <w:sz w:val="32"/>
          <w:szCs w:val="32"/>
          <w:highlight w:val="none"/>
          <w:lang w:val="en-US" w:eastAsia="zh-CN"/>
        </w:rPr>
        <w:t>832.58</w:t>
      </w:r>
      <w:r>
        <w:rPr>
          <w:rFonts w:hint="eastAsia" w:ascii="黑体" w:hAnsi="黑体" w:eastAsia="黑体"/>
          <w:sz w:val="32"/>
          <w:szCs w:val="32"/>
          <w:highlight w:val="none"/>
        </w:rPr>
        <w:t>万元，增</w:t>
      </w:r>
      <w:r>
        <w:rPr>
          <w:rFonts w:hint="eastAsia" w:ascii="黑体" w:hAnsi="黑体" w:eastAsia="黑体"/>
          <w:sz w:val="32"/>
          <w:szCs w:val="32"/>
          <w:highlight w:val="none"/>
          <w:lang w:eastAsia="zh-CN"/>
        </w:rPr>
        <w:t>加</w:t>
      </w:r>
      <w:r>
        <w:rPr>
          <w:rFonts w:hint="eastAsia" w:ascii="黑体" w:hAnsi="黑体" w:eastAsia="黑体"/>
          <w:sz w:val="32"/>
          <w:szCs w:val="32"/>
          <w:highlight w:val="none"/>
        </w:rPr>
        <w:t>的主要原因为</w:t>
      </w:r>
      <w:r>
        <w:rPr>
          <w:rFonts w:hint="eastAsia" w:ascii="黑体" w:hAnsi="黑体" w:eastAsia="黑体"/>
          <w:sz w:val="32"/>
          <w:szCs w:val="32"/>
          <w:highlight w:val="none"/>
          <w:lang w:eastAsia="zh-CN"/>
        </w:rPr>
        <w:t>人员增加，</w:t>
      </w:r>
      <w:r>
        <w:rPr>
          <w:rFonts w:hint="eastAsia" w:ascii="黑体" w:hAnsi="黑体" w:eastAsia="黑体" w:cs="黑体"/>
          <w:sz w:val="32"/>
          <w:lang w:eastAsia="zh-CN"/>
        </w:rPr>
        <w:t>工资福利支出增加</w:t>
      </w:r>
      <w:r>
        <w:rPr>
          <w:rFonts w:hint="eastAsia" w:ascii="黑体" w:hAnsi="黑体" w:eastAsia="黑体" w:cs="黑体"/>
          <w:sz w:val="32"/>
          <w:szCs w:val="32"/>
          <w:highlight w:val="none"/>
        </w:rPr>
        <w:t>。</w:t>
      </w:r>
    </w:p>
    <w:p w14:paraId="07D2673B">
      <w:pPr>
        <w:keepNext w:val="0"/>
        <w:keepLines w:val="0"/>
        <w:pageBreakBefore w:val="0"/>
        <w:widowControl w:val="0"/>
        <w:kinsoku/>
        <w:wordWrap/>
        <w:overflowPunct/>
        <w:topLinePunct w:val="0"/>
        <w:autoSpaceDN/>
        <w:bidi w:val="0"/>
        <w:adjustRightInd/>
        <w:snapToGrid/>
        <w:spacing w:line="360" w:lineRule="auto"/>
        <w:ind w:left="0" w:leftChars="0" w:firstLine="646" w:firstLineChars="200"/>
        <w:textAlignment w:val="auto"/>
        <w:rPr>
          <w:rFonts w:ascii="黑体" w:hAnsi="黑体" w:eastAsia="黑体"/>
          <w:sz w:val="32"/>
          <w:szCs w:val="32"/>
        </w:rPr>
      </w:pPr>
      <w:r>
        <w:rPr>
          <w:rFonts w:hint="eastAsia" w:ascii="黑体" w:hAnsi="黑体" w:eastAsia="黑体"/>
          <w:sz w:val="32"/>
          <w:szCs w:val="32"/>
        </w:rPr>
        <w:t>二、部门管理专项资金情况</w:t>
      </w:r>
    </w:p>
    <w:p w14:paraId="70952CAC">
      <w:pPr>
        <w:keepNext w:val="0"/>
        <w:keepLines w:val="0"/>
        <w:pageBreakBefore w:val="0"/>
        <w:widowControl w:val="0"/>
        <w:kinsoku/>
        <w:wordWrap/>
        <w:overflowPunct/>
        <w:topLinePunct w:val="0"/>
        <w:autoSpaceDN/>
        <w:bidi w:val="0"/>
        <w:adjustRightInd/>
        <w:snapToGrid/>
        <w:spacing w:line="360" w:lineRule="auto"/>
        <w:ind w:left="0" w:leftChars="0" w:firstLine="646"/>
        <w:textAlignment w:val="auto"/>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盘锦市城市管理综合行政执法局部门</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02769027">
      <w:pPr>
        <w:keepNext w:val="0"/>
        <w:keepLines w:val="0"/>
        <w:pageBreakBefore w:val="0"/>
        <w:widowControl w:val="0"/>
        <w:kinsoku/>
        <w:wordWrap/>
        <w:overflowPunct/>
        <w:topLinePunct w:val="0"/>
        <w:autoSpaceDN/>
        <w:bidi w:val="0"/>
        <w:adjustRightInd/>
        <w:snapToGrid/>
        <w:spacing w:line="360" w:lineRule="auto"/>
        <w:ind w:left="0" w:leftChars="0" w:firstLine="645"/>
        <w:textAlignment w:val="auto"/>
        <w:rPr>
          <w:rFonts w:ascii="黑体" w:hAnsi="宋体" w:eastAsia="黑体"/>
          <w:sz w:val="32"/>
          <w:szCs w:val="32"/>
        </w:rPr>
      </w:pPr>
      <w:r>
        <w:rPr>
          <w:rFonts w:hint="eastAsia" w:ascii="黑体" w:hAnsi="宋体" w:eastAsia="黑体"/>
          <w:sz w:val="32"/>
          <w:szCs w:val="32"/>
        </w:rPr>
        <w:t>三、机关运行经费安排情况</w:t>
      </w:r>
    </w:p>
    <w:p w14:paraId="04A2E6D4">
      <w:pPr>
        <w:keepNext w:val="0"/>
        <w:keepLines w:val="0"/>
        <w:pageBreakBefore w:val="0"/>
        <w:widowControl w:val="0"/>
        <w:kinsoku/>
        <w:wordWrap/>
        <w:overflowPunct/>
        <w:topLinePunct w:val="0"/>
        <w:autoSpaceDN/>
        <w:bidi w:val="0"/>
        <w:adjustRightInd/>
        <w:snapToGrid/>
        <w:spacing w:line="360" w:lineRule="auto"/>
        <w:ind w:left="0" w:leftChars="0" w:firstLine="645"/>
        <w:textAlignment w:val="auto"/>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盘锦市城市管理综合行政执法局</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44.57</w:t>
      </w:r>
      <w:r>
        <w:rPr>
          <w:rFonts w:hint="eastAsia" w:ascii="仿宋_GB2312" w:hAnsi="宋体" w:eastAsia="仿宋_GB2312"/>
          <w:sz w:val="32"/>
          <w:szCs w:val="32"/>
        </w:rPr>
        <w:t>万元，</w:t>
      </w:r>
      <w:r>
        <w:rPr>
          <w:rFonts w:hint="eastAsia" w:ascii="仿宋_GB2312" w:hAnsi="仿宋_GB2312" w:eastAsia="仿宋_GB2312" w:cs="仿宋_GB2312"/>
          <w:sz w:val="32"/>
        </w:rPr>
        <w:t>主要包括：办公费</w:t>
      </w:r>
      <w:r>
        <w:rPr>
          <w:rFonts w:hint="eastAsia" w:ascii="仿宋_GB2312" w:hAnsi="仿宋_GB2312" w:eastAsia="仿宋_GB2312" w:cs="仿宋_GB2312"/>
          <w:sz w:val="32"/>
          <w:lang w:val="en-US" w:eastAsia="zh-CN"/>
        </w:rPr>
        <w:t>4.28</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水费</w:t>
      </w:r>
      <w:r>
        <w:rPr>
          <w:rFonts w:hint="eastAsia" w:ascii="仿宋_GB2312" w:hAnsi="仿宋_GB2312" w:eastAsia="仿宋_GB2312" w:cs="仿宋_GB2312"/>
          <w:sz w:val="32"/>
          <w:lang w:val="en-US" w:eastAsia="zh-CN"/>
        </w:rPr>
        <w:t>1.5万元、电费15万元、</w:t>
      </w:r>
      <w:r>
        <w:rPr>
          <w:rFonts w:hint="eastAsia" w:ascii="仿宋_GB2312" w:hAnsi="仿宋_GB2312" w:eastAsia="仿宋_GB2312" w:cs="仿宋_GB2312"/>
          <w:sz w:val="32"/>
        </w:rPr>
        <w:t>邮电费</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万元</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取暖费10.17万元、</w:t>
      </w:r>
      <w:r>
        <w:rPr>
          <w:rFonts w:hint="eastAsia" w:ascii="仿宋_GB2312" w:hAnsi="仿宋_GB2312" w:eastAsia="仿宋_GB2312" w:cs="仿宋_GB2312"/>
          <w:sz w:val="32"/>
        </w:rPr>
        <w:t>差旅费</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委托业务费0.9万元、</w:t>
      </w:r>
      <w:r>
        <w:rPr>
          <w:rFonts w:hint="eastAsia" w:ascii="仿宋_GB2312" w:hAnsi="仿宋_GB2312" w:eastAsia="仿宋_GB2312" w:cs="仿宋_GB2312"/>
          <w:sz w:val="32"/>
        </w:rPr>
        <w:t>工会经费</w:t>
      </w:r>
      <w:r>
        <w:rPr>
          <w:rFonts w:hint="eastAsia" w:ascii="仿宋_GB2312" w:hAnsi="仿宋_GB2312" w:eastAsia="仿宋_GB2312" w:cs="仿宋_GB2312"/>
          <w:sz w:val="32"/>
          <w:lang w:val="en-US" w:eastAsia="zh-CN"/>
        </w:rPr>
        <w:t>2.63</w:t>
      </w:r>
      <w:r>
        <w:rPr>
          <w:rFonts w:hint="eastAsia" w:ascii="仿宋_GB2312" w:hAnsi="仿宋_GB2312" w:eastAsia="仿宋_GB2312" w:cs="仿宋_GB2312"/>
          <w:sz w:val="32"/>
        </w:rPr>
        <w:t>万元、</w:t>
      </w:r>
      <w:r>
        <w:rPr>
          <w:rFonts w:hint="eastAsia" w:ascii="仿宋_GB2312" w:hAnsi="仿宋_GB2312" w:eastAsia="仿宋_GB2312" w:cs="仿宋_GB2312"/>
          <w:sz w:val="32"/>
          <w:lang w:val="en-US" w:eastAsia="zh-CN"/>
        </w:rPr>
        <w:t>公务用车运行维护费4.5万元、其他商品和服务支出1.59万元</w:t>
      </w:r>
      <w:r>
        <w:rPr>
          <w:rFonts w:hint="eastAsia" w:ascii="仿宋_GB2312" w:hAnsi="仿宋_GB2312" w:eastAsia="仿宋_GB2312" w:cs="仿宋_GB2312"/>
          <w:sz w:val="32"/>
        </w:rPr>
        <w:t>。</w:t>
      </w:r>
    </w:p>
    <w:p w14:paraId="38EDE222">
      <w:pPr>
        <w:keepNext w:val="0"/>
        <w:keepLines w:val="0"/>
        <w:pageBreakBefore w:val="0"/>
        <w:widowControl w:val="0"/>
        <w:kinsoku/>
        <w:wordWrap/>
        <w:overflowPunct/>
        <w:topLinePunct w:val="0"/>
        <w:autoSpaceDN/>
        <w:bidi w:val="0"/>
        <w:adjustRightInd/>
        <w:snapToGrid/>
        <w:spacing w:line="360" w:lineRule="auto"/>
        <w:ind w:left="0" w:leftChars="0" w:firstLine="660"/>
        <w:textAlignment w:val="auto"/>
        <w:rPr>
          <w:rFonts w:ascii="黑体" w:hAnsi="黑体" w:eastAsia="黑体"/>
          <w:sz w:val="32"/>
          <w:szCs w:val="32"/>
        </w:rPr>
      </w:pPr>
      <w:r>
        <w:rPr>
          <w:rFonts w:hint="eastAsia" w:ascii="黑体" w:hAnsi="黑体" w:eastAsia="黑体"/>
          <w:sz w:val="32"/>
          <w:szCs w:val="32"/>
        </w:rPr>
        <w:t>四、政府采购情况</w:t>
      </w:r>
    </w:p>
    <w:p w14:paraId="0A0BB9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2025年盘锦市城市管理综合行政执法局部门安排政府采购预算285万元，具体为货物285万元，服务0万元，工程0万元；预留面向中小企业采购份额0万元，其中预留给小微企业0万元。</w:t>
      </w:r>
    </w:p>
    <w:p w14:paraId="0061E509">
      <w:pPr>
        <w:keepNext w:val="0"/>
        <w:keepLines w:val="0"/>
        <w:pageBreakBefore w:val="0"/>
        <w:widowControl w:val="0"/>
        <w:kinsoku/>
        <w:wordWrap/>
        <w:overflowPunct/>
        <w:topLinePunct w:val="0"/>
        <w:autoSpaceDN/>
        <w:bidi w:val="0"/>
        <w:adjustRightInd/>
        <w:snapToGrid/>
        <w:spacing w:line="360" w:lineRule="auto"/>
        <w:ind w:left="0" w:leftChars="0" w:firstLine="660"/>
        <w:textAlignment w:val="auto"/>
        <w:rPr>
          <w:rFonts w:ascii="黑体" w:hAnsi="黑体" w:eastAsia="黑体"/>
          <w:sz w:val="32"/>
          <w:szCs w:val="32"/>
        </w:rPr>
      </w:pPr>
      <w:r>
        <w:rPr>
          <w:rFonts w:hint="eastAsia" w:ascii="黑体" w:hAnsi="黑体" w:eastAsia="黑体"/>
          <w:sz w:val="32"/>
          <w:szCs w:val="32"/>
        </w:rPr>
        <w:t>五、“三公”经费预算情况</w:t>
      </w:r>
    </w:p>
    <w:p w14:paraId="2F115A8E">
      <w:pPr>
        <w:keepNext w:val="0"/>
        <w:keepLines w:val="0"/>
        <w:pageBreakBefore w:val="0"/>
        <w:widowControl w:val="0"/>
        <w:kinsoku/>
        <w:wordWrap/>
        <w:overflowPunct/>
        <w:topLinePunct w:val="0"/>
        <w:autoSpaceDN/>
        <w:bidi w:val="0"/>
        <w:adjustRightInd/>
        <w:snapToGrid/>
        <w:spacing w:line="360" w:lineRule="auto"/>
        <w:ind w:left="0" w:leftChars="0" w:firstLine="660"/>
        <w:textAlignment w:val="auto"/>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hAnsi="仿宋_GB2312" w:eastAsia="仿宋_GB2312" w:cs="仿宋_GB2312"/>
          <w:sz w:val="32"/>
          <w:szCs w:val="32"/>
          <w:lang w:val="en-US" w:eastAsia="zh-CN"/>
        </w:rPr>
        <w:t>盘锦市城市管理综合行政执法局部门</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268.5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36</w:t>
      </w:r>
      <w:r>
        <w:rPr>
          <w:rFonts w:hint="eastAsia" w:ascii="仿宋_GB2312" w:eastAsia="仿宋_GB2312"/>
          <w:sz w:val="32"/>
          <w:szCs w:val="32"/>
        </w:rPr>
        <w:t>万元，增长</w:t>
      </w:r>
      <w:r>
        <w:rPr>
          <w:rFonts w:hint="eastAsia" w:ascii="仿宋_GB2312" w:eastAsia="仿宋_GB2312"/>
          <w:sz w:val="32"/>
          <w:szCs w:val="32"/>
          <w:lang w:val="en-US" w:eastAsia="zh-CN"/>
        </w:rPr>
        <w:t>15.5</w:t>
      </w:r>
      <w:r>
        <w:rPr>
          <w:rFonts w:hint="eastAsia" w:ascii="仿宋_GB2312" w:eastAsia="仿宋_GB2312"/>
          <w:sz w:val="32"/>
          <w:szCs w:val="32"/>
        </w:rPr>
        <w:t>%。其中：</w:t>
      </w:r>
    </w:p>
    <w:p w14:paraId="305759CB">
      <w:pPr>
        <w:keepNext w:val="0"/>
        <w:keepLines w:val="0"/>
        <w:pageBreakBefore w:val="0"/>
        <w:widowControl w:val="0"/>
        <w:kinsoku/>
        <w:wordWrap/>
        <w:overflowPunct/>
        <w:topLinePunct w:val="0"/>
        <w:autoSpaceDN/>
        <w:bidi w:val="0"/>
        <w:adjustRightInd/>
        <w:snapToGrid/>
        <w:spacing w:line="360" w:lineRule="auto"/>
        <w:ind w:left="0" w:leftChars="0" w:firstLine="660"/>
        <w:textAlignment w:val="auto"/>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088A13B6">
      <w:pPr>
        <w:keepNext w:val="0"/>
        <w:keepLines w:val="0"/>
        <w:pageBreakBefore w:val="0"/>
        <w:widowControl w:val="0"/>
        <w:kinsoku/>
        <w:wordWrap/>
        <w:overflowPunct/>
        <w:topLinePunct w:val="0"/>
        <w:autoSpaceDN/>
        <w:bidi w:val="0"/>
        <w:adjustRightInd/>
        <w:snapToGrid/>
        <w:spacing w:line="360" w:lineRule="auto"/>
        <w:ind w:left="0" w:leftChars="0" w:firstLine="660"/>
        <w:textAlignment w:val="auto"/>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w:t>
      </w:r>
    </w:p>
    <w:p w14:paraId="2E0A6379">
      <w:pPr>
        <w:keepNext w:val="0"/>
        <w:keepLines w:val="0"/>
        <w:pageBreakBefore w:val="0"/>
        <w:widowControl w:val="0"/>
        <w:kinsoku/>
        <w:wordWrap/>
        <w:overflowPunct/>
        <w:topLinePunct w:val="0"/>
        <w:autoSpaceDN/>
        <w:bidi w:val="0"/>
        <w:adjustRightInd/>
        <w:snapToGrid/>
        <w:spacing w:line="360" w:lineRule="auto"/>
        <w:ind w:left="0" w:leftChars="0" w:firstLine="660"/>
        <w:textAlignment w:val="auto"/>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268.5</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，与上年持平</w:t>
      </w:r>
      <w:r>
        <w:rPr>
          <w:rFonts w:hint="eastAsia" w:ascii="仿宋_GB2312" w:eastAsia="仿宋_GB2312"/>
          <w:sz w:val="32"/>
          <w:szCs w:val="32"/>
        </w:rPr>
        <w:t>；公务用车运行费</w:t>
      </w:r>
      <w:r>
        <w:rPr>
          <w:rFonts w:hint="eastAsia" w:ascii="仿宋_GB2312" w:eastAsia="仿宋_GB2312"/>
          <w:sz w:val="32"/>
          <w:szCs w:val="32"/>
          <w:lang w:val="en-US" w:eastAsia="zh-CN"/>
        </w:rPr>
        <w:t>268.5</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年增加</w:t>
      </w:r>
      <w:r>
        <w:rPr>
          <w:rFonts w:hint="eastAsia" w:ascii="仿宋_GB2312" w:eastAsia="仿宋_GB2312"/>
          <w:sz w:val="32"/>
          <w:szCs w:val="32"/>
          <w:lang w:val="en-US" w:eastAsia="zh-CN"/>
        </w:rPr>
        <w:t>36</w:t>
      </w:r>
      <w:r>
        <w:rPr>
          <w:rFonts w:hint="eastAsia" w:ascii="仿宋_GB2312" w:eastAsia="仿宋_GB2312"/>
          <w:sz w:val="32"/>
          <w:szCs w:val="32"/>
        </w:rPr>
        <w:t>万元，增长</w:t>
      </w:r>
      <w:r>
        <w:rPr>
          <w:rFonts w:hint="eastAsia" w:ascii="仿宋_GB2312" w:eastAsia="仿宋_GB2312"/>
          <w:sz w:val="32"/>
          <w:szCs w:val="32"/>
          <w:lang w:val="en-US" w:eastAsia="zh-CN"/>
        </w:rPr>
        <w:t>15.5</w:t>
      </w:r>
      <w:r>
        <w:rPr>
          <w:rFonts w:hint="eastAsia" w:ascii="仿宋_GB2312" w:eastAsia="仿宋_GB2312"/>
          <w:sz w:val="32"/>
          <w:szCs w:val="32"/>
        </w:rPr>
        <w:t>%，主要原因是</w:t>
      </w:r>
      <w:r>
        <w:rPr>
          <w:rFonts w:hint="eastAsia" w:ascii="仿宋_GB2312" w:eastAsia="仿宋_GB2312"/>
          <w:sz w:val="32"/>
          <w:szCs w:val="32"/>
          <w:lang w:eastAsia="zh-CN"/>
        </w:rPr>
        <w:t>新增调拨</w:t>
      </w:r>
      <w:r>
        <w:rPr>
          <w:rFonts w:hint="eastAsia" w:ascii="仿宋_GB2312" w:eastAsia="仿宋_GB2312"/>
          <w:sz w:val="32"/>
          <w:szCs w:val="32"/>
          <w:lang w:val="en-US" w:eastAsia="zh-CN"/>
        </w:rPr>
        <w:t>9台车辆</w:t>
      </w:r>
      <w:r>
        <w:rPr>
          <w:rFonts w:hint="eastAsia" w:ascii="仿宋_GB2312" w:eastAsia="仿宋_GB2312"/>
          <w:sz w:val="32"/>
          <w:szCs w:val="32"/>
          <w:lang w:eastAsia="zh-CN"/>
        </w:rPr>
        <w:t>）</w:t>
      </w:r>
      <w:r>
        <w:rPr>
          <w:rFonts w:hint="eastAsia" w:ascii="仿宋_GB2312" w:eastAsia="仿宋_GB2312"/>
          <w:sz w:val="32"/>
          <w:szCs w:val="32"/>
        </w:rPr>
        <w:t>。</w:t>
      </w:r>
    </w:p>
    <w:tbl>
      <w:tblPr>
        <w:tblStyle w:val="6"/>
        <w:tblW w:w="8835" w:type="dxa"/>
        <w:jc w:val="center"/>
        <w:tblLayout w:type="fixed"/>
        <w:tblCellMar>
          <w:top w:w="15" w:type="dxa"/>
          <w:left w:w="108" w:type="dxa"/>
          <w:bottom w:w="15" w:type="dxa"/>
          <w:right w:w="108" w:type="dxa"/>
        </w:tblCellMar>
      </w:tblPr>
      <w:tblGrid>
        <w:gridCol w:w="3423"/>
        <w:gridCol w:w="2026"/>
        <w:gridCol w:w="803"/>
        <w:gridCol w:w="2583"/>
      </w:tblGrid>
      <w:tr w14:paraId="58D1547D">
        <w:tblPrEx>
          <w:tblCellMar>
            <w:top w:w="15" w:type="dxa"/>
            <w:left w:w="108" w:type="dxa"/>
            <w:bottom w:w="15" w:type="dxa"/>
            <w:right w:w="108" w:type="dxa"/>
          </w:tblCellMar>
        </w:tblPrEx>
        <w:trPr>
          <w:trHeight w:val="570" w:hRule="atLeast"/>
          <w:jc w:val="center"/>
        </w:trPr>
        <w:tc>
          <w:tcPr>
            <w:tcW w:w="8835" w:type="dxa"/>
            <w:gridSpan w:val="4"/>
            <w:vAlign w:val="center"/>
          </w:tcPr>
          <w:p w14:paraId="32F290A0">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5172ACAC">
        <w:tblPrEx>
          <w:tblCellMar>
            <w:top w:w="15" w:type="dxa"/>
            <w:left w:w="108" w:type="dxa"/>
            <w:bottom w:w="15" w:type="dxa"/>
            <w:right w:w="108" w:type="dxa"/>
          </w:tblCellMar>
        </w:tblPrEx>
        <w:trPr>
          <w:trHeight w:val="480" w:hRule="atLeast"/>
          <w:jc w:val="center"/>
        </w:trPr>
        <w:tc>
          <w:tcPr>
            <w:tcW w:w="3423" w:type="dxa"/>
            <w:vAlign w:val="center"/>
          </w:tcPr>
          <w:p w14:paraId="4898F79A">
            <w:pPr>
              <w:widowControl/>
              <w:spacing w:line="560" w:lineRule="exact"/>
              <w:jc w:val="left"/>
              <w:rPr>
                <w:rFonts w:ascii="宋体" w:hAnsi="宋体" w:cs="宋体"/>
                <w:color w:val="000000"/>
                <w:kern w:val="0"/>
                <w:sz w:val="24"/>
              </w:rPr>
            </w:pPr>
          </w:p>
        </w:tc>
        <w:tc>
          <w:tcPr>
            <w:tcW w:w="2026" w:type="dxa"/>
            <w:vAlign w:val="center"/>
          </w:tcPr>
          <w:p w14:paraId="5CEC744D">
            <w:pPr>
              <w:widowControl/>
              <w:spacing w:line="560" w:lineRule="exact"/>
              <w:jc w:val="left"/>
              <w:rPr>
                <w:rFonts w:ascii="宋体" w:hAnsi="宋体" w:cs="宋体"/>
                <w:color w:val="000000"/>
                <w:kern w:val="0"/>
                <w:sz w:val="24"/>
              </w:rPr>
            </w:pPr>
          </w:p>
        </w:tc>
        <w:tc>
          <w:tcPr>
            <w:tcW w:w="3386" w:type="dxa"/>
            <w:gridSpan w:val="2"/>
            <w:vAlign w:val="center"/>
          </w:tcPr>
          <w:p w14:paraId="700B0BE2">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7AE1FD7D">
        <w:tblPrEx>
          <w:tblCellMar>
            <w:top w:w="15" w:type="dxa"/>
            <w:left w:w="108" w:type="dxa"/>
            <w:bottom w:w="15" w:type="dxa"/>
            <w:right w:w="108" w:type="dxa"/>
          </w:tblCellMar>
        </w:tblPrEx>
        <w:trPr>
          <w:trHeight w:val="420" w:hRule="atLeast"/>
          <w:jc w:val="center"/>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0CAB1D9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62954C8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2B6FC216">
        <w:tblPrEx>
          <w:tblCellMar>
            <w:top w:w="15" w:type="dxa"/>
            <w:left w:w="108" w:type="dxa"/>
            <w:bottom w:w="15" w:type="dxa"/>
            <w:right w:w="108" w:type="dxa"/>
          </w:tblCellMar>
        </w:tblPrEx>
        <w:trPr>
          <w:trHeight w:val="420" w:hRule="atLeast"/>
          <w:jc w:val="center"/>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6210F1CC">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723129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07E2204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472BCEE9">
        <w:tblPrEx>
          <w:tblCellMar>
            <w:top w:w="15" w:type="dxa"/>
            <w:left w:w="108" w:type="dxa"/>
            <w:bottom w:w="15" w:type="dxa"/>
            <w:right w:w="108" w:type="dxa"/>
          </w:tblCellMar>
        </w:tblPrEx>
        <w:trPr>
          <w:trHeight w:val="420" w:hRule="atLeast"/>
          <w:jc w:val="center"/>
        </w:trPr>
        <w:tc>
          <w:tcPr>
            <w:tcW w:w="3423" w:type="dxa"/>
            <w:tcBorders>
              <w:top w:val="single" w:color="000000" w:sz="4" w:space="0"/>
              <w:left w:val="single" w:color="000000" w:sz="4" w:space="0"/>
              <w:bottom w:val="single" w:color="000000" w:sz="4" w:space="0"/>
              <w:right w:val="single" w:color="000000" w:sz="4" w:space="0"/>
            </w:tcBorders>
            <w:vAlign w:val="center"/>
          </w:tcPr>
          <w:p w14:paraId="26F964E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BC94B3B">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232.5</w:t>
            </w:r>
          </w:p>
        </w:tc>
        <w:tc>
          <w:tcPr>
            <w:tcW w:w="2583" w:type="dxa"/>
            <w:tcBorders>
              <w:top w:val="single" w:color="000000" w:sz="4" w:space="0"/>
              <w:left w:val="single" w:color="000000" w:sz="4" w:space="0"/>
              <w:bottom w:val="single" w:color="000000" w:sz="4" w:space="0"/>
              <w:right w:val="single" w:color="000000" w:sz="4" w:space="0"/>
            </w:tcBorders>
            <w:vAlign w:val="center"/>
          </w:tcPr>
          <w:p w14:paraId="091186E3">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268.5</w:t>
            </w:r>
          </w:p>
        </w:tc>
      </w:tr>
      <w:tr w14:paraId="6C4A1227">
        <w:tblPrEx>
          <w:tblCellMar>
            <w:top w:w="15" w:type="dxa"/>
            <w:left w:w="108" w:type="dxa"/>
            <w:bottom w:w="15" w:type="dxa"/>
            <w:right w:w="108" w:type="dxa"/>
          </w:tblCellMar>
        </w:tblPrEx>
        <w:trPr>
          <w:trHeight w:val="420" w:hRule="atLeast"/>
          <w:jc w:val="center"/>
        </w:trPr>
        <w:tc>
          <w:tcPr>
            <w:tcW w:w="3423" w:type="dxa"/>
            <w:tcBorders>
              <w:top w:val="single" w:color="000000" w:sz="4" w:space="0"/>
              <w:left w:val="single" w:color="000000" w:sz="4" w:space="0"/>
              <w:bottom w:val="single" w:color="000000" w:sz="4" w:space="0"/>
              <w:right w:val="single" w:color="000000" w:sz="4" w:space="0"/>
            </w:tcBorders>
            <w:vAlign w:val="center"/>
          </w:tcPr>
          <w:p w14:paraId="64F26D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35411A9">
            <w:pPr>
              <w:widowControl/>
              <w:spacing w:line="560" w:lineRule="exact"/>
              <w:jc w:val="center"/>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793CE21F">
            <w:pPr>
              <w:widowControl/>
              <w:spacing w:line="560" w:lineRule="exact"/>
              <w:jc w:val="center"/>
              <w:rPr>
                <w:rFonts w:hint="eastAsia" w:ascii="宋体" w:hAnsi="宋体" w:eastAsia="宋体" w:cs="宋体"/>
                <w:color w:val="000000"/>
                <w:kern w:val="0"/>
                <w:sz w:val="24"/>
                <w:lang w:val="en-US" w:eastAsia="zh-CN"/>
              </w:rPr>
            </w:pPr>
          </w:p>
        </w:tc>
      </w:tr>
      <w:tr w14:paraId="33A598A7">
        <w:tblPrEx>
          <w:tblCellMar>
            <w:top w:w="15" w:type="dxa"/>
            <w:left w:w="108" w:type="dxa"/>
            <w:bottom w:w="15" w:type="dxa"/>
            <w:right w:w="108" w:type="dxa"/>
          </w:tblCellMar>
        </w:tblPrEx>
        <w:trPr>
          <w:trHeight w:val="420" w:hRule="atLeast"/>
          <w:jc w:val="center"/>
        </w:trPr>
        <w:tc>
          <w:tcPr>
            <w:tcW w:w="3423" w:type="dxa"/>
            <w:tcBorders>
              <w:top w:val="single" w:color="000000" w:sz="4" w:space="0"/>
              <w:left w:val="single" w:color="000000" w:sz="4" w:space="0"/>
              <w:bottom w:val="single" w:color="000000" w:sz="4" w:space="0"/>
              <w:right w:val="single" w:color="000000" w:sz="4" w:space="0"/>
            </w:tcBorders>
            <w:vAlign w:val="center"/>
          </w:tcPr>
          <w:p w14:paraId="5D1C854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5D4E557">
            <w:pPr>
              <w:widowControl/>
              <w:spacing w:line="560" w:lineRule="exact"/>
              <w:jc w:val="center"/>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B9CB8AC">
            <w:pPr>
              <w:widowControl/>
              <w:spacing w:line="560" w:lineRule="exact"/>
              <w:jc w:val="center"/>
              <w:rPr>
                <w:rFonts w:hint="eastAsia" w:ascii="宋体" w:hAnsi="宋体" w:eastAsia="宋体" w:cs="宋体"/>
                <w:color w:val="000000"/>
                <w:kern w:val="0"/>
                <w:sz w:val="24"/>
                <w:lang w:val="en-US" w:eastAsia="zh-CN"/>
              </w:rPr>
            </w:pPr>
          </w:p>
        </w:tc>
      </w:tr>
      <w:tr w14:paraId="319A58DA">
        <w:tblPrEx>
          <w:tblCellMar>
            <w:top w:w="15" w:type="dxa"/>
            <w:left w:w="108" w:type="dxa"/>
            <w:bottom w:w="15" w:type="dxa"/>
            <w:right w:w="108" w:type="dxa"/>
          </w:tblCellMar>
        </w:tblPrEx>
        <w:trPr>
          <w:trHeight w:val="420" w:hRule="atLeast"/>
          <w:jc w:val="center"/>
        </w:trPr>
        <w:tc>
          <w:tcPr>
            <w:tcW w:w="3423" w:type="dxa"/>
            <w:tcBorders>
              <w:top w:val="single" w:color="000000" w:sz="4" w:space="0"/>
              <w:left w:val="single" w:color="000000" w:sz="4" w:space="0"/>
              <w:bottom w:val="single" w:color="000000" w:sz="4" w:space="0"/>
              <w:right w:val="single" w:color="000000" w:sz="4" w:space="0"/>
            </w:tcBorders>
            <w:vAlign w:val="center"/>
          </w:tcPr>
          <w:p w14:paraId="14A3E24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7259863">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232.5</w:t>
            </w:r>
          </w:p>
        </w:tc>
        <w:tc>
          <w:tcPr>
            <w:tcW w:w="2583" w:type="dxa"/>
            <w:tcBorders>
              <w:top w:val="single" w:color="000000" w:sz="4" w:space="0"/>
              <w:left w:val="single" w:color="000000" w:sz="4" w:space="0"/>
              <w:bottom w:val="single" w:color="000000" w:sz="4" w:space="0"/>
              <w:right w:val="single" w:color="000000" w:sz="4" w:space="0"/>
            </w:tcBorders>
            <w:vAlign w:val="center"/>
          </w:tcPr>
          <w:p w14:paraId="2DFB13EA">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268.5</w:t>
            </w:r>
          </w:p>
        </w:tc>
      </w:tr>
      <w:tr w14:paraId="2CC9D662">
        <w:tblPrEx>
          <w:tblCellMar>
            <w:top w:w="15" w:type="dxa"/>
            <w:left w:w="108" w:type="dxa"/>
            <w:bottom w:w="15" w:type="dxa"/>
            <w:right w:w="108" w:type="dxa"/>
          </w:tblCellMar>
        </w:tblPrEx>
        <w:trPr>
          <w:trHeight w:val="420" w:hRule="atLeast"/>
          <w:jc w:val="center"/>
        </w:trPr>
        <w:tc>
          <w:tcPr>
            <w:tcW w:w="3423" w:type="dxa"/>
            <w:tcBorders>
              <w:top w:val="single" w:color="000000" w:sz="4" w:space="0"/>
              <w:left w:val="single" w:color="000000" w:sz="4" w:space="0"/>
              <w:bottom w:val="single" w:color="000000" w:sz="4" w:space="0"/>
              <w:right w:val="single" w:color="000000" w:sz="4" w:space="0"/>
            </w:tcBorders>
            <w:vAlign w:val="center"/>
          </w:tcPr>
          <w:p w14:paraId="2166453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C1F0B22">
            <w:pPr>
              <w:widowControl/>
              <w:spacing w:line="560" w:lineRule="exact"/>
              <w:jc w:val="center"/>
              <w:rPr>
                <w:rFonts w:hint="eastAsia" w:ascii="宋体" w:hAnsi="宋体" w:eastAsia="宋体" w:cs="宋体"/>
                <w:color w:val="000000"/>
                <w:kern w:val="0"/>
                <w:sz w:val="24"/>
                <w:lang w:val="en-US" w:eastAsia="zh-CN"/>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563B8C1D">
            <w:pPr>
              <w:widowControl/>
              <w:spacing w:line="560" w:lineRule="exact"/>
              <w:jc w:val="center"/>
              <w:rPr>
                <w:rFonts w:hint="eastAsia" w:ascii="宋体" w:hAnsi="宋体" w:eastAsia="宋体" w:cs="宋体"/>
                <w:color w:val="000000"/>
                <w:kern w:val="0"/>
                <w:sz w:val="24"/>
                <w:lang w:val="en-US" w:eastAsia="zh-CN"/>
              </w:rPr>
            </w:pPr>
          </w:p>
        </w:tc>
      </w:tr>
      <w:tr w14:paraId="77B7702F">
        <w:tblPrEx>
          <w:tblCellMar>
            <w:top w:w="15" w:type="dxa"/>
            <w:left w:w="108" w:type="dxa"/>
            <w:bottom w:w="15" w:type="dxa"/>
            <w:right w:w="108" w:type="dxa"/>
          </w:tblCellMar>
        </w:tblPrEx>
        <w:trPr>
          <w:trHeight w:val="420" w:hRule="atLeast"/>
          <w:jc w:val="center"/>
        </w:trPr>
        <w:tc>
          <w:tcPr>
            <w:tcW w:w="3423" w:type="dxa"/>
            <w:tcBorders>
              <w:top w:val="single" w:color="000000" w:sz="4" w:space="0"/>
              <w:left w:val="single" w:color="000000" w:sz="4" w:space="0"/>
              <w:bottom w:val="single" w:color="000000" w:sz="4" w:space="0"/>
              <w:right w:val="single" w:color="000000" w:sz="4" w:space="0"/>
            </w:tcBorders>
            <w:vAlign w:val="center"/>
          </w:tcPr>
          <w:p w14:paraId="7CD03588">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FA2183D">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232.5</w:t>
            </w:r>
          </w:p>
        </w:tc>
        <w:tc>
          <w:tcPr>
            <w:tcW w:w="2583" w:type="dxa"/>
            <w:tcBorders>
              <w:top w:val="single" w:color="000000" w:sz="4" w:space="0"/>
              <w:left w:val="single" w:color="000000" w:sz="4" w:space="0"/>
              <w:bottom w:val="single" w:color="000000" w:sz="4" w:space="0"/>
              <w:right w:val="single" w:color="000000" w:sz="4" w:space="0"/>
            </w:tcBorders>
            <w:vAlign w:val="center"/>
          </w:tcPr>
          <w:p w14:paraId="152FA747">
            <w:pPr>
              <w:widowControl/>
              <w:spacing w:line="560" w:lineRule="exact"/>
              <w:jc w:val="center"/>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268.5</w:t>
            </w:r>
          </w:p>
        </w:tc>
      </w:tr>
    </w:tbl>
    <w:p w14:paraId="142387A1">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55F6C9C2">
      <w:pPr>
        <w:spacing w:line="560" w:lineRule="exact"/>
        <w:ind w:firstLine="646" w:firstLineChars="200"/>
        <w:rPr>
          <w:rFonts w:ascii="仿宋_GB2312" w:hAnsi="宋体" w:eastAsia="仿宋_GB2312"/>
          <w:sz w:val="32"/>
          <w:szCs w:val="32"/>
        </w:rPr>
      </w:pPr>
      <w:r>
        <w:rPr>
          <w:rFonts w:hint="eastAsia" w:ascii="仿宋_GB2312" w:hAnsi="仿宋_GB2312" w:eastAsia="仿宋_GB2312" w:cs="仿宋_GB2312"/>
          <w:sz w:val="32"/>
          <w:szCs w:val="32"/>
          <w:lang w:val="en-US" w:eastAsia="zh-CN"/>
        </w:rPr>
        <w:t>盘锦市城市管理综合行政执法局本级</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1</w:t>
      </w:r>
      <w:r>
        <w:rPr>
          <w:rFonts w:hint="eastAsia" w:ascii="仿宋_GB2312" w:hAnsi="宋体" w:eastAsia="仿宋_GB2312"/>
          <w:sz w:val="32"/>
          <w:szCs w:val="32"/>
        </w:rPr>
        <w:t>台。</w:t>
      </w:r>
    </w:p>
    <w:p w14:paraId="7D65C2C8">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62DCEA2F">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仿宋_GB2312" w:eastAsia="仿宋_GB2312" w:cs="仿宋_GB2312"/>
          <w:sz w:val="32"/>
          <w:szCs w:val="32"/>
          <w:lang w:val="en-US" w:eastAsia="zh-CN"/>
        </w:rPr>
        <w:t>盘锦市城市管理综合行政执法局本级</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4</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4</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7</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7</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287.50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791EA353">
      <w:pPr>
        <w:spacing w:line="560" w:lineRule="exact"/>
        <w:jc w:val="center"/>
        <w:rPr>
          <w:rFonts w:hint="eastAsia" w:ascii="宋体" w:hAnsi="宋体"/>
          <w:b/>
          <w:sz w:val="36"/>
          <w:szCs w:val="36"/>
        </w:rPr>
      </w:pPr>
    </w:p>
    <w:p w14:paraId="259939FD">
      <w:pPr>
        <w:spacing w:line="560" w:lineRule="exact"/>
        <w:jc w:val="center"/>
        <w:rPr>
          <w:rFonts w:hint="eastAsia" w:ascii="宋体" w:hAnsi="宋体"/>
          <w:b/>
          <w:sz w:val="36"/>
          <w:szCs w:val="36"/>
        </w:rPr>
      </w:pPr>
    </w:p>
    <w:p w14:paraId="3986BAE0">
      <w:pPr>
        <w:spacing w:line="560" w:lineRule="exact"/>
        <w:jc w:val="center"/>
        <w:rPr>
          <w:rFonts w:ascii="宋体" w:hAnsi="宋体"/>
          <w:b/>
          <w:sz w:val="36"/>
          <w:szCs w:val="36"/>
        </w:rPr>
      </w:pPr>
      <w:r>
        <w:rPr>
          <w:rFonts w:hint="eastAsia" w:ascii="宋体" w:hAnsi="宋体"/>
          <w:b/>
          <w:sz w:val="36"/>
          <w:szCs w:val="36"/>
        </w:rPr>
        <w:t>第四部分 名词解释</w:t>
      </w:r>
    </w:p>
    <w:p w14:paraId="7307C66E">
      <w:pPr>
        <w:spacing w:line="560" w:lineRule="exact"/>
        <w:jc w:val="center"/>
        <w:rPr>
          <w:rFonts w:ascii="仿宋_GB2312" w:eastAsia="仿宋_GB2312"/>
          <w:sz w:val="32"/>
          <w:szCs w:val="32"/>
        </w:rPr>
      </w:pPr>
    </w:p>
    <w:p w14:paraId="60915E6B">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42661518">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7E1DCA82">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96090D9">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B5DC38A">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454D8F67">
      <w:pPr>
        <w:keepNext w:val="0"/>
        <w:keepLines w:val="0"/>
        <w:pageBreakBefore w:val="0"/>
        <w:widowControl w:val="0"/>
        <w:kinsoku/>
        <w:wordWrap/>
        <w:overflowPunct/>
        <w:topLinePunct w:val="0"/>
        <w:autoSpaceDE/>
        <w:autoSpaceDN/>
        <w:bidi w:val="0"/>
        <w:adjustRightInd/>
        <w:snapToGrid/>
        <w:spacing w:line="560" w:lineRule="exact"/>
        <w:ind w:firstLine="646" w:firstLineChars="200"/>
        <w:jc w:val="left"/>
        <w:textAlignment w:val="auto"/>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03B1979B">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54506F12">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529FF8AF">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7E92E0A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1802A82A">
      <w:pPr>
        <w:spacing w:line="560" w:lineRule="exact"/>
        <w:rPr>
          <w:rFonts w:ascii="宋体" w:hAnsi="宋体"/>
          <w:b/>
          <w:sz w:val="36"/>
          <w:szCs w:val="36"/>
        </w:rPr>
      </w:pPr>
    </w:p>
    <w:p w14:paraId="3C869E74">
      <w:pPr>
        <w:spacing w:line="560" w:lineRule="exact"/>
        <w:rPr>
          <w:rFonts w:ascii="宋体" w:hAnsi="宋体"/>
          <w:b/>
          <w:sz w:val="36"/>
          <w:szCs w:val="36"/>
        </w:rPr>
      </w:pPr>
    </w:p>
    <w:p w14:paraId="4DC9B151">
      <w:pPr>
        <w:numPr>
          <w:ilvl w:val="0"/>
          <w:numId w:val="0"/>
        </w:numPr>
        <w:tabs>
          <w:tab w:val="left" w:pos="2343"/>
        </w:tabs>
        <w:spacing w:line="560" w:lineRule="exact"/>
        <w:jc w:val="center"/>
        <w:rPr>
          <w:rFonts w:ascii="仿宋_GB2312" w:eastAsia="仿宋_GB2312"/>
          <w:sz w:val="32"/>
          <w:szCs w:val="32"/>
        </w:rPr>
      </w:pPr>
      <w:r>
        <w:rPr>
          <w:rFonts w:hint="eastAsia" w:ascii="宋体" w:hAnsi="宋体"/>
          <w:b/>
          <w:sz w:val="36"/>
          <w:szCs w:val="36"/>
          <w:lang w:val="en-US" w:eastAsia="zh-CN"/>
        </w:rPr>
        <w:t>第五部分  2025</w:t>
      </w:r>
      <w:r>
        <w:rPr>
          <w:rFonts w:hint="eastAsia" w:ascii="宋体" w:hAnsi="宋体"/>
          <w:b/>
          <w:sz w:val="36"/>
          <w:szCs w:val="36"/>
        </w:rPr>
        <w:t>年</w:t>
      </w:r>
      <w:r>
        <w:rPr>
          <w:rFonts w:hint="eastAsia" w:ascii="宋体" w:hAnsi="宋体"/>
          <w:b/>
          <w:sz w:val="36"/>
          <w:szCs w:val="36"/>
          <w:lang w:val="en-US" w:eastAsia="zh-CN"/>
        </w:rPr>
        <w:t>盘锦市城市管理综合行政执法局部门</w:t>
      </w:r>
      <w:r>
        <w:rPr>
          <w:rFonts w:hint="eastAsia" w:ascii="宋体" w:hAnsi="宋体"/>
          <w:b/>
          <w:sz w:val="36"/>
          <w:szCs w:val="36"/>
        </w:rPr>
        <w:t>预算</w:t>
      </w:r>
      <w:r>
        <w:rPr>
          <w:rFonts w:hint="eastAsia" w:ascii="宋体" w:hAnsi="宋体"/>
          <w:b/>
          <w:sz w:val="36"/>
          <w:szCs w:val="36"/>
          <w:lang w:eastAsia="zh-CN"/>
        </w:rPr>
        <w:t>公开</w:t>
      </w:r>
      <w:r>
        <w:rPr>
          <w:rFonts w:hint="eastAsia" w:ascii="宋体" w:hAnsi="宋体"/>
          <w:b/>
          <w:sz w:val="36"/>
          <w:szCs w:val="36"/>
        </w:rPr>
        <w:t>表</w:t>
      </w:r>
    </w:p>
    <w:p w14:paraId="6D637F93">
      <w:pPr>
        <w:pStyle w:val="2"/>
        <w:rPr>
          <w:rFonts w:ascii="宋体" w:hAnsi="宋体"/>
          <w:b/>
          <w:sz w:val="36"/>
          <w:szCs w:val="36"/>
        </w:rPr>
      </w:pPr>
    </w:p>
    <w:p w14:paraId="715041CB">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b w:val="0"/>
          <w:bCs/>
          <w:color w:val="000000"/>
          <w:sz w:val="32"/>
          <w:szCs w:val="32"/>
          <w:lang w:eastAsia="zh-CN"/>
        </w:rPr>
      </w:pPr>
      <w:r>
        <w:rPr>
          <w:rFonts w:hint="eastAsia" w:ascii="仿宋_GB2312" w:hAnsi="仿宋_GB2312" w:eastAsia="仿宋_GB2312" w:cs="仿宋_GB2312"/>
          <w:b w:val="0"/>
          <w:bCs/>
          <w:color w:val="000000"/>
          <w:sz w:val="32"/>
          <w:szCs w:val="32"/>
          <w:lang w:eastAsia="zh-CN"/>
        </w:rPr>
        <w:t>（该部分内容详见附件）</w:t>
      </w:r>
    </w:p>
    <w:p w14:paraId="7CD22CCB">
      <w:pPr>
        <w:keepNext w:val="0"/>
        <w:keepLines w:val="0"/>
        <w:pageBreakBefore w:val="0"/>
        <w:widowControl w:val="0"/>
        <w:kinsoku/>
        <w:wordWrap/>
        <w:overflowPunct/>
        <w:topLinePunct w:val="0"/>
        <w:autoSpaceDE/>
        <w:autoSpaceDN/>
        <w:bidi w:val="0"/>
        <w:adjustRightInd/>
        <w:snapToGrid/>
        <w:spacing w:line="560" w:lineRule="exact"/>
        <w:ind w:firstLine="646" w:firstLineChars="200"/>
        <w:textAlignment w:val="auto"/>
        <w:rPr>
          <w:rFonts w:hint="eastAsia" w:ascii="仿宋_GB2312" w:hAnsi="仿宋_GB2312" w:eastAsia="仿宋_GB2312" w:cs="仿宋_GB2312"/>
          <w:sz w:val="32"/>
          <w:szCs w:val="32"/>
        </w:rPr>
      </w:pPr>
    </w:p>
    <w:p w14:paraId="0BF0B712">
      <w:pPr>
        <w:rPr>
          <w:rFonts w:ascii="宋体" w:hAnsi="宋体"/>
          <w:b/>
          <w:sz w:val="36"/>
          <w:szCs w:val="36"/>
        </w:rPr>
      </w:pPr>
    </w:p>
    <w:p w14:paraId="3443B2AC">
      <w:pPr>
        <w:pStyle w:val="2"/>
        <w:rPr>
          <w:rFonts w:ascii="宋体" w:hAnsi="宋体"/>
          <w:b/>
          <w:sz w:val="36"/>
          <w:szCs w:val="36"/>
        </w:rPr>
      </w:pPr>
    </w:p>
    <w:p w14:paraId="3EC293EA">
      <w:pPr>
        <w:rPr>
          <w:rFonts w:ascii="宋体" w:hAnsi="宋体"/>
          <w:b/>
          <w:sz w:val="36"/>
          <w:szCs w:val="36"/>
        </w:rPr>
      </w:pPr>
    </w:p>
    <w:p w14:paraId="10BDF873">
      <w:pPr>
        <w:pStyle w:val="2"/>
        <w:rPr>
          <w:rFonts w:ascii="宋体" w:hAnsi="宋体"/>
          <w:b/>
          <w:sz w:val="36"/>
          <w:szCs w:val="36"/>
        </w:rPr>
      </w:pPr>
    </w:p>
    <w:p w14:paraId="275C5636">
      <w:pPr>
        <w:rPr>
          <w:rFonts w:ascii="宋体" w:hAnsi="宋体"/>
          <w:b/>
          <w:sz w:val="36"/>
          <w:szCs w:val="36"/>
        </w:rPr>
      </w:pPr>
    </w:p>
    <w:p w14:paraId="1AE16DD5">
      <w:pPr>
        <w:pStyle w:val="2"/>
        <w:rPr>
          <w:rFonts w:ascii="宋体" w:hAnsi="宋体"/>
          <w:b/>
          <w:sz w:val="36"/>
          <w:szCs w:val="36"/>
        </w:rPr>
      </w:pPr>
    </w:p>
    <w:sectPr>
      <w:footerReference r:id="rId3" w:type="default"/>
      <w:pgSz w:w="11906" w:h="16838"/>
      <w:pgMar w:top="1440" w:right="1797" w:bottom="1440" w:left="1797"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54139">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615E6A1B">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18A6AD"/>
    <w:multiLevelType w:val="singleLevel"/>
    <w:tmpl w:val="5418A6AD"/>
    <w:lvl w:ilvl="0" w:tentative="0">
      <w:start w:val="3"/>
      <w:numFmt w:val="chineseCounting"/>
      <w:suff w:val="space"/>
      <w:lvlText w:val="第%1部分"/>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074C"/>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E23AB3"/>
    <w:rsid w:val="06F26EF4"/>
    <w:rsid w:val="07000E37"/>
    <w:rsid w:val="076641DD"/>
    <w:rsid w:val="077A6D35"/>
    <w:rsid w:val="078D0595"/>
    <w:rsid w:val="07FB97D1"/>
    <w:rsid w:val="080D4122"/>
    <w:rsid w:val="080D4B60"/>
    <w:rsid w:val="0854453D"/>
    <w:rsid w:val="085B1DF0"/>
    <w:rsid w:val="08D65034"/>
    <w:rsid w:val="08EB4EA1"/>
    <w:rsid w:val="09236A9D"/>
    <w:rsid w:val="092B4317"/>
    <w:rsid w:val="09B35DC1"/>
    <w:rsid w:val="0A7E50A7"/>
    <w:rsid w:val="0AD42FF7"/>
    <w:rsid w:val="0B053EC8"/>
    <w:rsid w:val="0B642054"/>
    <w:rsid w:val="0BB208C5"/>
    <w:rsid w:val="0C423125"/>
    <w:rsid w:val="0C460641"/>
    <w:rsid w:val="0CA57A5D"/>
    <w:rsid w:val="0D2427C1"/>
    <w:rsid w:val="0D554FDF"/>
    <w:rsid w:val="0E176739"/>
    <w:rsid w:val="0E5D2B9E"/>
    <w:rsid w:val="0E6D4386"/>
    <w:rsid w:val="0E9438E5"/>
    <w:rsid w:val="0F2A085F"/>
    <w:rsid w:val="0F495EC3"/>
    <w:rsid w:val="0F7349CC"/>
    <w:rsid w:val="101C3B92"/>
    <w:rsid w:val="106E56DE"/>
    <w:rsid w:val="116F4196"/>
    <w:rsid w:val="11B20219"/>
    <w:rsid w:val="12080872"/>
    <w:rsid w:val="126B66EF"/>
    <w:rsid w:val="127267ED"/>
    <w:rsid w:val="130D280B"/>
    <w:rsid w:val="132428BF"/>
    <w:rsid w:val="13415C47"/>
    <w:rsid w:val="13F82CE7"/>
    <w:rsid w:val="17081314"/>
    <w:rsid w:val="1752258F"/>
    <w:rsid w:val="17676F00"/>
    <w:rsid w:val="17B616E5"/>
    <w:rsid w:val="17F07D94"/>
    <w:rsid w:val="1877372F"/>
    <w:rsid w:val="189B1ADC"/>
    <w:rsid w:val="18C33AC7"/>
    <w:rsid w:val="18CD0120"/>
    <w:rsid w:val="18DF049C"/>
    <w:rsid w:val="18EC27B3"/>
    <w:rsid w:val="19027D91"/>
    <w:rsid w:val="19455480"/>
    <w:rsid w:val="1A0F73A5"/>
    <w:rsid w:val="1AF91EE2"/>
    <w:rsid w:val="1AFF79D0"/>
    <w:rsid w:val="1B2059B8"/>
    <w:rsid w:val="1B4E181C"/>
    <w:rsid w:val="1B6601DF"/>
    <w:rsid w:val="1B8F6A9A"/>
    <w:rsid w:val="1B966EEF"/>
    <w:rsid w:val="1BAB328C"/>
    <w:rsid w:val="1BCE367C"/>
    <w:rsid w:val="1BDE2B69"/>
    <w:rsid w:val="1BF84BC7"/>
    <w:rsid w:val="1C4A0633"/>
    <w:rsid w:val="1C8E7BC6"/>
    <w:rsid w:val="1CB03FE0"/>
    <w:rsid w:val="1D462851"/>
    <w:rsid w:val="1D667501"/>
    <w:rsid w:val="1DF602FB"/>
    <w:rsid w:val="1E0F132C"/>
    <w:rsid w:val="1F212A66"/>
    <w:rsid w:val="1F315D3A"/>
    <w:rsid w:val="1FFF5969"/>
    <w:rsid w:val="200D6146"/>
    <w:rsid w:val="20381C4F"/>
    <w:rsid w:val="20A91472"/>
    <w:rsid w:val="215A4D90"/>
    <w:rsid w:val="21CF4F08"/>
    <w:rsid w:val="225F55CE"/>
    <w:rsid w:val="23C6233B"/>
    <w:rsid w:val="23E13ABE"/>
    <w:rsid w:val="241C01AD"/>
    <w:rsid w:val="24741D97"/>
    <w:rsid w:val="24D3660E"/>
    <w:rsid w:val="24DB746F"/>
    <w:rsid w:val="260E190B"/>
    <w:rsid w:val="266A177F"/>
    <w:rsid w:val="270615B9"/>
    <w:rsid w:val="270B1A4A"/>
    <w:rsid w:val="27727FFE"/>
    <w:rsid w:val="27773A27"/>
    <w:rsid w:val="298C6232"/>
    <w:rsid w:val="29990502"/>
    <w:rsid w:val="29E6061F"/>
    <w:rsid w:val="2A3E5AEE"/>
    <w:rsid w:val="2AE632C3"/>
    <w:rsid w:val="2B1E480B"/>
    <w:rsid w:val="2B7DC5E7"/>
    <w:rsid w:val="2BF47C3E"/>
    <w:rsid w:val="2C1D4AC2"/>
    <w:rsid w:val="2CBC42DB"/>
    <w:rsid w:val="2CFA3055"/>
    <w:rsid w:val="2D2449BD"/>
    <w:rsid w:val="2E3A7BAD"/>
    <w:rsid w:val="2EB3162C"/>
    <w:rsid w:val="2EE465A5"/>
    <w:rsid w:val="2F142285"/>
    <w:rsid w:val="2F256AAD"/>
    <w:rsid w:val="2F3DE142"/>
    <w:rsid w:val="2FAC4B1B"/>
    <w:rsid w:val="2FF10740"/>
    <w:rsid w:val="313E7D46"/>
    <w:rsid w:val="316C7C8A"/>
    <w:rsid w:val="31EE3102"/>
    <w:rsid w:val="31FB3A39"/>
    <w:rsid w:val="34190834"/>
    <w:rsid w:val="3505415D"/>
    <w:rsid w:val="35BE487C"/>
    <w:rsid w:val="365A03F2"/>
    <w:rsid w:val="368220F2"/>
    <w:rsid w:val="36F6584D"/>
    <w:rsid w:val="3757F7CA"/>
    <w:rsid w:val="385D4246"/>
    <w:rsid w:val="38940E15"/>
    <w:rsid w:val="38F27F4A"/>
    <w:rsid w:val="396661E0"/>
    <w:rsid w:val="39822409"/>
    <w:rsid w:val="39831555"/>
    <w:rsid w:val="39D46840"/>
    <w:rsid w:val="39FC9D6E"/>
    <w:rsid w:val="3A3E0786"/>
    <w:rsid w:val="3ADF145F"/>
    <w:rsid w:val="3AE4639A"/>
    <w:rsid w:val="3B697A90"/>
    <w:rsid w:val="3C1C2BDE"/>
    <w:rsid w:val="3CA073AF"/>
    <w:rsid w:val="3CE3375A"/>
    <w:rsid w:val="3D0B4A86"/>
    <w:rsid w:val="3D0B53AF"/>
    <w:rsid w:val="3D714C6E"/>
    <w:rsid w:val="3D7E1B4A"/>
    <w:rsid w:val="3DBF7571"/>
    <w:rsid w:val="3DC668D9"/>
    <w:rsid w:val="3E4E6111"/>
    <w:rsid w:val="3EB7A014"/>
    <w:rsid w:val="3EC14D35"/>
    <w:rsid w:val="3F732F2F"/>
    <w:rsid w:val="3F8073EA"/>
    <w:rsid w:val="3FBF7077"/>
    <w:rsid w:val="3FBFDA26"/>
    <w:rsid w:val="3FF3C106"/>
    <w:rsid w:val="3FFF4FC7"/>
    <w:rsid w:val="40353DED"/>
    <w:rsid w:val="40D02D3C"/>
    <w:rsid w:val="41852724"/>
    <w:rsid w:val="419C619B"/>
    <w:rsid w:val="41BC3913"/>
    <w:rsid w:val="421F2EEA"/>
    <w:rsid w:val="42296E75"/>
    <w:rsid w:val="4295426B"/>
    <w:rsid w:val="43243DE7"/>
    <w:rsid w:val="43F97ACA"/>
    <w:rsid w:val="45C049E4"/>
    <w:rsid w:val="4602561E"/>
    <w:rsid w:val="46460D56"/>
    <w:rsid w:val="46DF70EC"/>
    <w:rsid w:val="46E13712"/>
    <w:rsid w:val="470E1B72"/>
    <w:rsid w:val="47431171"/>
    <w:rsid w:val="4792414F"/>
    <w:rsid w:val="479A5FB8"/>
    <w:rsid w:val="47B807F3"/>
    <w:rsid w:val="47E81BB1"/>
    <w:rsid w:val="47FC6910"/>
    <w:rsid w:val="487E46E3"/>
    <w:rsid w:val="49A40179"/>
    <w:rsid w:val="49DF11B1"/>
    <w:rsid w:val="4A623313"/>
    <w:rsid w:val="4A726690"/>
    <w:rsid w:val="4B1B6C71"/>
    <w:rsid w:val="4BF929FE"/>
    <w:rsid w:val="4C281EF3"/>
    <w:rsid w:val="4CDD4B47"/>
    <w:rsid w:val="4CE12E15"/>
    <w:rsid w:val="4D312DA7"/>
    <w:rsid w:val="4D69924D"/>
    <w:rsid w:val="4F055FF2"/>
    <w:rsid w:val="4F77935B"/>
    <w:rsid w:val="4FC53A84"/>
    <w:rsid w:val="50CD3132"/>
    <w:rsid w:val="50EA6DB9"/>
    <w:rsid w:val="51993F9E"/>
    <w:rsid w:val="51E90E1F"/>
    <w:rsid w:val="52184D14"/>
    <w:rsid w:val="525D300E"/>
    <w:rsid w:val="53681604"/>
    <w:rsid w:val="536979A6"/>
    <w:rsid w:val="54F41596"/>
    <w:rsid w:val="55630EE8"/>
    <w:rsid w:val="55CC0F92"/>
    <w:rsid w:val="55DFA0A0"/>
    <w:rsid w:val="561435A7"/>
    <w:rsid w:val="567D5FDA"/>
    <w:rsid w:val="569F3D76"/>
    <w:rsid w:val="576818B0"/>
    <w:rsid w:val="57811AFA"/>
    <w:rsid w:val="57A16D62"/>
    <w:rsid w:val="57ED2858"/>
    <w:rsid w:val="57FA6D49"/>
    <w:rsid w:val="57FE314A"/>
    <w:rsid w:val="58C779E0"/>
    <w:rsid w:val="59143D47"/>
    <w:rsid w:val="59A71EE5"/>
    <w:rsid w:val="59CE51A9"/>
    <w:rsid w:val="59FF1B90"/>
    <w:rsid w:val="5A474332"/>
    <w:rsid w:val="5AD05F1E"/>
    <w:rsid w:val="5B152E64"/>
    <w:rsid w:val="5B54245F"/>
    <w:rsid w:val="5B7340B8"/>
    <w:rsid w:val="5BDFAB0E"/>
    <w:rsid w:val="5C32682B"/>
    <w:rsid w:val="5CDEEC0A"/>
    <w:rsid w:val="5CFB5EAA"/>
    <w:rsid w:val="5D3535CB"/>
    <w:rsid w:val="5D5F6243"/>
    <w:rsid w:val="5D7C6005"/>
    <w:rsid w:val="5DC77D97"/>
    <w:rsid w:val="5DD22168"/>
    <w:rsid w:val="5FE2B437"/>
    <w:rsid w:val="5FEF5520"/>
    <w:rsid w:val="5FF71960"/>
    <w:rsid w:val="60147D4F"/>
    <w:rsid w:val="60B34342"/>
    <w:rsid w:val="610C0686"/>
    <w:rsid w:val="616B3E01"/>
    <w:rsid w:val="61DE4A37"/>
    <w:rsid w:val="62066B73"/>
    <w:rsid w:val="628C5B80"/>
    <w:rsid w:val="638C42D9"/>
    <w:rsid w:val="63D97827"/>
    <w:rsid w:val="64794284"/>
    <w:rsid w:val="64AF5EF8"/>
    <w:rsid w:val="64B45E83"/>
    <w:rsid w:val="651152FC"/>
    <w:rsid w:val="65324317"/>
    <w:rsid w:val="65593F66"/>
    <w:rsid w:val="657B66D0"/>
    <w:rsid w:val="65FEE4FC"/>
    <w:rsid w:val="66F40245"/>
    <w:rsid w:val="69221657"/>
    <w:rsid w:val="697C4A10"/>
    <w:rsid w:val="6A6715B2"/>
    <w:rsid w:val="6A726147"/>
    <w:rsid w:val="6A815C41"/>
    <w:rsid w:val="6AD40467"/>
    <w:rsid w:val="6B300A25"/>
    <w:rsid w:val="6B535F74"/>
    <w:rsid w:val="6B7A4DE0"/>
    <w:rsid w:val="6BDDE3A2"/>
    <w:rsid w:val="6C163263"/>
    <w:rsid w:val="6C264620"/>
    <w:rsid w:val="6C4C5815"/>
    <w:rsid w:val="6CFECA5E"/>
    <w:rsid w:val="6D7E1522"/>
    <w:rsid w:val="6D8D0DA1"/>
    <w:rsid w:val="6D95125A"/>
    <w:rsid w:val="6E100EAB"/>
    <w:rsid w:val="6ED06DC1"/>
    <w:rsid w:val="6EFB2B5A"/>
    <w:rsid w:val="6EFD1050"/>
    <w:rsid w:val="6F3C07B7"/>
    <w:rsid w:val="6F474F0B"/>
    <w:rsid w:val="6F4F630E"/>
    <w:rsid w:val="6F565074"/>
    <w:rsid w:val="6F6F6081"/>
    <w:rsid w:val="6F7F96C5"/>
    <w:rsid w:val="6FD5E3EE"/>
    <w:rsid w:val="6FFFA188"/>
    <w:rsid w:val="701934AE"/>
    <w:rsid w:val="714B2ECB"/>
    <w:rsid w:val="71D7CD63"/>
    <w:rsid w:val="72385629"/>
    <w:rsid w:val="72ED70CB"/>
    <w:rsid w:val="731F0A75"/>
    <w:rsid w:val="73351169"/>
    <w:rsid w:val="741831B5"/>
    <w:rsid w:val="75C80649"/>
    <w:rsid w:val="762F7860"/>
    <w:rsid w:val="76D6577B"/>
    <w:rsid w:val="779F3BAA"/>
    <w:rsid w:val="77CB17F7"/>
    <w:rsid w:val="77EF22B1"/>
    <w:rsid w:val="7860158C"/>
    <w:rsid w:val="788475A5"/>
    <w:rsid w:val="7956298E"/>
    <w:rsid w:val="79B0209F"/>
    <w:rsid w:val="79BF61C2"/>
    <w:rsid w:val="79FC7325"/>
    <w:rsid w:val="7A6B5CE7"/>
    <w:rsid w:val="7AE7FB34"/>
    <w:rsid w:val="7AF75AAB"/>
    <w:rsid w:val="7AFF2F06"/>
    <w:rsid w:val="7B767570"/>
    <w:rsid w:val="7B778066"/>
    <w:rsid w:val="7BAF23D3"/>
    <w:rsid w:val="7BDA3581"/>
    <w:rsid w:val="7C1F52BA"/>
    <w:rsid w:val="7C7C68B8"/>
    <w:rsid w:val="7CADD60F"/>
    <w:rsid w:val="7CEB9D80"/>
    <w:rsid w:val="7D1666BD"/>
    <w:rsid w:val="7D521B6D"/>
    <w:rsid w:val="7D572E14"/>
    <w:rsid w:val="7D8F0965"/>
    <w:rsid w:val="7DD87B8D"/>
    <w:rsid w:val="7DEFEC06"/>
    <w:rsid w:val="7DF5611B"/>
    <w:rsid w:val="7E6E2528"/>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正文-公1"/>
    <w:basedOn w:val="10"/>
    <w:next w:val="1"/>
    <w:qFormat/>
    <w:uiPriority w:val="0"/>
    <w:pPr>
      <w:ind w:firstLine="200" w:firstLineChars="200"/>
    </w:p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3747</Words>
  <Characters>3974</Characters>
  <Lines>22</Lines>
  <Paragraphs>6</Paragraphs>
  <TotalTime>4</TotalTime>
  <ScaleCrop>false</ScaleCrop>
  <LinksUpToDate>false</LinksUpToDate>
  <CharactersWithSpaces>4023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刘星</cp:lastModifiedBy>
  <cp:lastPrinted>2025-02-07T04:11:00Z</cp:lastPrinted>
  <dcterms:modified xsi:type="dcterms:W3CDTF">2025-02-13T02:08:04Z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eyJoZGlkIjoiYjQ1ZjVkN2RiZDU5MDA2NjhhZGJkNTkxOTdhYzk1NjgiLCJ1c2VySWQiOiI3Njg2MjAyMDMifQ==</vt:lpwstr>
  </property>
  <property fmtid="{D5CDD505-2E9C-101B-9397-08002B2CF9AE}" pid="4" name="ICV">
    <vt:lpwstr>9A7BB0A4CE79416F96A513C9F2A8B9C3_12</vt:lpwstr>
  </property>
</Properties>
</file>