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2DB0B7">
      <w:pPr>
        <w:spacing w:line="560" w:lineRule="exact"/>
        <w:jc w:val="center"/>
        <w:rPr>
          <w:b/>
          <w:sz w:val="44"/>
          <w:szCs w:val="44"/>
          <w:u w:val="single"/>
        </w:rPr>
      </w:pPr>
    </w:p>
    <w:p w14:paraId="1A1BF209">
      <w:pPr>
        <w:spacing w:line="560" w:lineRule="exact"/>
        <w:jc w:val="center"/>
        <w:rPr>
          <w:b/>
          <w:sz w:val="44"/>
          <w:szCs w:val="44"/>
          <w:u w:val="single"/>
        </w:rPr>
      </w:pPr>
    </w:p>
    <w:p w14:paraId="1417151F">
      <w:pPr>
        <w:spacing w:line="560" w:lineRule="exact"/>
        <w:jc w:val="center"/>
        <w:rPr>
          <w:b/>
          <w:sz w:val="44"/>
          <w:szCs w:val="44"/>
          <w:u w:val="single"/>
        </w:rPr>
      </w:pPr>
    </w:p>
    <w:p w14:paraId="151A55D4">
      <w:pPr>
        <w:spacing w:line="560" w:lineRule="exact"/>
        <w:jc w:val="center"/>
        <w:rPr>
          <w:b/>
          <w:sz w:val="44"/>
          <w:szCs w:val="44"/>
          <w:u w:val="single"/>
        </w:rPr>
      </w:pPr>
    </w:p>
    <w:p w14:paraId="635E30D9">
      <w:pPr>
        <w:spacing w:line="560" w:lineRule="exact"/>
        <w:jc w:val="center"/>
        <w:rPr>
          <w:b/>
          <w:sz w:val="44"/>
          <w:szCs w:val="44"/>
          <w:u w:val="single"/>
        </w:rPr>
      </w:pPr>
    </w:p>
    <w:p w14:paraId="62574286">
      <w:pPr>
        <w:spacing w:line="560" w:lineRule="exact"/>
        <w:jc w:val="center"/>
        <w:rPr>
          <w:b/>
          <w:sz w:val="44"/>
          <w:szCs w:val="44"/>
          <w:u w:val="single"/>
        </w:rPr>
      </w:pPr>
    </w:p>
    <w:p w14:paraId="04C2BB04">
      <w:pPr>
        <w:spacing w:line="560" w:lineRule="exact"/>
        <w:jc w:val="center"/>
        <w:rPr>
          <w:b/>
          <w:sz w:val="44"/>
          <w:szCs w:val="44"/>
          <w:u w:val="single"/>
        </w:rPr>
      </w:pPr>
    </w:p>
    <w:p w14:paraId="11C1ED3B">
      <w:pPr>
        <w:spacing w:line="560" w:lineRule="exact"/>
        <w:jc w:val="both"/>
        <w:rPr>
          <w:rFonts w:hint="eastAsia"/>
          <w:b/>
          <w:sz w:val="44"/>
          <w:szCs w:val="44"/>
        </w:rPr>
      </w:pPr>
    </w:p>
    <w:p w14:paraId="39A252E4">
      <w:pPr>
        <w:spacing w:line="560" w:lineRule="exact"/>
        <w:jc w:val="center"/>
        <w:rPr>
          <w:rFonts w:hint="default" w:eastAsia="宋体"/>
          <w:b/>
          <w:sz w:val="44"/>
          <w:szCs w:val="44"/>
          <w:lang w:val="en-US" w:eastAsia="zh-CN"/>
        </w:rPr>
      </w:pPr>
      <w:r>
        <w:rPr>
          <w:rFonts w:hint="eastAsia"/>
          <w:b/>
          <w:sz w:val="44"/>
          <w:szCs w:val="44"/>
          <w:lang w:eastAsia="zh-CN"/>
        </w:rPr>
        <w:t>盘锦市商务局</w:t>
      </w:r>
      <w:r>
        <w:rPr>
          <w:rFonts w:hint="eastAsia"/>
          <w:b/>
          <w:sz w:val="44"/>
          <w:szCs w:val="44"/>
          <w:lang w:val="en-US" w:eastAsia="zh-CN"/>
        </w:rPr>
        <w:t>2025年度部门预算</w:t>
      </w:r>
    </w:p>
    <w:p w14:paraId="34C2C45D">
      <w:pPr>
        <w:spacing w:line="560" w:lineRule="exact"/>
        <w:jc w:val="center"/>
        <w:rPr>
          <w:rFonts w:hint="eastAsia"/>
          <w:b/>
          <w:sz w:val="44"/>
          <w:szCs w:val="44"/>
        </w:rPr>
      </w:pPr>
    </w:p>
    <w:p w14:paraId="6C304D0A">
      <w:pPr>
        <w:spacing w:line="560" w:lineRule="exact"/>
        <w:jc w:val="center"/>
        <w:rPr>
          <w:rFonts w:hint="eastAsia"/>
          <w:b/>
          <w:sz w:val="44"/>
          <w:szCs w:val="44"/>
        </w:rPr>
      </w:pPr>
    </w:p>
    <w:p w14:paraId="71048C7D">
      <w:pPr>
        <w:spacing w:line="560" w:lineRule="exact"/>
        <w:jc w:val="center"/>
        <w:rPr>
          <w:rFonts w:hint="eastAsia"/>
          <w:b/>
          <w:sz w:val="44"/>
          <w:szCs w:val="44"/>
        </w:rPr>
      </w:pPr>
    </w:p>
    <w:p w14:paraId="171279B5">
      <w:pPr>
        <w:spacing w:line="560" w:lineRule="exact"/>
        <w:jc w:val="center"/>
        <w:rPr>
          <w:rFonts w:hint="eastAsia"/>
          <w:b/>
          <w:sz w:val="44"/>
          <w:szCs w:val="44"/>
        </w:rPr>
      </w:pPr>
    </w:p>
    <w:p w14:paraId="0A8A2046">
      <w:pPr>
        <w:spacing w:line="560" w:lineRule="exact"/>
        <w:jc w:val="center"/>
        <w:rPr>
          <w:rFonts w:hint="eastAsia"/>
          <w:b/>
          <w:sz w:val="44"/>
          <w:szCs w:val="44"/>
        </w:rPr>
      </w:pPr>
    </w:p>
    <w:p w14:paraId="6A9F5FF1">
      <w:pPr>
        <w:spacing w:line="560" w:lineRule="exact"/>
        <w:jc w:val="center"/>
        <w:rPr>
          <w:rFonts w:hint="eastAsia"/>
          <w:b/>
          <w:sz w:val="44"/>
          <w:szCs w:val="44"/>
        </w:rPr>
      </w:pPr>
    </w:p>
    <w:p w14:paraId="6E6F88F0">
      <w:pPr>
        <w:spacing w:line="560" w:lineRule="exact"/>
        <w:jc w:val="center"/>
        <w:rPr>
          <w:rFonts w:hint="eastAsia"/>
          <w:b/>
          <w:sz w:val="44"/>
          <w:szCs w:val="44"/>
        </w:rPr>
      </w:pPr>
    </w:p>
    <w:p w14:paraId="1192F21F">
      <w:pPr>
        <w:spacing w:line="560" w:lineRule="exact"/>
        <w:jc w:val="center"/>
        <w:rPr>
          <w:rFonts w:hint="eastAsia"/>
          <w:b/>
          <w:sz w:val="44"/>
          <w:szCs w:val="44"/>
        </w:rPr>
      </w:pPr>
    </w:p>
    <w:p w14:paraId="52135290">
      <w:pPr>
        <w:spacing w:line="560" w:lineRule="exact"/>
        <w:jc w:val="center"/>
        <w:rPr>
          <w:rFonts w:hint="eastAsia"/>
          <w:b/>
          <w:sz w:val="44"/>
          <w:szCs w:val="44"/>
        </w:rPr>
      </w:pPr>
    </w:p>
    <w:p w14:paraId="31728591">
      <w:pPr>
        <w:spacing w:line="560" w:lineRule="exact"/>
        <w:jc w:val="center"/>
        <w:rPr>
          <w:rFonts w:hint="eastAsia"/>
          <w:b/>
          <w:sz w:val="44"/>
          <w:szCs w:val="44"/>
        </w:rPr>
      </w:pPr>
    </w:p>
    <w:p w14:paraId="45186AAD">
      <w:pPr>
        <w:spacing w:line="560" w:lineRule="exact"/>
        <w:jc w:val="center"/>
        <w:rPr>
          <w:rFonts w:hint="eastAsia"/>
          <w:b/>
          <w:sz w:val="44"/>
          <w:szCs w:val="44"/>
        </w:rPr>
      </w:pPr>
    </w:p>
    <w:p w14:paraId="259F6D67">
      <w:pPr>
        <w:spacing w:line="560" w:lineRule="exact"/>
        <w:jc w:val="center"/>
        <w:rPr>
          <w:rFonts w:hint="eastAsia"/>
          <w:b/>
          <w:sz w:val="44"/>
          <w:szCs w:val="44"/>
        </w:rPr>
      </w:pPr>
    </w:p>
    <w:p w14:paraId="02FC0C04">
      <w:pPr>
        <w:spacing w:line="560" w:lineRule="exact"/>
        <w:jc w:val="center"/>
        <w:rPr>
          <w:rFonts w:hint="eastAsia"/>
          <w:b/>
          <w:sz w:val="44"/>
          <w:szCs w:val="44"/>
        </w:rPr>
      </w:pPr>
    </w:p>
    <w:p w14:paraId="0AE9D5F9">
      <w:pPr>
        <w:spacing w:line="560" w:lineRule="exact"/>
        <w:jc w:val="center"/>
        <w:rPr>
          <w:rFonts w:hint="eastAsia"/>
          <w:b/>
          <w:sz w:val="44"/>
          <w:szCs w:val="44"/>
        </w:rPr>
      </w:pPr>
    </w:p>
    <w:p w14:paraId="155C28EF">
      <w:pPr>
        <w:spacing w:line="560" w:lineRule="exact"/>
        <w:jc w:val="center"/>
        <w:rPr>
          <w:rFonts w:hint="eastAsia"/>
          <w:b/>
          <w:sz w:val="44"/>
          <w:szCs w:val="44"/>
        </w:rPr>
      </w:pPr>
    </w:p>
    <w:p w14:paraId="2CCC08B4">
      <w:pPr>
        <w:spacing w:line="560" w:lineRule="exact"/>
        <w:jc w:val="center"/>
        <w:rPr>
          <w:b/>
          <w:sz w:val="44"/>
          <w:szCs w:val="44"/>
        </w:rPr>
      </w:pPr>
      <w:r>
        <w:rPr>
          <w:rFonts w:hint="eastAsia"/>
          <w:b/>
          <w:sz w:val="44"/>
          <w:szCs w:val="44"/>
        </w:rPr>
        <w:t>目    录</w:t>
      </w:r>
    </w:p>
    <w:p w14:paraId="136E35E8">
      <w:pPr>
        <w:spacing w:line="560" w:lineRule="exact"/>
        <w:rPr>
          <w:b/>
          <w:sz w:val="44"/>
          <w:szCs w:val="44"/>
          <w:u w:val="single"/>
        </w:rPr>
      </w:pPr>
    </w:p>
    <w:p w14:paraId="2F307D39">
      <w:pPr>
        <w:spacing w:line="560" w:lineRule="exact"/>
        <w:rPr>
          <w:b/>
          <w:sz w:val="44"/>
          <w:szCs w:val="44"/>
          <w:u w:val="single"/>
        </w:rPr>
      </w:pPr>
    </w:p>
    <w:p w14:paraId="30BA31F6">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7CC68ECD">
      <w:pPr>
        <w:spacing w:line="560" w:lineRule="exact"/>
        <w:rPr>
          <w:rFonts w:ascii="黑体" w:hAnsi="黑体" w:eastAsia="黑体"/>
          <w:sz w:val="32"/>
          <w:szCs w:val="32"/>
        </w:rPr>
      </w:pPr>
      <w:r>
        <w:rPr>
          <w:rFonts w:hint="eastAsia" w:ascii="黑体" w:hAnsi="黑体" w:eastAsia="黑体"/>
          <w:sz w:val="32"/>
          <w:szCs w:val="32"/>
        </w:rPr>
        <w:t>第二部分    盘锦市商务局概况</w:t>
      </w:r>
    </w:p>
    <w:p w14:paraId="324268D5">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8C1D132">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656FA0CB">
      <w:pPr>
        <w:spacing w:line="560" w:lineRule="exact"/>
        <w:rPr>
          <w:rFonts w:ascii="黑体" w:hAnsi="黑体" w:eastAsia="黑体"/>
          <w:sz w:val="32"/>
          <w:szCs w:val="32"/>
        </w:rPr>
      </w:pPr>
      <w:r>
        <w:rPr>
          <w:rFonts w:hint="eastAsia" w:ascii="黑体" w:hAnsi="黑体" w:eastAsia="黑体"/>
          <w:sz w:val="32"/>
          <w:szCs w:val="32"/>
        </w:rPr>
        <w:t>第三部分    盘锦市商务局</w:t>
      </w:r>
      <w:r>
        <w:rPr>
          <w:rFonts w:hint="eastAsia" w:ascii="黑体" w:hAnsi="黑体" w:eastAsia="黑体"/>
          <w:sz w:val="32"/>
          <w:szCs w:val="32"/>
          <w:lang w:val="en-US" w:eastAsia="zh-CN"/>
        </w:rPr>
        <w:t>2025</w:t>
      </w:r>
      <w:r>
        <w:rPr>
          <w:rFonts w:hint="eastAsia" w:ascii="黑体" w:hAnsi="黑体" w:eastAsia="黑体"/>
          <w:sz w:val="32"/>
          <w:szCs w:val="32"/>
        </w:rPr>
        <w:t>年部门预算情况说明</w:t>
      </w:r>
    </w:p>
    <w:p w14:paraId="7E8E93DA">
      <w:pPr>
        <w:spacing w:line="560" w:lineRule="exact"/>
        <w:rPr>
          <w:rFonts w:ascii="黑体" w:hAnsi="黑体" w:eastAsia="黑体"/>
          <w:sz w:val="32"/>
          <w:szCs w:val="32"/>
        </w:rPr>
      </w:pPr>
      <w:r>
        <w:rPr>
          <w:rFonts w:hint="eastAsia" w:ascii="黑体" w:hAnsi="黑体" w:eastAsia="黑体"/>
          <w:sz w:val="32"/>
          <w:szCs w:val="32"/>
        </w:rPr>
        <w:t>第四部分    名词解释</w:t>
      </w:r>
    </w:p>
    <w:p w14:paraId="48495E01">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年盘锦市商务局部门预算</w:t>
      </w:r>
      <w:r>
        <w:rPr>
          <w:rFonts w:hint="eastAsia" w:ascii="黑体" w:hAnsi="黑体" w:eastAsia="黑体"/>
          <w:sz w:val="32"/>
          <w:szCs w:val="32"/>
          <w:lang w:eastAsia="zh-CN"/>
        </w:rPr>
        <w:t>公开</w:t>
      </w:r>
      <w:r>
        <w:rPr>
          <w:rFonts w:hint="eastAsia" w:ascii="黑体" w:hAnsi="黑体" w:eastAsia="黑体"/>
          <w:sz w:val="32"/>
          <w:szCs w:val="32"/>
        </w:rPr>
        <w:t>表</w:t>
      </w:r>
    </w:p>
    <w:p w14:paraId="2CA64FCE">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1452935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A7206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37E087DC">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4FDF2D0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7BAD171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69CBFB64">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5AC84BD6">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75E04E6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2DBDF77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441190D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6798B1C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46F2A7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515F2A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4521FEC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4FB257E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2DCD22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54FF6C7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46B0DB9F">
      <w:pPr>
        <w:spacing w:line="560" w:lineRule="exact"/>
        <w:rPr>
          <w:rFonts w:ascii="黑体" w:hAnsi="黑体" w:eastAsia="黑体"/>
          <w:sz w:val="32"/>
          <w:szCs w:val="32"/>
        </w:rPr>
      </w:pPr>
      <w:r>
        <w:rPr>
          <w:rFonts w:hint="eastAsia" w:ascii="黑体" w:hAnsi="黑体" w:eastAsia="黑体"/>
          <w:sz w:val="32"/>
          <w:szCs w:val="32"/>
        </w:rPr>
        <w:t>　</w:t>
      </w:r>
    </w:p>
    <w:p w14:paraId="41AFBFB6">
      <w:pPr>
        <w:spacing w:line="560" w:lineRule="exact"/>
        <w:rPr>
          <w:rFonts w:ascii="黑体" w:hAnsi="黑体" w:eastAsia="黑体"/>
          <w:sz w:val="32"/>
          <w:szCs w:val="32"/>
        </w:rPr>
      </w:pPr>
    </w:p>
    <w:p w14:paraId="6D203BB0">
      <w:pPr>
        <w:spacing w:line="560" w:lineRule="exact"/>
        <w:rPr>
          <w:rFonts w:ascii="黑体" w:hAnsi="黑体" w:eastAsia="黑体"/>
          <w:sz w:val="32"/>
          <w:szCs w:val="32"/>
        </w:rPr>
      </w:pPr>
    </w:p>
    <w:p w14:paraId="5B820462">
      <w:pPr>
        <w:spacing w:line="560" w:lineRule="exact"/>
        <w:rPr>
          <w:rFonts w:ascii="宋体" w:hAnsi="宋体"/>
          <w:b/>
          <w:sz w:val="36"/>
          <w:szCs w:val="36"/>
        </w:rPr>
      </w:pPr>
    </w:p>
    <w:p w14:paraId="5D110EF7">
      <w:pPr>
        <w:spacing w:line="560" w:lineRule="exact"/>
        <w:rPr>
          <w:rFonts w:ascii="宋体" w:hAnsi="宋体"/>
          <w:b/>
          <w:sz w:val="36"/>
          <w:szCs w:val="36"/>
        </w:rPr>
      </w:pPr>
    </w:p>
    <w:p w14:paraId="1159FFC3">
      <w:pPr>
        <w:spacing w:line="560" w:lineRule="exact"/>
        <w:jc w:val="center"/>
        <w:rPr>
          <w:rFonts w:ascii="宋体" w:hAnsi="宋体"/>
          <w:b/>
          <w:sz w:val="36"/>
          <w:szCs w:val="36"/>
        </w:rPr>
      </w:pPr>
    </w:p>
    <w:p w14:paraId="65B174FB">
      <w:pPr>
        <w:spacing w:line="560" w:lineRule="exact"/>
        <w:jc w:val="center"/>
        <w:rPr>
          <w:rFonts w:ascii="宋体" w:hAnsi="宋体"/>
          <w:b/>
          <w:sz w:val="36"/>
          <w:szCs w:val="36"/>
        </w:rPr>
      </w:pPr>
    </w:p>
    <w:p w14:paraId="17FB9E1B">
      <w:pPr>
        <w:spacing w:line="560" w:lineRule="exact"/>
        <w:jc w:val="center"/>
        <w:rPr>
          <w:rFonts w:ascii="宋体" w:hAnsi="宋体"/>
          <w:b/>
          <w:sz w:val="36"/>
          <w:szCs w:val="36"/>
        </w:rPr>
      </w:pPr>
    </w:p>
    <w:p w14:paraId="1199AB69">
      <w:pPr>
        <w:spacing w:line="560" w:lineRule="exact"/>
        <w:jc w:val="center"/>
        <w:rPr>
          <w:rFonts w:ascii="宋体" w:hAnsi="宋体"/>
          <w:b/>
          <w:sz w:val="36"/>
          <w:szCs w:val="36"/>
        </w:rPr>
      </w:pPr>
    </w:p>
    <w:p w14:paraId="5833D5D0">
      <w:pPr>
        <w:spacing w:line="560" w:lineRule="exact"/>
        <w:jc w:val="center"/>
        <w:rPr>
          <w:rFonts w:ascii="宋体" w:hAnsi="宋体"/>
          <w:b/>
          <w:sz w:val="36"/>
          <w:szCs w:val="36"/>
        </w:rPr>
      </w:pPr>
    </w:p>
    <w:p w14:paraId="348F54CD">
      <w:pPr>
        <w:spacing w:line="560" w:lineRule="exact"/>
        <w:jc w:val="center"/>
        <w:rPr>
          <w:rFonts w:ascii="宋体" w:hAnsi="宋体"/>
          <w:b/>
          <w:sz w:val="36"/>
          <w:szCs w:val="36"/>
        </w:rPr>
      </w:pPr>
    </w:p>
    <w:p w14:paraId="458FBE06">
      <w:pPr>
        <w:spacing w:line="560" w:lineRule="exact"/>
        <w:jc w:val="center"/>
        <w:rPr>
          <w:rFonts w:ascii="宋体" w:hAnsi="宋体"/>
          <w:b/>
          <w:sz w:val="36"/>
          <w:szCs w:val="36"/>
        </w:rPr>
      </w:pPr>
    </w:p>
    <w:p w14:paraId="71E4CA28">
      <w:pPr>
        <w:spacing w:line="560" w:lineRule="exact"/>
        <w:jc w:val="center"/>
        <w:rPr>
          <w:rFonts w:ascii="宋体" w:hAnsi="宋体"/>
          <w:b/>
          <w:sz w:val="36"/>
          <w:szCs w:val="36"/>
        </w:rPr>
      </w:pPr>
    </w:p>
    <w:p w14:paraId="01E15F44">
      <w:pPr>
        <w:spacing w:line="560" w:lineRule="exact"/>
        <w:jc w:val="center"/>
        <w:rPr>
          <w:rFonts w:ascii="宋体" w:hAnsi="宋体"/>
          <w:b/>
          <w:sz w:val="36"/>
          <w:szCs w:val="36"/>
        </w:rPr>
      </w:pPr>
    </w:p>
    <w:p w14:paraId="30A671A3">
      <w:pPr>
        <w:spacing w:line="560" w:lineRule="exact"/>
        <w:jc w:val="center"/>
        <w:rPr>
          <w:rFonts w:ascii="宋体" w:hAnsi="宋体"/>
          <w:b/>
          <w:sz w:val="36"/>
          <w:szCs w:val="36"/>
        </w:rPr>
      </w:pPr>
    </w:p>
    <w:p w14:paraId="6540A0C9">
      <w:pPr>
        <w:spacing w:line="560" w:lineRule="exact"/>
        <w:jc w:val="center"/>
        <w:rPr>
          <w:rFonts w:ascii="宋体" w:hAnsi="宋体"/>
          <w:b/>
          <w:sz w:val="36"/>
          <w:szCs w:val="36"/>
        </w:rPr>
      </w:pPr>
    </w:p>
    <w:p w14:paraId="5043514E">
      <w:pPr>
        <w:spacing w:line="560" w:lineRule="exact"/>
        <w:jc w:val="center"/>
        <w:rPr>
          <w:rFonts w:ascii="宋体" w:hAnsi="宋体"/>
          <w:b/>
          <w:sz w:val="36"/>
          <w:szCs w:val="36"/>
        </w:rPr>
      </w:pPr>
    </w:p>
    <w:p w14:paraId="3FB81F30">
      <w:pPr>
        <w:spacing w:line="560" w:lineRule="exact"/>
        <w:jc w:val="center"/>
        <w:rPr>
          <w:rFonts w:ascii="宋体" w:hAnsi="宋体"/>
          <w:b/>
          <w:sz w:val="36"/>
          <w:szCs w:val="36"/>
        </w:rPr>
      </w:pPr>
    </w:p>
    <w:p w14:paraId="15B19CD5">
      <w:pPr>
        <w:spacing w:line="560" w:lineRule="exact"/>
        <w:jc w:val="center"/>
        <w:rPr>
          <w:rFonts w:ascii="宋体" w:hAnsi="宋体"/>
          <w:b/>
          <w:sz w:val="36"/>
          <w:szCs w:val="36"/>
        </w:rPr>
      </w:pPr>
    </w:p>
    <w:p w14:paraId="61FCA81C">
      <w:pPr>
        <w:pStyle w:val="2"/>
      </w:pPr>
    </w:p>
    <w:p w14:paraId="2A2E2996">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51A6EF5E">
      <w:pPr>
        <w:spacing w:line="560" w:lineRule="exact"/>
        <w:jc w:val="center"/>
        <w:rPr>
          <w:rFonts w:ascii="宋体" w:hAnsi="宋体"/>
          <w:b/>
          <w:sz w:val="36"/>
          <w:szCs w:val="36"/>
        </w:rPr>
      </w:pPr>
    </w:p>
    <w:p w14:paraId="0ABC778B">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14:paraId="02C219DE">
      <w:pPr>
        <w:ind w:firstLine="645"/>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14:paraId="15D64D48">
      <w:pPr>
        <w:spacing w:line="560" w:lineRule="exact"/>
        <w:rPr>
          <w:rFonts w:ascii="宋体" w:hAnsi="宋体"/>
          <w:b/>
          <w:sz w:val="36"/>
          <w:szCs w:val="36"/>
        </w:rPr>
      </w:pPr>
    </w:p>
    <w:p w14:paraId="67648405">
      <w:pPr>
        <w:spacing w:line="560" w:lineRule="exact"/>
        <w:rPr>
          <w:rFonts w:ascii="宋体" w:hAnsi="宋体"/>
          <w:b/>
          <w:sz w:val="36"/>
          <w:szCs w:val="36"/>
        </w:rPr>
      </w:pPr>
    </w:p>
    <w:p w14:paraId="2ED9FE7E">
      <w:pPr>
        <w:spacing w:line="560" w:lineRule="exact"/>
        <w:jc w:val="center"/>
        <w:rPr>
          <w:rFonts w:ascii="宋体" w:hAnsi="宋体"/>
          <w:b/>
          <w:sz w:val="36"/>
          <w:szCs w:val="36"/>
        </w:rPr>
      </w:pPr>
      <w:r>
        <w:rPr>
          <w:rFonts w:hint="eastAsia" w:ascii="宋体" w:hAnsi="宋体"/>
          <w:b/>
          <w:sz w:val="36"/>
          <w:szCs w:val="36"/>
        </w:rPr>
        <w:t>第二部分 盘锦市商务局概况</w:t>
      </w:r>
    </w:p>
    <w:p w14:paraId="4EB4557F">
      <w:pPr>
        <w:spacing w:line="560" w:lineRule="exact"/>
        <w:ind w:firstLine="646" w:firstLineChars="200"/>
        <w:jc w:val="left"/>
        <w:rPr>
          <w:rFonts w:ascii="黑体" w:eastAsia="黑体"/>
          <w:sz w:val="32"/>
          <w:szCs w:val="32"/>
        </w:rPr>
      </w:pPr>
    </w:p>
    <w:p w14:paraId="586E39F1">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703B2676">
      <w:pPr>
        <w:spacing w:line="560" w:lineRule="exact"/>
        <w:ind w:firstLine="646"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贯彻执行国家、省关于国内外贸易和国际经济合作的方针政策和法律法规，研究经济全球化、对外经济合作、现代流通方式的发展趋势和流通体制改革并提出建议；负责推进流通产业结构调整；拟订市内贸易发展规划，促进城乡市场发展；承担牵头协调整顿和规范市场经济秩序工作的责任；承担组织实施重要消费品市场调控和重要生产资料流通管理的责任；拟订全市对外贸易发展规划，推进全市对外贸易发展体系和新业态建设；执行国家对外技术贸易、出口管制以及鼓励技术和成套设备进出口的贸易政策，推进进出口贸易标准化工作；牵头拟订全市服务贸易发展规划并开展相关工作；拟订全市招商引资工作规划和计划，负责全市招商引资协调服务以及统计、监督和绩效考评等招商引资综合管理工作；贯彻执行国家有关区域经济合作的方针政策和法律法规，拟定区域经济合作的政策措施，推进区域经济合作和经济技术交流工作；处理全市在国别（地区）经贸关系中的相关事务，负责对外经济贸易协调工作；承担组织协调反倾销、反补贴、保障措施及其他与进出口公平贸易相关工作的责任；宏观指导全市外商投资工作；负责全市对外经济合作工作；管理全市口岸工作；承担市对外开放工作领导小组日常工作；负责全市外事管理服务工作。</w:t>
      </w:r>
    </w:p>
    <w:p w14:paraId="277715BB">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2CCDDC09">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纳入盘锦市商务局</w:t>
      </w:r>
      <w:r>
        <w:rPr>
          <w:rFonts w:hint="eastAsia" w:ascii="仿宋_GB2312" w:eastAsia="仿宋_GB2312"/>
          <w:b/>
          <w:sz w:val="32"/>
          <w:szCs w:val="32"/>
          <w:lang w:val="en-US" w:eastAsia="zh-CN"/>
        </w:rPr>
        <w:t>2025</w:t>
      </w:r>
      <w:r>
        <w:rPr>
          <w:rFonts w:hint="eastAsia" w:ascii="仿宋_GB2312" w:eastAsia="仿宋_GB2312"/>
          <w:b/>
          <w:sz w:val="32"/>
          <w:szCs w:val="32"/>
        </w:rPr>
        <w:t>年部门预算编制范围的二级预算单位包括：</w:t>
      </w:r>
    </w:p>
    <w:p w14:paraId="3C159FDC">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1.盘锦市商务局本级</w:t>
      </w:r>
    </w:p>
    <w:p w14:paraId="1249E46F">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2.盘锦市投资促进中心</w:t>
      </w:r>
    </w:p>
    <w:p w14:paraId="03317DC5">
      <w:pPr>
        <w:spacing w:line="560" w:lineRule="exact"/>
        <w:jc w:val="both"/>
        <w:rPr>
          <w:rFonts w:ascii="宋体" w:hAnsi="宋体"/>
          <w:b/>
          <w:sz w:val="36"/>
          <w:szCs w:val="36"/>
        </w:rPr>
      </w:pPr>
    </w:p>
    <w:p w14:paraId="018C07A7">
      <w:pPr>
        <w:spacing w:line="560" w:lineRule="exact"/>
        <w:jc w:val="center"/>
        <w:rPr>
          <w:rFonts w:ascii="宋体" w:hAnsi="宋体"/>
          <w:b/>
          <w:sz w:val="36"/>
          <w:szCs w:val="36"/>
        </w:rPr>
      </w:pPr>
      <w:r>
        <w:rPr>
          <w:rFonts w:hint="eastAsia" w:ascii="宋体" w:hAnsi="宋体"/>
          <w:b/>
          <w:sz w:val="36"/>
          <w:szCs w:val="36"/>
        </w:rPr>
        <w:t>第三部分 盘锦市商务局</w:t>
      </w:r>
      <w:r>
        <w:rPr>
          <w:rFonts w:hint="eastAsia" w:ascii="宋体" w:hAnsi="宋体"/>
          <w:b/>
          <w:sz w:val="36"/>
          <w:szCs w:val="36"/>
          <w:lang w:val="en-US" w:eastAsia="zh-CN"/>
        </w:rPr>
        <w:t>2025</w:t>
      </w:r>
      <w:r>
        <w:rPr>
          <w:rFonts w:hint="eastAsia" w:ascii="宋体" w:hAnsi="宋体"/>
          <w:b/>
          <w:sz w:val="36"/>
          <w:szCs w:val="36"/>
        </w:rPr>
        <w:t>年部门预算情况说明</w:t>
      </w:r>
    </w:p>
    <w:p w14:paraId="77395A27">
      <w:pPr>
        <w:spacing w:line="560" w:lineRule="exact"/>
        <w:jc w:val="center"/>
        <w:rPr>
          <w:rFonts w:ascii="宋体" w:hAnsi="宋体"/>
          <w:b/>
          <w:sz w:val="36"/>
          <w:szCs w:val="36"/>
        </w:rPr>
      </w:pPr>
    </w:p>
    <w:p w14:paraId="5531CFC1">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561E652A">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1417.28</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07637A7">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1417.28</w:t>
      </w:r>
      <w:r>
        <w:rPr>
          <w:rFonts w:hint="eastAsia" w:ascii="仿宋_GB2312" w:hAnsi="宋体" w:eastAsia="仿宋_GB2312"/>
          <w:sz w:val="32"/>
          <w:szCs w:val="32"/>
          <w:highlight w:val="none"/>
        </w:rPr>
        <w:t>万元；</w:t>
      </w:r>
    </w:p>
    <w:p w14:paraId="6C72C50B">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6F8166BC">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6F357FF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BABE4DD">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14AB2A74">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487FEFF4">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1417.28</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706EBEE9">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1216.28</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EF76448">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201</w:t>
      </w:r>
      <w:r>
        <w:rPr>
          <w:rFonts w:hint="eastAsia" w:ascii="仿宋_GB2312" w:eastAsia="仿宋_GB2312"/>
          <w:sz w:val="32"/>
          <w:szCs w:val="32"/>
          <w:highlight w:val="none"/>
        </w:rPr>
        <w:t>万元。</w:t>
      </w:r>
    </w:p>
    <w:p w14:paraId="4D75829F">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5D07A0CB">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7</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201</w:t>
      </w:r>
      <w:r>
        <w:rPr>
          <w:rFonts w:hint="eastAsia" w:ascii="仿宋_GB2312" w:eastAsia="仿宋_GB2312" w:cs="仿宋_GB2312"/>
          <w:sz w:val="32"/>
          <w:szCs w:val="32"/>
          <w:highlight w:val="none"/>
        </w:rPr>
        <w:t xml:space="preserve">万元。 </w:t>
      </w:r>
    </w:p>
    <w:p w14:paraId="0BD3BFC5">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63.92</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val="en-US" w:eastAsia="zh-CN"/>
        </w:rPr>
        <w:t>项目增加</w:t>
      </w:r>
      <w:r>
        <w:rPr>
          <w:rFonts w:hint="eastAsia" w:ascii="黑体" w:hAnsi="黑体" w:eastAsia="黑体"/>
          <w:sz w:val="32"/>
          <w:szCs w:val="32"/>
          <w:highlight w:val="none"/>
        </w:rPr>
        <w:t>。</w:t>
      </w:r>
    </w:p>
    <w:p w14:paraId="45E421A0">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0084C9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年，盘锦市商务局管理专项资金共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3D53A398">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1DFFFC2F">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年盘锦市商务局机关运行经费预算为</w:t>
      </w:r>
      <w:r>
        <w:rPr>
          <w:rFonts w:hint="eastAsia" w:ascii="仿宋_GB2312" w:hAnsi="宋体" w:eastAsia="仿宋_GB2312"/>
          <w:sz w:val="32"/>
          <w:szCs w:val="32"/>
          <w:lang w:val="en-US" w:eastAsia="zh-CN"/>
        </w:rPr>
        <w:t>35.7</w:t>
      </w:r>
      <w:r>
        <w:rPr>
          <w:rFonts w:hint="eastAsia" w:ascii="仿宋_GB2312" w:hAnsi="宋体" w:eastAsia="仿宋_GB2312"/>
          <w:sz w:val="32"/>
          <w:szCs w:val="32"/>
        </w:rPr>
        <w:t>万元，主要包括办公费</w:t>
      </w:r>
      <w:r>
        <w:rPr>
          <w:rFonts w:hint="eastAsia" w:ascii="仿宋_GB2312" w:hAnsi="宋体" w:eastAsia="仿宋_GB2312"/>
          <w:sz w:val="32"/>
          <w:szCs w:val="32"/>
          <w:lang w:val="en-US" w:eastAsia="zh-CN"/>
        </w:rPr>
        <w:t>8.96</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、印刷费5</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、邮电费5</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、工会经费5.69</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、公务用车运行维护费4.5</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、其他商品和服务支出6.55</w:t>
      </w:r>
      <w:r>
        <w:rPr>
          <w:rFonts w:hint="eastAsia" w:ascii="仿宋_GB2312" w:hAnsi="宋体" w:eastAsia="仿宋_GB2312"/>
          <w:sz w:val="32"/>
          <w:szCs w:val="32"/>
        </w:rPr>
        <w:t>万元。</w:t>
      </w:r>
    </w:p>
    <w:p w14:paraId="025ED2E6">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78C30A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2025年，盘锦市商务局无政府采购预算安排。</w:t>
      </w:r>
    </w:p>
    <w:p w14:paraId="1E7C45A7">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111630C4">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年，盘锦市商务局</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27.5</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11</w:t>
      </w:r>
      <w:r>
        <w:rPr>
          <w:rFonts w:hint="eastAsia" w:ascii="仿宋_GB2312" w:eastAsia="仿宋_GB2312"/>
          <w:sz w:val="32"/>
          <w:szCs w:val="32"/>
        </w:rPr>
        <w:t>万元，下降</w:t>
      </w:r>
      <w:r>
        <w:rPr>
          <w:rFonts w:hint="eastAsia" w:ascii="仿宋_GB2312" w:eastAsia="仿宋_GB2312"/>
          <w:sz w:val="32"/>
          <w:szCs w:val="32"/>
          <w:lang w:val="en-US" w:eastAsia="zh-CN"/>
        </w:rPr>
        <w:t>28.57</w:t>
      </w:r>
      <w:r>
        <w:rPr>
          <w:rFonts w:hint="eastAsia" w:ascii="仿宋_GB2312" w:eastAsia="仿宋_GB2312"/>
          <w:sz w:val="32"/>
          <w:szCs w:val="32"/>
        </w:rPr>
        <w:t>%。其中：</w:t>
      </w:r>
    </w:p>
    <w:p w14:paraId="38521192">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w:t>
      </w:r>
    </w:p>
    <w:p w14:paraId="71309821">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15</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11</w:t>
      </w:r>
      <w:r>
        <w:rPr>
          <w:rFonts w:hint="eastAsia" w:ascii="仿宋_GB2312" w:eastAsia="仿宋_GB2312"/>
          <w:sz w:val="32"/>
          <w:szCs w:val="32"/>
        </w:rPr>
        <w:t>万元，下降</w:t>
      </w:r>
      <w:r>
        <w:rPr>
          <w:rFonts w:hint="eastAsia" w:ascii="仿宋_GB2312" w:eastAsia="仿宋_GB2312"/>
          <w:sz w:val="32"/>
          <w:szCs w:val="32"/>
          <w:lang w:val="en-US" w:eastAsia="zh-CN"/>
        </w:rPr>
        <w:t>42.31</w:t>
      </w:r>
      <w:r>
        <w:rPr>
          <w:rFonts w:hint="eastAsia" w:ascii="仿宋_GB2312" w:eastAsia="仿宋_GB2312"/>
          <w:sz w:val="32"/>
          <w:szCs w:val="32"/>
        </w:rPr>
        <w:t>%。主要原因为</w:t>
      </w:r>
      <w:r>
        <w:rPr>
          <w:rFonts w:hint="eastAsia" w:ascii="仿宋_GB2312" w:eastAsia="仿宋_GB2312"/>
          <w:sz w:val="32"/>
          <w:szCs w:val="32"/>
          <w:lang w:val="en-US" w:eastAsia="zh-CN"/>
        </w:rPr>
        <w:t>压缩三公经费支出</w:t>
      </w:r>
      <w:r>
        <w:rPr>
          <w:rFonts w:hint="eastAsia" w:ascii="仿宋_GB2312" w:eastAsia="仿宋_GB2312"/>
          <w:sz w:val="32"/>
          <w:szCs w:val="32"/>
        </w:rPr>
        <w:t>。</w:t>
      </w:r>
    </w:p>
    <w:p w14:paraId="424141DC">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12.5</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；公务用车运行费</w:t>
      </w:r>
      <w:r>
        <w:rPr>
          <w:rFonts w:hint="eastAsia" w:ascii="仿宋_GB2312" w:eastAsia="仿宋_GB2312"/>
          <w:sz w:val="32"/>
          <w:szCs w:val="32"/>
          <w:lang w:val="en-US" w:eastAsia="zh-CN"/>
        </w:rPr>
        <w:t>12.5</w:t>
      </w:r>
      <w:r>
        <w:rPr>
          <w:rFonts w:hint="eastAsia" w:ascii="仿宋_GB2312" w:eastAsia="仿宋_GB2312"/>
          <w:sz w:val="32"/>
          <w:szCs w:val="32"/>
        </w:rPr>
        <w:t>万元，</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w:t>
      </w:r>
      <w:r>
        <w:rPr>
          <w:rFonts w:hint="eastAsia" w:ascii="仿宋_GB2312" w:eastAsia="仿宋_GB2312"/>
          <w:sz w:val="32"/>
          <w:szCs w:val="32"/>
          <w:lang w:val="en-US" w:eastAsia="zh-CN"/>
        </w:rPr>
        <w:t>与</w:t>
      </w:r>
      <w:r>
        <w:rPr>
          <w:rFonts w:hint="eastAsia" w:ascii="仿宋_GB2312" w:eastAsia="仿宋_GB2312"/>
          <w:sz w:val="32"/>
          <w:szCs w:val="32"/>
          <w:lang w:eastAsia="zh-CN"/>
        </w:rPr>
        <w:t>上</w:t>
      </w:r>
      <w:r>
        <w:rPr>
          <w:rFonts w:hint="eastAsia" w:ascii="仿宋_GB2312" w:eastAsia="仿宋_GB2312"/>
          <w:sz w:val="32"/>
          <w:szCs w:val="32"/>
        </w:rPr>
        <w:t>年</w:t>
      </w:r>
      <w:r>
        <w:rPr>
          <w:rFonts w:hint="eastAsia" w:ascii="仿宋_GB2312" w:eastAsia="仿宋_GB2312"/>
          <w:sz w:val="32"/>
          <w:szCs w:val="32"/>
          <w:lang w:val="en-US" w:eastAsia="zh-CN"/>
        </w:rPr>
        <w:t>持平</w:t>
      </w:r>
      <w:r>
        <w:rPr>
          <w:rFonts w:hint="eastAsia" w:ascii="仿宋_GB2312" w:eastAsia="仿宋_GB2312"/>
          <w:sz w:val="32"/>
          <w:szCs w:val="32"/>
        </w:rPr>
        <w:t>。</w:t>
      </w:r>
    </w:p>
    <w:tbl>
      <w:tblPr>
        <w:tblStyle w:val="6"/>
        <w:tblpPr w:leftFromText="180" w:rightFromText="180" w:vertAnchor="text" w:horzAnchor="page" w:tblpX="1896" w:tblpY="202"/>
        <w:tblOverlap w:val="never"/>
        <w:tblW w:w="8835" w:type="dxa"/>
        <w:tblInd w:w="0" w:type="dxa"/>
        <w:tblLayout w:type="fixed"/>
        <w:tblCellMar>
          <w:top w:w="15" w:type="dxa"/>
          <w:left w:w="108" w:type="dxa"/>
          <w:bottom w:w="15" w:type="dxa"/>
          <w:right w:w="108" w:type="dxa"/>
        </w:tblCellMar>
      </w:tblPr>
      <w:tblGrid>
        <w:gridCol w:w="3423"/>
        <w:gridCol w:w="2026"/>
        <w:gridCol w:w="803"/>
        <w:gridCol w:w="2583"/>
      </w:tblGrid>
      <w:tr w14:paraId="35E60259">
        <w:tblPrEx>
          <w:tblCellMar>
            <w:top w:w="15" w:type="dxa"/>
            <w:left w:w="108" w:type="dxa"/>
            <w:bottom w:w="15" w:type="dxa"/>
            <w:right w:w="108" w:type="dxa"/>
          </w:tblCellMar>
        </w:tblPrEx>
        <w:trPr>
          <w:trHeight w:val="570" w:hRule="atLeast"/>
        </w:trPr>
        <w:tc>
          <w:tcPr>
            <w:tcW w:w="8835" w:type="dxa"/>
            <w:gridSpan w:val="4"/>
            <w:vAlign w:val="center"/>
          </w:tcPr>
          <w:p w14:paraId="4DAE9ADE">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27AFC269">
        <w:tblPrEx>
          <w:tblCellMar>
            <w:top w:w="15" w:type="dxa"/>
            <w:left w:w="108" w:type="dxa"/>
            <w:bottom w:w="15" w:type="dxa"/>
            <w:right w:w="108" w:type="dxa"/>
          </w:tblCellMar>
        </w:tblPrEx>
        <w:trPr>
          <w:trHeight w:val="480" w:hRule="atLeast"/>
        </w:trPr>
        <w:tc>
          <w:tcPr>
            <w:tcW w:w="3423" w:type="dxa"/>
            <w:vAlign w:val="center"/>
          </w:tcPr>
          <w:p w14:paraId="45970C4B">
            <w:pPr>
              <w:widowControl/>
              <w:spacing w:line="560" w:lineRule="exact"/>
              <w:jc w:val="left"/>
              <w:rPr>
                <w:rFonts w:ascii="宋体" w:hAnsi="宋体" w:cs="宋体"/>
                <w:color w:val="000000"/>
                <w:kern w:val="0"/>
                <w:sz w:val="24"/>
              </w:rPr>
            </w:pPr>
          </w:p>
        </w:tc>
        <w:tc>
          <w:tcPr>
            <w:tcW w:w="2026" w:type="dxa"/>
            <w:vAlign w:val="center"/>
          </w:tcPr>
          <w:p w14:paraId="649B6B86">
            <w:pPr>
              <w:widowControl/>
              <w:spacing w:line="560" w:lineRule="exact"/>
              <w:jc w:val="left"/>
              <w:rPr>
                <w:rFonts w:ascii="宋体" w:hAnsi="宋体" w:cs="宋体"/>
                <w:color w:val="000000"/>
                <w:kern w:val="0"/>
                <w:sz w:val="24"/>
              </w:rPr>
            </w:pPr>
          </w:p>
        </w:tc>
        <w:tc>
          <w:tcPr>
            <w:tcW w:w="3386" w:type="dxa"/>
            <w:gridSpan w:val="2"/>
            <w:vAlign w:val="center"/>
          </w:tcPr>
          <w:p w14:paraId="15A231E6">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4813C335">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2222EF4C">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26954E3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03FDB96D">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FC56478">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BD4E033">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5457CD3B">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4B25A666">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C3F4E8A">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A923CA3">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38.5</w:t>
            </w:r>
          </w:p>
        </w:tc>
        <w:tc>
          <w:tcPr>
            <w:tcW w:w="2583" w:type="dxa"/>
            <w:tcBorders>
              <w:top w:val="single" w:color="000000" w:sz="4" w:space="0"/>
              <w:left w:val="single" w:color="000000" w:sz="4" w:space="0"/>
              <w:bottom w:val="single" w:color="000000" w:sz="4" w:space="0"/>
              <w:right w:val="single" w:color="000000" w:sz="4" w:space="0"/>
            </w:tcBorders>
            <w:vAlign w:val="center"/>
          </w:tcPr>
          <w:p w14:paraId="46009A62">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27.5</w:t>
            </w:r>
          </w:p>
        </w:tc>
      </w:tr>
      <w:tr w14:paraId="7742436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F9A4FEE">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37B2FB6">
            <w:pPr>
              <w:widowControl/>
              <w:spacing w:line="560" w:lineRule="exact"/>
              <w:jc w:val="center"/>
              <w:rPr>
                <w:rFonts w:hint="eastAsia" w:ascii="宋体" w:hAnsi="宋体" w:eastAsia="宋体" w:cs="宋体"/>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7BA64B59">
            <w:pPr>
              <w:widowControl/>
              <w:spacing w:line="560" w:lineRule="exact"/>
              <w:jc w:val="center"/>
              <w:rPr>
                <w:rFonts w:hint="eastAsia" w:ascii="宋体" w:hAnsi="宋体" w:eastAsia="宋体" w:cs="宋体"/>
                <w:color w:val="000000"/>
                <w:kern w:val="0"/>
                <w:sz w:val="24"/>
                <w:lang w:val="en-US" w:eastAsia="zh-CN"/>
              </w:rPr>
            </w:pPr>
          </w:p>
        </w:tc>
      </w:tr>
      <w:tr w14:paraId="407C57A3">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EDFD342">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C47BC3A">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26</w:t>
            </w:r>
          </w:p>
        </w:tc>
        <w:tc>
          <w:tcPr>
            <w:tcW w:w="2583" w:type="dxa"/>
            <w:tcBorders>
              <w:top w:val="single" w:color="000000" w:sz="4" w:space="0"/>
              <w:left w:val="single" w:color="000000" w:sz="4" w:space="0"/>
              <w:bottom w:val="single" w:color="000000" w:sz="4" w:space="0"/>
              <w:right w:val="single" w:color="000000" w:sz="4" w:space="0"/>
            </w:tcBorders>
            <w:vAlign w:val="center"/>
          </w:tcPr>
          <w:p w14:paraId="4214A9B5">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15</w:t>
            </w:r>
          </w:p>
        </w:tc>
      </w:tr>
      <w:tr w14:paraId="4241A613">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455CB1F">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1F3EE88">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12.5</w:t>
            </w:r>
          </w:p>
        </w:tc>
        <w:tc>
          <w:tcPr>
            <w:tcW w:w="2583" w:type="dxa"/>
            <w:tcBorders>
              <w:top w:val="single" w:color="000000" w:sz="4" w:space="0"/>
              <w:left w:val="single" w:color="000000" w:sz="4" w:space="0"/>
              <w:bottom w:val="single" w:color="000000" w:sz="4" w:space="0"/>
              <w:right w:val="single" w:color="000000" w:sz="4" w:space="0"/>
            </w:tcBorders>
            <w:vAlign w:val="center"/>
          </w:tcPr>
          <w:p w14:paraId="7DB974CE">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12.5</w:t>
            </w:r>
          </w:p>
        </w:tc>
      </w:tr>
      <w:tr w14:paraId="3D6CDEE3">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05B84F9">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0930266">
            <w:pPr>
              <w:widowControl/>
              <w:spacing w:line="560" w:lineRule="exact"/>
              <w:jc w:val="center"/>
              <w:rPr>
                <w:rFonts w:hint="eastAsia" w:ascii="宋体" w:hAnsi="宋体" w:eastAsia="宋体" w:cs="宋体"/>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B065BAB">
            <w:pPr>
              <w:widowControl/>
              <w:spacing w:line="560" w:lineRule="exact"/>
              <w:jc w:val="center"/>
              <w:rPr>
                <w:rFonts w:hint="eastAsia" w:ascii="宋体" w:hAnsi="宋体" w:eastAsia="宋体" w:cs="宋体"/>
                <w:color w:val="000000"/>
                <w:kern w:val="0"/>
                <w:sz w:val="24"/>
                <w:lang w:val="en-US" w:eastAsia="zh-CN"/>
              </w:rPr>
            </w:pPr>
            <w:bookmarkStart w:id="0" w:name="_GoBack"/>
            <w:bookmarkEnd w:id="0"/>
          </w:p>
        </w:tc>
      </w:tr>
      <w:tr w14:paraId="267BA60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C9CC08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9395D89">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12.5</w:t>
            </w:r>
          </w:p>
        </w:tc>
        <w:tc>
          <w:tcPr>
            <w:tcW w:w="2583" w:type="dxa"/>
            <w:tcBorders>
              <w:top w:val="single" w:color="000000" w:sz="4" w:space="0"/>
              <w:left w:val="single" w:color="000000" w:sz="4" w:space="0"/>
              <w:bottom w:val="single" w:color="000000" w:sz="4" w:space="0"/>
              <w:right w:val="single" w:color="000000" w:sz="4" w:space="0"/>
            </w:tcBorders>
            <w:vAlign w:val="center"/>
          </w:tcPr>
          <w:p w14:paraId="0023F826">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12.5</w:t>
            </w:r>
          </w:p>
        </w:tc>
      </w:tr>
    </w:tbl>
    <w:p w14:paraId="2CE3B8FF">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73B26423">
      <w:pPr>
        <w:spacing w:line="560" w:lineRule="exact"/>
        <w:ind w:firstLine="646" w:firstLineChars="200"/>
        <w:rPr>
          <w:rFonts w:ascii="仿宋_GB2312" w:hAnsi="宋体" w:eastAsia="仿宋_GB2312"/>
          <w:sz w:val="32"/>
          <w:szCs w:val="32"/>
        </w:rPr>
      </w:pPr>
      <w:r>
        <w:rPr>
          <w:rFonts w:hint="eastAsia" w:ascii="仿宋_GB2312" w:eastAsia="仿宋_GB2312"/>
          <w:sz w:val="32"/>
          <w:szCs w:val="32"/>
        </w:rPr>
        <w:t>盘锦市商务局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0E1DC061">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561F5753">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eastAsia="仿宋_GB2312"/>
          <w:sz w:val="32"/>
          <w:szCs w:val="32"/>
        </w:rPr>
        <w:t>盘锦市商务局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2</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7</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7</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201</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3F14953A">
      <w:pPr>
        <w:spacing w:line="560" w:lineRule="exact"/>
        <w:jc w:val="center"/>
        <w:rPr>
          <w:rFonts w:hint="eastAsia" w:ascii="宋体" w:hAnsi="宋体"/>
          <w:b/>
          <w:sz w:val="36"/>
          <w:szCs w:val="36"/>
        </w:rPr>
      </w:pPr>
    </w:p>
    <w:p w14:paraId="11A2280A">
      <w:pPr>
        <w:spacing w:line="560" w:lineRule="exact"/>
        <w:jc w:val="center"/>
        <w:rPr>
          <w:rFonts w:hint="eastAsia" w:ascii="宋体" w:hAnsi="宋体"/>
          <w:b/>
          <w:sz w:val="36"/>
          <w:szCs w:val="36"/>
        </w:rPr>
      </w:pPr>
    </w:p>
    <w:p w14:paraId="1CED096C">
      <w:pPr>
        <w:spacing w:line="560" w:lineRule="exact"/>
        <w:jc w:val="center"/>
        <w:rPr>
          <w:rFonts w:ascii="宋体" w:hAnsi="宋体"/>
          <w:b/>
          <w:sz w:val="36"/>
          <w:szCs w:val="36"/>
        </w:rPr>
      </w:pPr>
      <w:r>
        <w:rPr>
          <w:rFonts w:hint="eastAsia" w:ascii="宋体" w:hAnsi="宋体"/>
          <w:b/>
          <w:sz w:val="36"/>
          <w:szCs w:val="36"/>
        </w:rPr>
        <w:t>第四部分 名词解释</w:t>
      </w:r>
    </w:p>
    <w:p w14:paraId="7E9CE087">
      <w:pPr>
        <w:spacing w:line="560" w:lineRule="exact"/>
        <w:jc w:val="center"/>
        <w:rPr>
          <w:rFonts w:ascii="仿宋_GB2312" w:eastAsia="仿宋_GB2312"/>
          <w:sz w:val="32"/>
          <w:szCs w:val="32"/>
        </w:rPr>
      </w:pPr>
    </w:p>
    <w:p w14:paraId="75C23BE9">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9A5767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37650FBE">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078EA5D5">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36C0D146">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3A4FF3E7">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4478AE67">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7.一般公共服务支出（类）商贸事务（款）行政运行（项）：</w:t>
      </w:r>
      <w:r>
        <w:rPr>
          <w:rFonts w:hint="eastAsia" w:ascii="仿宋_GB2312" w:eastAsia="仿宋_GB2312"/>
          <w:sz w:val="32"/>
          <w:szCs w:val="32"/>
        </w:rPr>
        <w:t>反映行政单位（包括实行公务员管理的事业单位）的基本支出。</w:t>
      </w:r>
    </w:p>
    <w:p w14:paraId="471DE055">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8.一般公共服务支出（类）商贸事务（款）一般行政管理事务（项）：</w:t>
      </w:r>
      <w:r>
        <w:rPr>
          <w:rFonts w:hint="eastAsia" w:ascii="仿宋_GB2312" w:eastAsia="仿宋_GB2312"/>
          <w:sz w:val="32"/>
          <w:szCs w:val="32"/>
        </w:rPr>
        <w:t>反映行政单位（包括实行公务员管理的事业单位）未单独设置项级科目的其他项目支出。</w:t>
      </w:r>
    </w:p>
    <w:p w14:paraId="09D0C4AE">
      <w:pPr>
        <w:keepNext w:val="0"/>
        <w:keepLines w:val="0"/>
        <w:pageBreakBefore w:val="0"/>
        <w:widowControl w:val="0"/>
        <w:kinsoku/>
        <w:wordWrap/>
        <w:overflowPunct/>
        <w:topLinePunct w:val="0"/>
        <w:autoSpaceDE/>
        <w:autoSpaceDN/>
        <w:bidi w:val="0"/>
        <w:adjustRightInd/>
        <w:snapToGrid/>
        <w:spacing w:line="600" w:lineRule="exact"/>
        <w:ind w:firstLine="646" w:firstLineChars="200"/>
        <w:textAlignment w:val="auto"/>
        <w:outlineLvl w:val="9"/>
        <w:rPr>
          <w:rFonts w:hint="eastAsia" w:ascii="仿宋_GB2312" w:hAnsi="仿宋_GB2312" w:eastAsia="仿宋_GB2312" w:cs="仿宋_GB2312"/>
          <w:b w:val="0"/>
          <w:bCs/>
          <w:sz w:val="32"/>
          <w:szCs w:val="32"/>
        </w:rPr>
      </w:pPr>
      <w:r>
        <w:rPr>
          <w:rFonts w:hint="eastAsia" w:ascii="仿宋_GB2312" w:eastAsia="仿宋_GB2312"/>
          <w:b/>
          <w:sz w:val="32"/>
          <w:szCs w:val="32"/>
        </w:rPr>
        <w:t>9.社会保障和就业（类）行政事业单位离退休（款）归口管理的行政单位离退休（项）：</w:t>
      </w:r>
      <w:r>
        <w:rPr>
          <w:rFonts w:hint="eastAsia" w:ascii="仿宋_GB2312" w:hAnsi="仿宋_GB2312" w:eastAsia="仿宋_GB2312" w:cs="仿宋_GB2312"/>
          <w:b w:val="0"/>
          <w:bCs/>
          <w:sz w:val="32"/>
          <w:szCs w:val="32"/>
        </w:rPr>
        <w:t>反映实行归口管理的行政单位（包括实行公务员管理的事业单位）开支的离退休经费。</w:t>
      </w:r>
    </w:p>
    <w:p w14:paraId="5351FE73">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eastAsia="仿宋_GB2312"/>
          <w:b/>
          <w:sz w:val="32"/>
          <w:szCs w:val="32"/>
          <w:lang w:val="en-US" w:eastAsia="zh-CN"/>
        </w:rPr>
        <w:t>10.社</w:t>
      </w:r>
      <w:r>
        <w:rPr>
          <w:rFonts w:hint="eastAsia" w:ascii="仿宋_GB2312" w:eastAsia="仿宋_GB2312"/>
          <w:b/>
          <w:sz w:val="32"/>
          <w:szCs w:val="32"/>
        </w:rPr>
        <w:t>会保障和就业（类）行政事业单位离退休（款）事业单位离退休（项）：</w:t>
      </w:r>
      <w:r>
        <w:rPr>
          <w:rFonts w:hint="eastAsia" w:ascii="仿宋_GB2312" w:hAnsi="仿宋_GB2312" w:eastAsia="仿宋_GB2312" w:cs="仿宋_GB2312"/>
          <w:b w:val="0"/>
          <w:bCs/>
          <w:sz w:val="32"/>
          <w:szCs w:val="32"/>
        </w:rPr>
        <w:t>反映实行归口管理的事业单位开支的离退休经费。</w:t>
      </w:r>
    </w:p>
    <w:p w14:paraId="04053714">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eastAsia="仿宋_GB2312"/>
          <w:b/>
          <w:sz w:val="32"/>
          <w:szCs w:val="32"/>
          <w:lang w:val="en-US" w:eastAsia="zh-CN"/>
        </w:rPr>
        <w:t>11.卫生健康类（类）行政事业单位医疗（款）行政单位医疗（项）：</w:t>
      </w:r>
      <w:r>
        <w:rPr>
          <w:rFonts w:hint="eastAsia" w:ascii="仿宋_GB2312" w:hAnsi="仿宋_GB2312" w:eastAsia="仿宋_GB2312" w:cs="仿宋_GB2312"/>
          <w:b w:val="0"/>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7B0C75E8">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　　</w:t>
      </w:r>
      <w:r>
        <w:rPr>
          <w:rFonts w:hint="eastAsia" w:ascii="仿宋_GB2312" w:eastAsia="仿宋_GB2312"/>
          <w:b/>
          <w:sz w:val="32"/>
          <w:szCs w:val="32"/>
          <w:lang w:val="en-US" w:eastAsia="zh-CN"/>
        </w:rPr>
        <w:t>12.卫生健康类（类）行政事业单位医疗（款）事业单位医疗（项）：</w:t>
      </w:r>
      <w:r>
        <w:rPr>
          <w:rFonts w:hint="eastAsia" w:ascii="仿宋_GB2312" w:hAnsi="仿宋_GB2312" w:eastAsia="仿宋_GB2312" w:cs="仿宋_GB2312"/>
          <w:b w:val="0"/>
          <w:bCs/>
          <w:sz w:val="32"/>
          <w:szCs w:val="32"/>
        </w:rPr>
        <w:t>反映财政部门安排的事业单位基本医疗保险缴费经费，未参加医疗保险的事业单位的公费医疗经费，按国家规定享受离休人员待遇人员的医疗经费。</w:t>
      </w:r>
    </w:p>
    <w:p w14:paraId="4E5FA852">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lang w:val="en-US" w:eastAsia="zh-CN"/>
        </w:rPr>
        <w:t>13.住房保障（类）住房改革（款）住房公积金（项）：</w:t>
      </w:r>
      <w:r>
        <w:rPr>
          <w:rFonts w:hint="eastAsia" w:ascii="仿宋_GB2312" w:hAnsi="仿宋_GB2312" w:eastAsia="仿宋_GB2312" w:cs="仿宋_GB2312"/>
          <w:b w:val="0"/>
          <w:bCs/>
          <w:sz w:val="32"/>
          <w:szCs w:val="32"/>
        </w:rPr>
        <w:t>反映行政事业单位按人力资源和社会保障部、财政部规定的基本工资和津贴补贴以及规定比例为职工缴纳的住房公积金。</w:t>
      </w:r>
    </w:p>
    <w:p w14:paraId="4103A87C">
      <w:pPr>
        <w:spacing w:line="560" w:lineRule="exact"/>
        <w:rPr>
          <w:rFonts w:ascii="宋体" w:hAnsi="宋体"/>
          <w:b/>
          <w:sz w:val="36"/>
          <w:szCs w:val="36"/>
        </w:rPr>
      </w:pPr>
    </w:p>
    <w:p w14:paraId="4B2EB915">
      <w:pPr>
        <w:spacing w:line="560" w:lineRule="exact"/>
        <w:jc w:val="center"/>
        <w:rPr>
          <w:rFonts w:ascii="宋体" w:hAnsi="宋体"/>
          <w:b/>
          <w:sz w:val="36"/>
          <w:szCs w:val="36"/>
        </w:rPr>
      </w:pPr>
    </w:p>
    <w:p w14:paraId="1366B6EC">
      <w:pPr>
        <w:tabs>
          <w:tab w:val="left" w:pos="2343"/>
        </w:tabs>
        <w:spacing w:line="560" w:lineRule="exact"/>
        <w:jc w:val="center"/>
        <w:rPr>
          <w:rFonts w:ascii="仿宋_GB2312" w:eastAsia="仿宋_GB2312"/>
          <w:sz w:val="32"/>
          <w:szCs w:val="32"/>
        </w:rPr>
      </w:pPr>
      <w:r>
        <w:rPr>
          <w:rFonts w:hint="eastAsia" w:ascii="宋体" w:hAnsi="宋体"/>
          <w:b/>
          <w:sz w:val="36"/>
          <w:szCs w:val="36"/>
        </w:rPr>
        <w:t xml:space="preserve">第五部分 </w:t>
      </w:r>
      <w:r>
        <w:rPr>
          <w:rFonts w:hint="eastAsia" w:ascii="宋体" w:hAnsi="宋体"/>
          <w:b/>
          <w:sz w:val="36"/>
          <w:szCs w:val="36"/>
          <w:lang w:val="en-US" w:eastAsia="zh-CN"/>
        </w:rPr>
        <w:t>2025</w:t>
      </w:r>
      <w:r>
        <w:rPr>
          <w:rFonts w:hint="eastAsia" w:ascii="宋体" w:hAnsi="宋体"/>
          <w:b/>
          <w:sz w:val="36"/>
          <w:szCs w:val="36"/>
        </w:rPr>
        <w:t>年盘锦市商务局部门预算</w:t>
      </w:r>
      <w:r>
        <w:rPr>
          <w:rFonts w:hint="eastAsia" w:ascii="宋体" w:hAnsi="宋体"/>
          <w:b/>
          <w:sz w:val="36"/>
          <w:szCs w:val="36"/>
          <w:lang w:eastAsia="zh-CN"/>
        </w:rPr>
        <w:t>公开</w:t>
      </w:r>
      <w:r>
        <w:rPr>
          <w:rFonts w:hint="eastAsia" w:ascii="宋体" w:hAnsi="宋体"/>
          <w:b/>
          <w:sz w:val="36"/>
          <w:szCs w:val="36"/>
        </w:rPr>
        <w:t>表</w:t>
      </w:r>
    </w:p>
    <w:p w14:paraId="119E9D9B">
      <w:pPr>
        <w:pStyle w:val="2"/>
        <w:rPr>
          <w:rFonts w:ascii="宋体" w:hAnsi="宋体"/>
          <w:b/>
          <w:sz w:val="36"/>
          <w:szCs w:val="36"/>
        </w:rPr>
      </w:pPr>
    </w:p>
    <w:p w14:paraId="715041CB">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（该部分内容详见附件）</w:t>
      </w:r>
    </w:p>
    <w:p w14:paraId="51498F2B">
      <w:pPr>
        <w:pStyle w:val="2"/>
        <w:rPr>
          <w:rFonts w:ascii="宋体" w:hAnsi="宋体"/>
          <w:b/>
          <w:sz w:val="36"/>
          <w:szCs w:val="36"/>
        </w:rPr>
      </w:pP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56632D">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28199C2F">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7"/>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5C6149"/>
    <w:rsid w:val="02C51D20"/>
    <w:rsid w:val="03635E6F"/>
    <w:rsid w:val="03930692"/>
    <w:rsid w:val="03D4408D"/>
    <w:rsid w:val="04C92FF4"/>
    <w:rsid w:val="05590D97"/>
    <w:rsid w:val="069B1278"/>
    <w:rsid w:val="06B84EC6"/>
    <w:rsid w:val="06F26EF4"/>
    <w:rsid w:val="07000E37"/>
    <w:rsid w:val="0748600C"/>
    <w:rsid w:val="076641DD"/>
    <w:rsid w:val="077A6D35"/>
    <w:rsid w:val="078D0595"/>
    <w:rsid w:val="07FB97D1"/>
    <w:rsid w:val="080D4122"/>
    <w:rsid w:val="085B1DF0"/>
    <w:rsid w:val="08D65034"/>
    <w:rsid w:val="09236A9D"/>
    <w:rsid w:val="09B35DC1"/>
    <w:rsid w:val="0A7E50A7"/>
    <w:rsid w:val="0AD42FF7"/>
    <w:rsid w:val="0B053EC8"/>
    <w:rsid w:val="0B165C5E"/>
    <w:rsid w:val="0B642054"/>
    <w:rsid w:val="0BB208C5"/>
    <w:rsid w:val="0C423125"/>
    <w:rsid w:val="0D2427C1"/>
    <w:rsid w:val="0E5D2B9E"/>
    <w:rsid w:val="0E6D4386"/>
    <w:rsid w:val="0F2A085F"/>
    <w:rsid w:val="0F7349CC"/>
    <w:rsid w:val="106E56DE"/>
    <w:rsid w:val="11B20219"/>
    <w:rsid w:val="126B66EF"/>
    <w:rsid w:val="127267ED"/>
    <w:rsid w:val="130D280B"/>
    <w:rsid w:val="132428BF"/>
    <w:rsid w:val="13B32173"/>
    <w:rsid w:val="17676F00"/>
    <w:rsid w:val="17B616E5"/>
    <w:rsid w:val="17F07D94"/>
    <w:rsid w:val="1877372F"/>
    <w:rsid w:val="187C1E6D"/>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0557187"/>
    <w:rsid w:val="215A4D90"/>
    <w:rsid w:val="225F55CE"/>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CAD5E46"/>
    <w:rsid w:val="2D2449BD"/>
    <w:rsid w:val="2EB3162C"/>
    <w:rsid w:val="2EE465A5"/>
    <w:rsid w:val="2F142285"/>
    <w:rsid w:val="2F3DE142"/>
    <w:rsid w:val="2FAC4B1B"/>
    <w:rsid w:val="313E7D46"/>
    <w:rsid w:val="316C7C8A"/>
    <w:rsid w:val="31EE3102"/>
    <w:rsid w:val="31FB3A39"/>
    <w:rsid w:val="34190834"/>
    <w:rsid w:val="3505415D"/>
    <w:rsid w:val="35BE487C"/>
    <w:rsid w:val="364669C5"/>
    <w:rsid w:val="365A03F2"/>
    <w:rsid w:val="36F6584D"/>
    <w:rsid w:val="3757F7CA"/>
    <w:rsid w:val="385D4246"/>
    <w:rsid w:val="396661E0"/>
    <w:rsid w:val="39C71625"/>
    <w:rsid w:val="39D46840"/>
    <w:rsid w:val="39FC9D6E"/>
    <w:rsid w:val="3ADF145F"/>
    <w:rsid w:val="3AE4639A"/>
    <w:rsid w:val="3B697A90"/>
    <w:rsid w:val="3C1C2BDE"/>
    <w:rsid w:val="3CA073AF"/>
    <w:rsid w:val="3CE3375A"/>
    <w:rsid w:val="3DBB54D3"/>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470660"/>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023E74"/>
    <w:rsid w:val="6F3C07B7"/>
    <w:rsid w:val="6F474F0B"/>
    <w:rsid w:val="6F565074"/>
    <w:rsid w:val="6F6F6081"/>
    <w:rsid w:val="6F7F96C5"/>
    <w:rsid w:val="6FD5E3EE"/>
    <w:rsid w:val="6FFFA188"/>
    <w:rsid w:val="701934AE"/>
    <w:rsid w:val="714B2ECB"/>
    <w:rsid w:val="71D7CD63"/>
    <w:rsid w:val="72385629"/>
    <w:rsid w:val="72CB171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10</Pages>
  <Words>3226</Words>
  <Characters>3432</Characters>
  <Lines>22</Lines>
  <Paragraphs>6</Paragraphs>
  <TotalTime>2</TotalTime>
  <ScaleCrop>false</ScaleCrop>
  <LinksUpToDate>false</LinksUpToDate>
  <CharactersWithSpaces>3477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雲飛揚</cp:lastModifiedBy>
  <cp:lastPrinted>2022-02-17T12:01:00Z</cp:lastPrinted>
  <dcterms:modified xsi:type="dcterms:W3CDTF">2025-02-11T01:45:15Z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eyJoZGlkIjoiZDEyNmVlNjk3NGIzMDYwNGQxOWFmMmRhZmYxYmEyNWUiLCJ1c2VySWQiOiI2MTM0MDk5MDIifQ==</vt:lpwstr>
  </property>
  <property fmtid="{D5CDD505-2E9C-101B-9397-08002B2CF9AE}" pid="4" name="ICV">
    <vt:lpwstr>7BAD78C53F6D429AB6D50B178784C44C_13</vt:lpwstr>
  </property>
</Properties>
</file>