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3E64C">
      <w:pPr>
        <w:spacing w:line="560" w:lineRule="exact"/>
        <w:jc w:val="center"/>
        <w:rPr>
          <w:bCs/>
          <w:sz w:val="32"/>
          <w:szCs w:val="32"/>
          <w:u w:val="single"/>
        </w:rPr>
      </w:pPr>
    </w:p>
    <w:p w14:paraId="34ED7FD4">
      <w:pPr>
        <w:pStyle w:val="2"/>
        <w:rPr>
          <w:bCs/>
          <w:sz w:val="32"/>
          <w:szCs w:val="32"/>
          <w:u w:val="single"/>
        </w:rPr>
      </w:pPr>
    </w:p>
    <w:p w14:paraId="2073A6CF">
      <w:pPr>
        <w:rPr>
          <w:bCs/>
          <w:sz w:val="32"/>
          <w:szCs w:val="32"/>
          <w:u w:val="single"/>
        </w:rPr>
      </w:pPr>
    </w:p>
    <w:p w14:paraId="27AD818E">
      <w:pPr>
        <w:pStyle w:val="2"/>
      </w:pPr>
    </w:p>
    <w:p w14:paraId="14B2FC38">
      <w:pPr>
        <w:spacing w:line="560" w:lineRule="exact"/>
        <w:jc w:val="center"/>
        <w:rPr>
          <w:b/>
          <w:sz w:val="44"/>
          <w:szCs w:val="44"/>
          <w:u w:val="single"/>
        </w:rPr>
      </w:pPr>
    </w:p>
    <w:p w14:paraId="165DDA1E">
      <w:pPr>
        <w:pStyle w:val="2"/>
      </w:pPr>
    </w:p>
    <w:p w14:paraId="13CE47B5">
      <w:pPr>
        <w:spacing w:line="560" w:lineRule="exact"/>
        <w:jc w:val="center"/>
        <w:rPr>
          <w:b/>
          <w:sz w:val="44"/>
          <w:szCs w:val="44"/>
          <w:u w:val="single"/>
        </w:rPr>
      </w:pPr>
    </w:p>
    <w:p w14:paraId="58380A7F">
      <w:pPr>
        <w:spacing w:line="560" w:lineRule="exact"/>
        <w:jc w:val="both"/>
        <w:rPr>
          <w:rFonts w:hint="eastAsia"/>
          <w:b/>
          <w:sz w:val="44"/>
          <w:szCs w:val="44"/>
        </w:rPr>
      </w:pPr>
    </w:p>
    <w:p w14:paraId="56F94702">
      <w:pPr>
        <w:spacing w:line="560" w:lineRule="exact"/>
        <w:jc w:val="center"/>
        <w:rPr>
          <w:rFonts w:hint="default" w:eastAsia="宋体"/>
          <w:b/>
          <w:sz w:val="44"/>
          <w:szCs w:val="44"/>
          <w:lang w:val="en-US" w:eastAsia="zh-CN"/>
        </w:rPr>
      </w:pPr>
      <w:r>
        <w:rPr>
          <w:rFonts w:hint="eastAsia"/>
          <w:b/>
          <w:sz w:val="44"/>
          <w:szCs w:val="44"/>
          <w:lang w:val="en-US" w:eastAsia="zh-CN"/>
        </w:rPr>
        <w:t>盘锦市审计局2025年度部门预算</w:t>
      </w:r>
    </w:p>
    <w:p w14:paraId="39231965">
      <w:pPr>
        <w:spacing w:line="560" w:lineRule="exact"/>
        <w:jc w:val="center"/>
        <w:rPr>
          <w:rFonts w:hint="eastAsia"/>
          <w:b/>
          <w:sz w:val="44"/>
          <w:szCs w:val="44"/>
        </w:rPr>
      </w:pPr>
    </w:p>
    <w:p w14:paraId="3E9C8523">
      <w:pPr>
        <w:spacing w:line="560" w:lineRule="exact"/>
        <w:jc w:val="center"/>
        <w:rPr>
          <w:rFonts w:hint="eastAsia"/>
          <w:b/>
          <w:sz w:val="44"/>
          <w:szCs w:val="44"/>
        </w:rPr>
      </w:pPr>
    </w:p>
    <w:p w14:paraId="7D7DDAF5">
      <w:pPr>
        <w:spacing w:line="560" w:lineRule="exact"/>
        <w:jc w:val="center"/>
        <w:rPr>
          <w:rFonts w:hint="eastAsia"/>
          <w:b/>
          <w:sz w:val="44"/>
          <w:szCs w:val="44"/>
        </w:rPr>
      </w:pPr>
    </w:p>
    <w:p w14:paraId="0554721C">
      <w:pPr>
        <w:spacing w:line="560" w:lineRule="exact"/>
        <w:jc w:val="center"/>
        <w:rPr>
          <w:rFonts w:hint="eastAsia"/>
          <w:b/>
          <w:sz w:val="44"/>
          <w:szCs w:val="44"/>
        </w:rPr>
      </w:pPr>
    </w:p>
    <w:p w14:paraId="324B03F5">
      <w:pPr>
        <w:spacing w:line="560" w:lineRule="exact"/>
        <w:jc w:val="center"/>
        <w:rPr>
          <w:rFonts w:hint="eastAsia"/>
          <w:b/>
          <w:sz w:val="44"/>
          <w:szCs w:val="44"/>
        </w:rPr>
      </w:pPr>
    </w:p>
    <w:p w14:paraId="1589DA8F">
      <w:pPr>
        <w:spacing w:line="560" w:lineRule="exact"/>
        <w:jc w:val="center"/>
        <w:rPr>
          <w:rFonts w:hint="eastAsia"/>
          <w:b/>
          <w:sz w:val="44"/>
          <w:szCs w:val="44"/>
        </w:rPr>
      </w:pPr>
    </w:p>
    <w:p w14:paraId="552F5FBB">
      <w:pPr>
        <w:spacing w:line="560" w:lineRule="exact"/>
        <w:jc w:val="center"/>
        <w:rPr>
          <w:rFonts w:hint="eastAsia"/>
          <w:b/>
          <w:sz w:val="44"/>
          <w:szCs w:val="44"/>
        </w:rPr>
      </w:pPr>
    </w:p>
    <w:p w14:paraId="65AF73E6">
      <w:pPr>
        <w:spacing w:line="560" w:lineRule="exact"/>
        <w:jc w:val="center"/>
        <w:rPr>
          <w:rFonts w:hint="eastAsia"/>
          <w:b/>
          <w:sz w:val="44"/>
          <w:szCs w:val="44"/>
        </w:rPr>
      </w:pPr>
    </w:p>
    <w:p w14:paraId="6D2CAF58">
      <w:pPr>
        <w:spacing w:line="560" w:lineRule="exact"/>
        <w:jc w:val="center"/>
        <w:rPr>
          <w:rFonts w:hint="eastAsia"/>
          <w:b/>
          <w:sz w:val="44"/>
          <w:szCs w:val="44"/>
        </w:rPr>
      </w:pPr>
    </w:p>
    <w:p w14:paraId="227A7333">
      <w:pPr>
        <w:spacing w:line="560" w:lineRule="exact"/>
        <w:jc w:val="center"/>
        <w:rPr>
          <w:rFonts w:hint="eastAsia"/>
          <w:b/>
          <w:sz w:val="44"/>
          <w:szCs w:val="44"/>
        </w:rPr>
      </w:pPr>
    </w:p>
    <w:p w14:paraId="70FEBB61">
      <w:pPr>
        <w:spacing w:line="560" w:lineRule="exact"/>
        <w:jc w:val="center"/>
        <w:rPr>
          <w:rFonts w:hint="eastAsia"/>
          <w:b/>
          <w:sz w:val="44"/>
          <w:szCs w:val="44"/>
        </w:rPr>
      </w:pPr>
    </w:p>
    <w:p w14:paraId="2F37CA9F">
      <w:pPr>
        <w:spacing w:line="560" w:lineRule="exact"/>
        <w:jc w:val="center"/>
        <w:rPr>
          <w:rFonts w:hint="eastAsia"/>
          <w:b/>
          <w:sz w:val="44"/>
          <w:szCs w:val="44"/>
        </w:rPr>
      </w:pPr>
    </w:p>
    <w:p w14:paraId="277080ED">
      <w:pPr>
        <w:spacing w:line="560" w:lineRule="exact"/>
        <w:jc w:val="center"/>
        <w:rPr>
          <w:rFonts w:hint="eastAsia"/>
          <w:b/>
          <w:sz w:val="44"/>
          <w:szCs w:val="44"/>
        </w:rPr>
      </w:pPr>
    </w:p>
    <w:p w14:paraId="5E82C05A">
      <w:pPr>
        <w:spacing w:line="560" w:lineRule="exact"/>
        <w:jc w:val="center"/>
        <w:rPr>
          <w:rFonts w:hint="eastAsia"/>
          <w:b/>
          <w:sz w:val="44"/>
          <w:szCs w:val="44"/>
        </w:rPr>
      </w:pPr>
    </w:p>
    <w:p w14:paraId="4DA3C4F0">
      <w:pPr>
        <w:spacing w:line="560" w:lineRule="exact"/>
        <w:jc w:val="center"/>
        <w:rPr>
          <w:rFonts w:hint="eastAsia"/>
          <w:b/>
          <w:sz w:val="44"/>
          <w:szCs w:val="44"/>
        </w:rPr>
      </w:pPr>
    </w:p>
    <w:p w14:paraId="466322DF">
      <w:pPr>
        <w:spacing w:line="560" w:lineRule="exact"/>
        <w:jc w:val="center"/>
        <w:rPr>
          <w:b/>
          <w:sz w:val="44"/>
          <w:szCs w:val="44"/>
        </w:rPr>
      </w:pPr>
      <w:r>
        <w:rPr>
          <w:rFonts w:hint="eastAsia"/>
          <w:b/>
          <w:sz w:val="44"/>
          <w:szCs w:val="44"/>
        </w:rPr>
        <w:t>目    录</w:t>
      </w:r>
    </w:p>
    <w:p w14:paraId="4DA1FBCD">
      <w:pPr>
        <w:spacing w:line="560" w:lineRule="exact"/>
        <w:rPr>
          <w:b/>
          <w:sz w:val="44"/>
          <w:szCs w:val="44"/>
          <w:u w:val="single"/>
        </w:rPr>
      </w:pPr>
    </w:p>
    <w:p w14:paraId="097F71E0">
      <w:pPr>
        <w:spacing w:line="560" w:lineRule="exact"/>
        <w:rPr>
          <w:b/>
          <w:sz w:val="44"/>
          <w:szCs w:val="44"/>
          <w:u w:val="single"/>
        </w:rPr>
      </w:pPr>
    </w:p>
    <w:p w14:paraId="06BF8EC5">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1FA3F740">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盘锦市审计局</w:t>
      </w:r>
      <w:r>
        <w:rPr>
          <w:rFonts w:hint="eastAsia" w:ascii="黑体" w:hAnsi="黑体" w:eastAsia="黑体"/>
          <w:sz w:val="32"/>
          <w:szCs w:val="32"/>
        </w:rPr>
        <w:t>概况</w:t>
      </w:r>
    </w:p>
    <w:p w14:paraId="2C21F4EA">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7F63F468">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1DE8E606">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盘锦市审计局2025</w:t>
      </w:r>
      <w:r>
        <w:rPr>
          <w:rFonts w:hint="eastAsia" w:ascii="黑体" w:hAnsi="黑体" w:eastAsia="黑体"/>
          <w:sz w:val="32"/>
          <w:szCs w:val="32"/>
        </w:rPr>
        <w:t>年部门预算情况说明</w:t>
      </w:r>
    </w:p>
    <w:p w14:paraId="2CF6C98A">
      <w:pPr>
        <w:spacing w:line="560" w:lineRule="exact"/>
        <w:rPr>
          <w:rFonts w:ascii="黑体" w:hAnsi="黑体" w:eastAsia="黑体"/>
          <w:sz w:val="32"/>
          <w:szCs w:val="32"/>
        </w:rPr>
      </w:pPr>
      <w:r>
        <w:rPr>
          <w:rFonts w:hint="eastAsia" w:ascii="黑体" w:hAnsi="黑体" w:eastAsia="黑体"/>
          <w:sz w:val="32"/>
          <w:szCs w:val="32"/>
        </w:rPr>
        <w:t>第四部分    名词解释</w:t>
      </w:r>
    </w:p>
    <w:p w14:paraId="2F7D895B">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盘锦市审计局</w:t>
      </w:r>
      <w:r>
        <w:rPr>
          <w:rFonts w:hint="eastAsia" w:ascii="黑体" w:hAnsi="黑体" w:eastAsia="黑体"/>
          <w:sz w:val="32"/>
          <w:szCs w:val="32"/>
        </w:rPr>
        <w:t>部门预</w:t>
      </w:r>
      <w:r>
        <w:rPr>
          <w:rFonts w:hint="eastAsia" w:ascii="黑体" w:hAnsi="黑体" w:eastAsia="黑体"/>
          <w:sz w:val="32"/>
          <w:szCs w:val="32"/>
          <w:lang w:eastAsia="zh-CN"/>
        </w:rPr>
        <w:t>算公开</w:t>
      </w:r>
      <w:r>
        <w:rPr>
          <w:rFonts w:hint="eastAsia" w:ascii="黑体" w:hAnsi="黑体" w:eastAsia="黑体"/>
          <w:sz w:val="32"/>
          <w:szCs w:val="32"/>
        </w:rPr>
        <w:t>表</w:t>
      </w:r>
    </w:p>
    <w:p w14:paraId="5FAA5D7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A8F86E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6EE6973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711DD70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bookmarkStart w:id="0" w:name="_GoBack"/>
      <w:bookmarkEnd w:id="0"/>
    </w:p>
    <w:p w14:paraId="70B4078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29F7DD3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18771E6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2BF9F9B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2D39AB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53D486C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353C595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C6D37A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3DF0478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3B0A806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2A862ED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AC074F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AEFAAA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4D5A797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75EDC0F7">
      <w:pPr>
        <w:spacing w:line="560" w:lineRule="exact"/>
        <w:rPr>
          <w:rFonts w:ascii="黑体" w:hAnsi="黑体" w:eastAsia="黑体"/>
          <w:sz w:val="32"/>
          <w:szCs w:val="32"/>
        </w:rPr>
      </w:pPr>
      <w:r>
        <w:rPr>
          <w:rFonts w:hint="eastAsia" w:ascii="黑体" w:hAnsi="黑体" w:eastAsia="黑体"/>
          <w:sz w:val="32"/>
          <w:szCs w:val="32"/>
        </w:rPr>
        <w:t>　</w:t>
      </w:r>
    </w:p>
    <w:p w14:paraId="42F92549">
      <w:pPr>
        <w:spacing w:line="560" w:lineRule="exact"/>
        <w:rPr>
          <w:rFonts w:ascii="黑体" w:hAnsi="黑体" w:eastAsia="黑体"/>
          <w:sz w:val="32"/>
          <w:szCs w:val="32"/>
        </w:rPr>
      </w:pPr>
    </w:p>
    <w:p w14:paraId="552DCED4">
      <w:pPr>
        <w:spacing w:line="560" w:lineRule="exact"/>
        <w:rPr>
          <w:rFonts w:ascii="黑体" w:hAnsi="黑体" w:eastAsia="黑体"/>
          <w:sz w:val="32"/>
          <w:szCs w:val="32"/>
        </w:rPr>
      </w:pPr>
    </w:p>
    <w:p w14:paraId="1C5E18BA">
      <w:pPr>
        <w:spacing w:line="560" w:lineRule="exact"/>
        <w:rPr>
          <w:rFonts w:ascii="宋体" w:hAnsi="宋体"/>
          <w:b/>
          <w:sz w:val="36"/>
          <w:szCs w:val="36"/>
        </w:rPr>
      </w:pPr>
    </w:p>
    <w:p w14:paraId="7A5CC4B9">
      <w:pPr>
        <w:spacing w:line="560" w:lineRule="exact"/>
        <w:rPr>
          <w:rFonts w:ascii="宋体" w:hAnsi="宋体"/>
          <w:b/>
          <w:sz w:val="36"/>
          <w:szCs w:val="36"/>
        </w:rPr>
      </w:pPr>
    </w:p>
    <w:p w14:paraId="289E5C6B">
      <w:pPr>
        <w:spacing w:line="560" w:lineRule="exact"/>
        <w:jc w:val="center"/>
        <w:rPr>
          <w:rFonts w:ascii="宋体" w:hAnsi="宋体"/>
          <w:b/>
          <w:sz w:val="36"/>
          <w:szCs w:val="36"/>
        </w:rPr>
      </w:pPr>
    </w:p>
    <w:p w14:paraId="4C9813BC">
      <w:pPr>
        <w:spacing w:line="560" w:lineRule="exact"/>
        <w:jc w:val="center"/>
        <w:rPr>
          <w:rFonts w:ascii="宋体" w:hAnsi="宋体"/>
          <w:b/>
          <w:sz w:val="36"/>
          <w:szCs w:val="36"/>
        </w:rPr>
      </w:pPr>
    </w:p>
    <w:p w14:paraId="6482F430">
      <w:pPr>
        <w:spacing w:line="560" w:lineRule="exact"/>
        <w:jc w:val="center"/>
        <w:rPr>
          <w:rFonts w:ascii="宋体" w:hAnsi="宋体"/>
          <w:b/>
          <w:sz w:val="36"/>
          <w:szCs w:val="36"/>
        </w:rPr>
      </w:pPr>
    </w:p>
    <w:p w14:paraId="6E574CD3">
      <w:pPr>
        <w:spacing w:line="560" w:lineRule="exact"/>
        <w:jc w:val="center"/>
        <w:rPr>
          <w:rFonts w:ascii="宋体" w:hAnsi="宋体"/>
          <w:b/>
          <w:sz w:val="36"/>
          <w:szCs w:val="36"/>
        </w:rPr>
      </w:pPr>
    </w:p>
    <w:p w14:paraId="79413281">
      <w:pPr>
        <w:spacing w:line="560" w:lineRule="exact"/>
        <w:jc w:val="center"/>
        <w:rPr>
          <w:rFonts w:ascii="宋体" w:hAnsi="宋体"/>
          <w:b/>
          <w:sz w:val="36"/>
          <w:szCs w:val="36"/>
        </w:rPr>
      </w:pPr>
    </w:p>
    <w:p w14:paraId="04B8CEFE">
      <w:pPr>
        <w:spacing w:line="560" w:lineRule="exact"/>
        <w:jc w:val="center"/>
        <w:rPr>
          <w:rFonts w:ascii="宋体" w:hAnsi="宋体"/>
          <w:b/>
          <w:sz w:val="36"/>
          <w:szCs w:val="36"/>
        </w:rPr>
      </w:pPr>
    </w:p>
    <w:p w14:paraId="4C4DA91B">
      <w:pPr>
        <w:spacing w:line="560" w:lineRule="exact"/>
        <w:jc w:val="center"/>
        <w:rPr>
          <w:rFonts w:ascii="宋体" w:hAnsi="宋体"/>
          <w:b/>
          <w:sz w:val="36"/>
          <w:szCs w:val="36"/>
        </w:rPr>
      </w:pPr>
    </w:p>
    <w:p w14:paraId="038964FC">
      <w:pPr>
        <w:spacing w:line="560" w:lineRule="exact"/>
        <w:jc w:val="center"/>
        <w:rPr>
          <w:rFonts w:ascii="宋体" w:hAnsi="宋体"/>
          <w:b/>
          <w:sz w:val="36"/>
          <w:szCs w:val="36"/>
        </w:rPr>
      </w:pPr>
    </w:p>
    <w:p w14:paraId="0BDB6BD7">
      <w:pPr>
        <w:spacing w:line="560" w:lineRule="exact"/>
        <w:jc w:val="center"/>
        <w:rPr>
          <w:rFonts w:ascii="宋体" w:hAnsi="宋体"/>
          <w:b/>
          <w:sz w:val="36"/>
          <w:szCs w:val="36"/>
        </w:rPr>
      </w:pPr>
    </w:p>
    <w:p w14:paraId="5E2D9F37">
      <w:pPr>
        <w:spacing w:line="560" w:lineRule="exact"/>
        <w:jc w:val="center"/>
        <w:rPr>
          <w:rFonts w:ascii="宋体" w:hAnsi="宋体"/>
          <w:b/>
          <w:sz w:val="36"/>
          <w:szCs w:val="36"/>
        </w:rPr>
      </w:pPr>
    </w:p>
    <w:p w14:paraId="71A33BFC">
      <w:pPr>
        <w:spacing w:line="560" w:lineRule="exact"/>
        <w:jc w:val="center"/>
        <w:rPr>
          <w:rFonts w:ascii="宋体" w:hAnsi="宋体"/>
          <w:b/>
          <w:sz w:val="36"/>
          <w:szCs w:val="36"/>
        </w:rPr>
      </w:pPr>
    </w:p>
    <w:p w14:paraId="25D89E24">
      <w:pPr>
        <w:spacing w:line="560" w:lineRule="exact"/>
        <w:jc w:val="center"/>
        <w:rPr>
          <w:rFonts w:ascii="宋体" w:hAnsi="宋体"/>
          <w:b/>
          <w:sz w:val="36"/>
          <w:szCs w:val="36"/>
        </w:rPr>
      </w:pPr>
    </w:p>
    <w:p w14:paraId="7F0097D6">
      <w:pPr>
        <w:spacing w:line="560" w:lineRule="exact"/>
        <w:jc w:val="center"/>
        <w:rPr>
          <w:rFonts w:ascii="宋体" w:hAnsi="宋体"/>
          <w:b/>
          <w:sz w:val="36"/>
          <w:szCs w:val="36"/>
        </w:rPr>
      </w:pPr>
    </w:p>
    <w:p w14:paraId="2F92C4FB">
      <w:pPr>
        <w:spacing w:line="560" w:lineRule="exact"/>
        <w:jc w:val="center"/>
        <w:rPr>
          <w:rFonts w:ascii="宋体" w:hAnsi="宋体"/>
          <w:b/>
          <w:sz w:val="36"/>
          <w:szCs w:val="36"/>
        </w:rPr>
      </w:pPr>
    </w:p>
    <w:p w14:paraId="117C7702">
      <w:pPr>
        <w:pStyle w:val="2"/>
      </w:pPr>
    </w:p>
    <w:p w14:paraId="052CFDE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6F19589E">
      <w:pPr>
        <w:spacing w:line="560" w:lineRule="exact"/>
        <w:jc w:val="center"/>
        <w:rPr>
          <w:rFonts w:ascii="宋体" w:hAnsi="宋体"/>
          <w:b/>
          <w:sz w:val="36"/>
          <w:szCs w:val="36"/>
        </w:rPr>
      </w:pPr>
    </w:p>
    <w:p w14:paraId="54377851">
      <w:pPr>
        <w:spacing w:line="540" w:lineRule="exact"/>
        <w:ind w:firstLine="620" w:firstLineChars="200"/>
        <w:jc w:val="left"/>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1.《关于切实做好2025年市县预算公开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w w:val="96"/>
          <w:sz w:val="32"/>
          <w:szCs w:val="32"/>
        </w:rPr>
        <w:t>的通知》（辽财预〔2025〕1号）</w:t>
      </w:r>
    </w:p>
    <w:p w14:paraId="08E7C775">
      <w:pPr>
        <w:ind w:firstLine="620" w:firstLineChars="200"/>
        <w:rPr>
          <w:rFonts w:hint="eastAsia" w:ascii="宋体" w:hAnsi="宋体" w:eastAsia="仿宋_GB2312"/>
          <w:b/>
          <w:sz w:val="36"/>
          <w:szCs w:val="36"/>
          <w:lang w:eastAsia="zh-CN"/>
        </w:rPr>
      </w:pPr>
      <w:r>
        <w:rPr>
          <w:rFonts w:hint="eastAsia" w:ascii="仿宋_GB2312" w:hAnsi="仿宋_GB2312" w:eastAsia="仿宋_GB2312" w:cs="仿宋_GB2312"/>
          <w:b w:val="0"/>
          <w:bCs/>
          <w:w w:val="96"/>
          <w:sz w:val="32"/>
          <w:szCs w:val="32"/>
        </w:rPr>
        <w:t>2.《关于印发盘锦市财政预决算领域基层政务公开标准指引的通知》（盘财预〔2021〕253号</w:t>
      </w:r>
      <w:r>
        <w:rPr>
          <w:rFonts w:hint="eastAsia" w:ascii="仿宋_GB2312" w:hAnsi="仿宋_GB2312" w:eastAsia="仿宋_GB2312" w:cs="仿宋_GB2312"/>
          <w:b w:val="0"/>
          <w:bCs/>
          <w:w w:val="96"/>
          <w:sz w:val="32"/>
          <w:szCs w:val="32"/>
          <w:lang w:eastAsia="zh-CN"/>
        </w:rPr>
        <w:t>）</w:t>
      </w:r>
    </w:p>
    <w:p w14:paraId="464266B6">
      <w:pPr>
        <w:spacing w:line="560" w:lineRule="exact"/>
        <w:rPr>
          <w:rFonts w:ascii="宋体" w:hAnsi="宋体"/>
          <w:b/>
          <w:sz w:val="36"/>
          <w:szCs w:val="36"/>
        </w:rPr>
      </w:pPr>
    </w:p>
    <w:p w14:paraId="3118D40A">
      <w:pPr>
        <w:spacing w:line="560" w:lineRule="exact"/>
        <w:rPr>
          <w:rFonts w:ascii="宋体" w:hAnsi="宋体"/>
          <w:b/>
          <w:sz w:val="36"/>
          <w:szCs w:val="36"/>
        </w:rPr>
      </w:pPr>
    </w:p>
    <w:p w14:paraId="7B76FFC3">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盘锦市审计局</w:t>
      </w:r>
      <w:r>
        <w:rPr>
          <w:rFonts w:hint="eastAsia" w:ascii="宋体" w:hAnsi="宋体"/>
          <w:b/>
          <w:sz w:val="36"/>
          <w:szCs w:val="36"/>
        </w:rPr>
        <w:t>概况</w:t>
      </w:r>
    </w:p>
    <w:p w14:paraId="305814AE">
      <w:pPr>
        <w:spacing w:line="560" w:lineRule="exact"/>
        <w:ind w:firstLine="646" w:firstLineChars="200"/>
        <w:jc w:val="left"/>
        <w:rPr>
          <w:rFonts w:ascii="黑体" w:eastAsia="黑体"/>
          <w:sz w:val="32"/>
          <w:szCs w:val="32"/>
        </w:rPr>
      </w:pPr>
    </w:p>
    <w:p w14:paraId="1F658748">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6CCF15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6"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盘锦市审计局成立于1985年2月，是盘锦市人民政府的职能部门，正处级建制，在市政府和省审计厅的双重领导下，负责全市的审计工作。</w:t>
      </w:r>
    </w:p>
    <w:p w14:paraId="7C47E7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（一）主管全市审计工作。负责对市级财政收支和法律 、法规规定属于审计监督范围的财务收支的真实、合法和效益进行审计监督，对公共资金、国有资产、国有资源和领导干部履行经济责任情况实行审计全覆盖，对领导干部实行自然资源资产离任审计，对国家、省和市有关重大政策措施落实情况进行跟踪审计。对审计、专项审计调查和核查社会审计机构相关审计报告的结果承担责任，并负有督促被审计单位整改的责任。</w:t>
      </w:r>
    </w:p>
    <w:p w14:paraId="497DC3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6"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二）起草审计地方性法规和市政府规章草案，负责监督并执行审计规章、国家审计准则和指南。制定并组织实施全市专业领域审计工作规划。参与起草财政经济及其相关的地方性法规草案。对直接审计、调查和核查的事项依法进行审计评价，作出审计决定或提出审计建议。</w:t>
      </w:r>
    </w:p>
    <w:p w14:paraId="69D435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6"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（三）向市委审计委员会提出年度市级预算执行和其他财政支出情况审计报告。向市长提出年度市级预算执行和其他财政收支情况的审计结果报告。受市政府委托向市人大常 委会提出市级预算执行和其他财政收支情况的审计工作报 告、审计查出问题整改情况报告。向市委和市政府报告对其他事项的审计和专项审计调查情况及结果。依法向社会公布审计结果。向市委和市政府有关部门、县</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级党委和政府通报审计情况和审计结果。</w:t>
      </w:r>
    </w:p>
    <w:p w14:paraId="2C37810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6"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四）直接审计下列事项，出具审计报告，在法定职权范围内作出审计决定，包括国家、省委省政府和市委市政府有关重大政策措施贯彻落实情况；市级预算执行情况和其他财政收支，市委和市政府各部门（含直属单位）预算执行情况、决算草案和其他财政收支；县</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区</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级政府预算执行情况、决算草案和其他财政收支，市级财政转移支付资金；使用市级财政资金的事业单位和社会团体的财务收支；市政府投资和以市政府投资为主的建设项目的预算执行情况和决算，市重大公共工程项目的资金管理使用和建设运营情况；自然资源管理、污染防治和生态保护与修复情况；市属国有企业和金融机构、市政府规定的市国有资本占控股或主导地位的企业和金融机构境内外资产、负债和损益，市驻外非经营性机构的财务收支；有关社会保障基金、社会捐赠资金和其他基金、资金的财务收支；根据审计署、省审计厅授权审计国际组织和外国政府援助、贷款项目；法律法规规定的其他事项。</w:t>
      </w:r>
    </w:p>
    <w:p w14:paraId="185F97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6"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（五）按规定对县处级党政主要领导干部及其他单位主要负责人实施经济责任审计和自然资源资产离任审计。</w:t>
      </w:r>
    </w:p>
    <w:p w14:paraId="5F916C2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6"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（六）组织实施对国家、省和市财经法律法规、规章、政策和宏观调控措施执行情况、财政预算管理及国有资产管理使用等与国家、省和市财政收支有关的特定事项进行专项审计调查。</w:t>
      </w:r>
    </w:p>
    <w:p w14:paraId="5748B28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6"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（七）依法检查审计决定执行情况，督促整改审计查出的问题，依法办理被审计单位对审计决定提请行政复议、行政诉讼或市政府裁决中的有关事项，协助配合有关部门查处相关重大案件。</w:t>
      </w:r>
    </w:p>
    <w:p w14:paraId="1DE3E9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6"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（八）指导和监督内部审计工作，核查社会审计机构对依法属于审计监督对象的单位出具的相关审计报告。</w:t>
      </w:r>
    </w:p>
    <w:p w14:paraId="0CD6EC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6"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九）与县（区）级党委和政府共同领导县（区）级审计机关。依法领导和监督下级审计机关的业务，组织下级审计机关实施特定项目的专项审计或审计调查，纠正或责成纠正下级审计机关违反国家规定作出的审计决定。按照干部管理权限协管县（区）级审计机关负责人。</w:t>
      </w:r>
    </w:p>
    <w:p w14:paraId="7EA7A29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6"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（十）组织开展全市审计领域的对外交流与合作，指导和推广信息技术在审计领域的应用。</w:t>
      </w:r>
    </w:p>
    <w:p w14:paraId="7FF68B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6"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（十一）完成市委、市政府交办的其他任务。</w:t>
      </w:r>
    </w:p>
    <w:p w14:paraId="4B940D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6"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十二）职能转变。进一步完善审计管理体制，加强全市审计工作统筹，明晰职能定位，理顺内部职责关系，优化审计资源配置，充实加强一线审计力量，构建集中统一、全面覆盖、权威高效的审计监督体系。优化审计工作机制，坚 持科技强审，完善业务流程，改进工作方式，加强与相关部 门的沟通协调，充分调动内部审计和社会审计力量，增强监督合力。</w:t>
      </w:r>
    </w:p>
    <w:p w14:paraId="674FC7E0">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22D72B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盘锦市审计局2025</w:t>
      </w:r>
      <w:r>
        <w:rPr>
          <w:rFonts w:hint="eastAsia" w:ascii="仿宋_GB2312" w:eastAsia="仿宋_GB2312"/>
          <w:b/>
          <w:sz w:val="32"/>
          <w:szCs w:val="32"/>
        </w:rPr>
        <w:t>年部门预算编制范围的二级预算单位包括：</w:t>
      </w:r>
    </w:p>
    <w:p w14:paraId="4FBEF51F">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盘锦市审计局</w:t>
      </w:r>
      <w:r>
        <w:rPr>
          <w:rFonts w:hint="eastAsia" w:ascii="仿宋_GB2312" w:eastAsia="仿宋_GB2312"/>
          <w:sz w:val="32"/>
          <w:szCs w:val="32"/>
        </w:rPr>
        <w:t>本级</w:t>
      </w:r>
    </w:p>
    <w:p w14:paraId="22B1B249">
      <w:pPr>
        <w:spacing w:line="560" w:lineRule="exact"/>
        <w:ind w:firstLine="646" w:firstLineChars="200"/>
        <w:jc w:val="left"/>
        <w:rPr>
          <w:rFonts w:hint="default"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盘锦市审计信息服务中心</w:t>
      </w:r>
    </w:p>
    <w:p w14:paraId="62B8138F">
      <w:pPr>
        <w:spacing w:line="560" w:lineRule="exact"/>
        <w:rPr>
          <w:rFonts w:ascii="黑体" w:eastAsia="黑体"/>
          <w:sz w:val="36"/>
          <w:szCs w:val="36"/>
        </w:rPr>
      </w:pPr>
    </w:p>
    <w:p w14:paraId="057B0E85">
      <w:pPr>
        <w:spacing w:line="560" w:lineRule="exact"/>
        <w:rPr>
          <w:rFonts w:ascii="黑体" w:eastAsia="黑体"/>
          <w:sz w:val="36"/>
          <w:szCs w:val="36"/>
        </w:rPr>
      </w:pPr>
    </w:p>
    <w:p w14:paraId="54CFC346">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盘锦市审计局2025</w:t>
      </w:r>
      <w:r>
        <w:rPr>
          <w:rFonts w:hint="eastAsia" w:ascii="宋体" w:hAnsi="宋体"/>
          <w:b/>
          <w:sz w:val="36"/>
          <w:szCs w:val="36"/>
        </w:rPr>
        <w:t>年部门预算情况说明</w:t>
      </w:r>
    </w:p>
    <w:p w14:paraId="0D89CA49">
      <w:pPr>
        <w:spacing w:line="560" w:lineRule="exact"/>
        <w:jc w:val="center"/>
        <w:rPr>
          <w:rFonts w:ascii="宋体" w:hAnsi="宋体"/>
          <w:b/>
          <w:sz w:val="36"/>
          <w:szCs w:val="36"/>
        </w:rPr>
      </w:pPr>
    </w:p>
    <w:p w14:paraId="58A82D41">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124FAD89">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cs="Times New Roman"/>
          <w:b/>
          <w:sz w:val="32"/>
          <w:szCs w:val="32"/>
          <w:highlight w:val="none"/>
          <w:lang w:val="en-US" w:eastAsia="zh-CN"/>
        </w:rPr>
        <w:t>790.27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F313719">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仿宋_GB2312" w:eastAsia="仿宋_GB2312" w:cs="仿宋_GB2312"/>
          <w:i w:val="0"/>
          <w:iCs w:val="0"/>
          <w:caps w:val="0"/>
          <w:color w:val="333333"/>
          <w:spacing w:val="0"/>
          <w:sz w:val="32"/>
          <w:szCs w:val="32"/>
          <w:shd w:val="clear" w:fill="FFFFFF"/>
          <w:lang w:val="en-US" w:eastAsia="zh-CN"/>
        </w:rPr>
        <w:t>790.27</w:t>
      </w:r>
      <w:r>
        <w:rPr>
          <w:rFonts w:hint="eastAsia" w:ascii="仿宋_GB2312" w:hAnsi="宋体" w:eastAsia="仿宋_GB2312"/>
          <w:sz w:val="32"/>
          <w:szCs w:val="32"/>
          <w:highlight w:val="none"/>
        </w:rPr>
        <w:t>万元；</w:t>
      </w:r>
    </w:p>
    <w:p w14:paraId="38CD5ED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0D437AE">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C027038">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BCF8E93">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35B5F98C">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1062F1AE">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cs="Times New Roman"/>
          <w:b/>
          <w:sz w:val="32"/>
          <w:szCs w:val="32"/>
          <w:highlight w:val="none"/>
          <w:lang w:val="en-US" w:eastAsia="zh-CN"/>
        </w:rPr>
        <w:t>790.27</w:t>
      </w:r>
      <w:r>
        <w:rPr>
          <w:rFonts w:hint="eastAsia" w:ascii="楷体" w:hAnsi="楷体" w:eastAsia="楷体" w:cs="Times New Roman"/>
          <w:b/>
          <w:sz w:val="32"/>
          <w:szCs w:val="32"/>
          <w:highlight w:val="none"/>
        </w:rPr>
        <w:t>万</w:t>
      </w:r>
      <w:r>
        <w:rPr>
          <w:rFonts w:hint="eastAsia" w:ascii="楷体" w:hAnsi="楷体" w:eastAsia="楷体"/>
          <w:b/>
          <w:sz w:val="32"/>
          <w:szCs w:val="32"/>
          <w:highlight w:val="none"/>
        </w:rPr>
        <w:t>元，</w:t>
      </w:r>
      <w:r>
        <w:rPr>
          <w:rFonts w:hint="eastAsia" w:ascii="仿宋_GB2312" w:hAnsi="宋体" w:eastAsia="仿宋_GB2312"/>
          <w:sz w:val="32"/>
          <w:szCs w:val="32"/>
          <w:highlight w:val="none"/>
        </w:rPr>
        <w:t>其中：</w:t>
      </w:r>
    </w:p>
    <w:p w14:paraId="57D13494">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仿宋_GB2312" w:eastAsia="仿宋_GB2312" w:cs="仿宋_GB2312"/>
          <w:i w:val="0"/>
          <w:iCs w:val="0"/>
          <w:caps w:val="0"/>
          <w:color w:val="333333"/>
          <w:spacing w:val="0"/>
          <w:sz w:val="32"/>
          <w:szCs w:val="32"/>
          <w:shd w:val="clear" w:fill="FFFFFF"/>
          <w:lang w:val="en-US" w:eastAsia="zh-CN"/>
        </w:rPr>
        <w:t>675.27</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53D7978B">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仿宋_GB2312" w:eastAsia="仿宋_GB2312" w:cs="仿宋_GB2312"/>
          <w:i w:val="0"/>
          <w:iCs w:val="0"/>
          <w:caps w:val="0"/>
          <w:color w:val="333333"/>
          <w:spacing w:val="0"/>
          <w:sz w:val="32"/>
          <w:szCs w:val="32"/>
          <w:shd w:val="clear" w:fill="FFFFFF"/>
          <w:lang w:val="en-US" w:eastAsia="zh-CN"/>
        </w:rPr>
        <w:t>115</w:t>
      </w:r>
      <w:r>
        <w:rPr>
          <w:rFonts w:hint="eastAsia" w:ascii="仿宋_GB2312" w:eastAsia="仿宋_GB2312"/>
          <w:sz w:val="32"/>
          <w:szCs w:val="32"/>
          <w:highlight w:val="none"/>
        </w:rPr>
        <w:t>万元。</w:t>
      </w:r>
    </w:p>
    <w:p w14:paraId="1140F2DD">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7AA79828">
      <w:pPr>
        <w:spacing w:line="560" w:lineRule="exact"/>
        <w:rPr>
          <w:rFonts w:hint="eastAsia" w:ascii="仿宋_GB2312" w:eastAsia="仿宋_GB2312" w:cs="仿宋_GB2312"/>
          <w:sz w:val="32"/>
          <w:szCs w:val="32"/>
          <w:highlight w:val="none"/>
          <w:lang w:val="en-US" w:eastAsia="zh-CN"/>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12</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115</w:t>
      </w:r>
      <w:r>
        <w:rPr>
          <w:rFonts w:hint="eastAsia" w:ascii="仿宋_GB2312" w:eastAsia="仿宋_GB2312" w:cs="仿宋_GB2312"/>
          <w:sz w:val="32"/>
          <w:szCs w:val="32"/>
          <w:highlight w:val="none"/>
        </w:rPr>
        <w:t xml:space="preserve">万元。 </w:t>
      </w:r>
    </w:p>
    <w:p w14:paraId="3E6FBEF8">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年减少</w:t>
      </w:r>
      <w:r>
        <w:rPr>
          <w:rFonts w:hint="eastAsia" w:ascii="仿宋_GB2312" w:hAnsi="仿宋_GB2312" w:eastAsia="仿宋_GB2312" w:cs="仿宋_GB2312"/>
          <w:sz w:val="32"/>
          <w:szCs w:val="32"/>
          <w:highlight w:val="none"/>
          <w:lang w:val="en-US" w:eastAsia="zh-CN"/>
        </w:rPr>
        <w:t>3.99</w:t>
      </w:r>
      <w:r>
        <w:rPr>
          <w:rFonts w:hint="eastAsia" w:ascii="仿宋_GB2312" w:hAnsi="仿宋_GB2312" w:eastAsia="仿宋_GB2312" w:cs="仿宋_GB2312"/>
          <w:sz w:val="32"/>
          <w:szCs w:val="32"/>
          <w:highlight w:val="none"/>
        </w:rPr>
        <w:t>万元，增减变化的主要原因为</w:t>
      </w:r>
      <w:r>
        <w:rPr>
          <w:rFonts w:hint="eastAsia" w:ascii="仿宋_GB2312" w:hAnsi="仿宋_GB2312" w:eastAsia="仿宋_GB2312" w:cs="仿宋_GB2312"/>
          <w:sz w:val="32"/>
          <w:szCs w:val="32"/>
          <w:highlight w:val="none"/>
          <w:lang w:val="en-US" w:eastAsia="zh-CN"/>
        </w:rPr>
        <w:t>项目支出减少</w:t>
      </w:r>
      <w:r>
        <w:rPr>
          <w:rFonts w:hint="eastAsia" w:ascii="仿宋_GB2312" w:hAnsi="仿宋_GB2312" w:eastAsia="仿宋_GB2312" w:cs="仿宋_GB2312"/>
          <w:sz w:val="32"/>
          <w:szCs w:val="32"/>
          <w:highlight w:val="none"/>
        </w:rPr>
        <w:t>。</w:t>
      </w:r>
    </w:p>
    <w:p w14:paraId="0E443B71">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0CB5A051">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盘锦市审计局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307FEBB1">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821705B">
      <w:pPr>
        <w:spacing w:line="56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2025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eastAsia="zh-CN"/>
        </w:rPr>
        <w:t>盘锦市审计局</w:t>
      </w:r>
      <w:r>
        <w:rPr>
          <w:rFonts w:hint="eastAsia" w:ascii="仿宋_GB2312" w:hAnsi="宋体" w:eastAsia="仿宋_GB2312"/>
          <w:sz w:val="32"/>
          <w:szCs w:val="32"/>
          <w:highlight w:val="none"/>
        </w:rPr>
        <w:t>机关运行经费预算为</w:t>
      </w:r>
      <w:r>
        <w:rPr>
          <w:rFonts w:hint="eastAsia" w:ascii="仿宋_GB2312" w:hAnsi="宋体" w:eastAsia="仿宋_GB2312"/>
          <w:sz w:val="32"/>
          <w:szCs w:val="32"/>
          <w:highlight w:val="none"/>
          <w:lang w:val="en-US" w:eastAsia="zh-CN"/>
        </w:rPr>
        <w:t>27.71</w:t>
      </w:r>
      <w:r>
        <w:rPr>
          <w:rFonts w:hint="eastAsia" w:ascii="仿宋_GB2312" w:hAnsi="宋体" w:eastAsia="仿宋_GB2312"/>
          <w:sz w:val="32"/>
          <w:szCs w:val="32"/>
          <w:highlight w:val="none"/>
        </w:rPr>
        <w:t>万元，主要包括  办公费、印刷费、手续费、差旅费、会议费、公务接待费、工会经费、公务用车运行维护费、其他商品和服务支出。</w:t>
      </w:r>
    </w:p>
    <w:p w14:paraId="5F248314">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6F7DD6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2025年盘锦市审计局安排政府采购预算0万元，具体为货物0万元，服务0万元，工程0万元；预留面向中小企业采购份额0万元，其中预留给小微企业0万元。</w:t>
      </w:r>
    </w:p>
    <w:p w14:paraId="7B00E2FF">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42B85F3">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盘锦市审计局财政拨款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6</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1.5</w:t>
      </w:r>
      <w:r>
        <w:rPr>
          <w:rFonts w:hint="eastAsia" w:ascii="仿宋_GB2312" w:eastAsia="仿宋_GB2312"/>
          <w:sz w:val="32"/>
          <w:szCs w:val="32"/>
        </w:rPr>
        <w:t>万元，增长</w:t>
      </w:r>
      <w:r>
        <w:rPr>
          <w:rFonts w:hint="eastAsia" w:ascii="仿宋_GB2312" w:eastAsia="仿宋_GB2312"/>
          <w:sz w:val="32"/>
          <w:szCs w:val="32"/>
          <w:lang w:val="en-US" w:eastAsia="zh-CN"/>
        </w:rPr>
        <w:t>33.33</w:t>
      </w:r>
      <w:r>
        <w:rPr>
          <w:rFonts w:hint="eastAsia" w:ascii="仿宋_GB2312" w:eastAsia="仿宋_GB2312"/>
          <w:sz w:val="32"/>
          <w:szCs w:val="32"/>
        </w:rPr>
        <w:t>%。其中：</w:t>
      </w:r>
    </w:p>
    <w:p w14:paraId="04EBA3CF">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52606B82">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1.5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1.5</w:t>
      </w:r>
      <w:r>
        <w:rPr>
          <w:rFonts w:hint="eastAsia" w:ascii="仿宋_GB2312" w:eastAsia="仿宋_GB2312"/>
          <w:sz w:val="32"/>
          <w:szCs w:val="32"/>
        </w:rPr>
        <w:t>万元，增长</w:t>
      </w:r>
      <w:r>
        <w:rPr>
          <w:rFonts w:hint="eastAsia" w:ascii="仿宋_GB2312" w:eastAsia="仿宋_GB2312"/>
          <w:sz w:val="32"/>
          <w:szCs w:val="32"/>
          <w:lang w:val="en-US" w:eastAsia="zh-CN"/>
        </w:rPr>
        <w:t>100</w:t>
      </w:r>
      <w:r>
        <w:rPr>
          <w:rFonts w:hint="eastAsia" w:ascii="仿宋_GB2312" w:eastAsia="仿宋_GB2312"/>
          <w:sz w:val="32"/>
          <w:szCs w:val="32"/>
        </w:rPr>
        <w:t>%。主要原因</w:t>
      </w:r>
      <w:r>
        <w:rPr>
          <w:rFonts w:hint="eastAsia" w:ascii="仿宋_GB2312" w:eastAsia="仿宋_GB2312"/>
          <w:sz w:val="32"/>
          <w:szCs w:val="32"/>
          <w:lang w:val="en-US" w:eastAsia="zh-CN"/>
        </w:rPr>
        <w:t>为机关事务中心</w:t>
      </w:r>
      <w:r>
        <w:rPr>
          <w:rFonts w:hint="eastAsia" w:ascii="仿宋_GB2312" w:hAnsi="仿宋_GB2312" w:eastAsia="仿宋_GB2312" w:cs="仿宋_GB2312"/>
          <w:i w:val="0"/>
          <w:iCs w:val="0"/>
          <w:caps w:val="0"/>
          <w:color w:val="333333"/>
          <w:spacing w:val="0"/>
          <w:sz w:val="32"/>
          <w:szCs w:val="32"/>
          <w:shd w:val="clear" w:fill="FFFFFF"/>
          <w:lang w:val="en-US" w:eastAsia="zh-CN"/>
        </w:rPr>
        <w:t>服务范围变更</w:t>
      </w:r>
      <w:r>
        <w:rPr>
          <w:rFonts w:hint="eastAsia" w:ascii="仿宋_GB2312" w:eastAsia="仿宋_GB2312"/>
          <w:sz w:val="32"/>
          <w:szCs w:val="32"/>
        </w:rPr>
        <w:t>。</w:t>
      </w:r>
    </w:p>
    <w:p w14:paraId="691611F9">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万元；公务用车运行费</w:t>
      </w:r>
      <w:r>
        <w:rPr>
          <w:rFonts w:hint="eastAsia" w:ascii="仿宋_GB2312" w:eastAsia="仿宋_GB2312"/>
          <w:sz w:val="32"/>
          <w:szCs w:val="32"/>
          <w:lang w:val="en-US" w:eastAsia="zh-CN"/>
        </w:rPr>
        <w:t>4.5</w:t>
      </w:r>
      <w:r>
        <w:rPr>
          <w:rFonts w:hint="eastAsia" w:ascii="仿宋_GB2312" w:eastAsia="仿宋_GB2312"/>
          <w:sz w:val="32"/>
          <w:szCs w:val="32"/>
        </w:rPr>
        <w:t>万元）。</w:t>
      </w:r>
    </w:p>
    <w:p w14:paraId="36B91494"/>
    <w:p w14:paraId="4DA1F1B5">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7FDDBE0D">
        <w:tblPrEx>
          <w:tblCellMar>
            <w:top w:w="15" w:type="dxa"/>
            <w:left w:w="108" w:type="dxa"/>
            <w:bottom w:w="15" w:type="dxa"/>
            <w:right w:w="108" w:type="dxa"/>
          </w:tblCellMar>
        </w:tblPrEx>
        <w:trPr>
          <w:trHeight w:val="570" w:hRule="atLeast"/>
        </w:trPr>
        <w:tc>
          <w:tcPr>
            <w:tcW w:w="8835" w:type="dxa"/>
            <w:gridSpan w:val="4"/>
            <w:vAlign w:val="center"/>
          </w:tcPr>
          <w:p w14:paraId="795AABFF">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0628D81D">
        <w:tblPrEx>
          <w:tblCellMar>
            <w:top w:w="15" w:type="dxa"/>
            <w:left w:w="108" w:type="dxa"/>
            <w:bottom w:w="15" w:type="dxa"/>
            <w:right w:w="108" w:type="dxa"/>
          </w:tblCellMar>
        </w:tblPrEx>
        <w:trPr>
          <w:trHeight w:val="480" w:hRule="atLeast"/>
        </w:trPr>
        <w:tc>
          <w:tcPr>
            <w:tcW w:w="3423" w:type="dxa"/>
            <w:vAlign w:val="center"/>
          </w:tcPr>
          <w:p w14:paraId="5CF986B6">
            <w:pPr>
              <w:widowControl/>
              <w:spacing w:line="560" w:lineRule="exact"/>
              <w:jc w:val="left"/>
              <w:rPr>
                <w:rFonts w:ascii="宋体" w:hAnsi="宋体" w:cs="宋体"/>
                <w:color w:val="000000"/>
                <w:kern w:val="0"/>
                <w:sz w:val="24"/>
              </w:rPr>
            </w:pPr>
          </w:p>
        </w:tc>
        <w:tc>
          <w:tcPr>
            <w:tcW w:w="2026" w:type="dxa"/>
            <w:vAlign w:val="center"/>
          </w:tcPr>
          <w:p w14:paraId="76F6C1C4">
            <w:pPr>
              <w:widowControl/>
              <w:spacing w:line="560" w:lineRule="exact"/>
              <w:jc w:val="left"/>
              <w:rPr>
                <w:rFonts w:ascii="宋体" w:hAnsi="宋体" w:cs="宋体"/>
                <w:color w:val="000000"/>
                <w:kern w:val="0"/>
                <w:sz w:val="24"/>
              </w:rPr>
            </w:pPr>
          </w:p>
        </w:tc>
        <w:tc>
          <w:tcPr>
            <w:tcW w:w="3386" w:type="dxa"/>
            <w:gridSpan w:val="2"/>
            <w:vAlign w:val="center"/>
          </w:tcPr>
          <w:p w14:paraId="1B5294CC">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1B529080">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4E8EEAF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4E1AF14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735CEC1B">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13E90D9E">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B4EF6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57FCB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E759E2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0EFDA0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FC628D5">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17A9E9EF">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6</w:t>
            </w:r>
          </w:p>
        </w:tc>
      </w:tr>
      <w:tr w14:paraId="222D2F7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D915D1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9FF476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5C92">
            <w:pPr>
              <w:widowControl/>
              <w:spacing w:line="56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0</w:t>
            </w:r>
          </w:p>
        </w:tc>
      </w:tr>
      <w:tr w14:paraId="3609A9F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789F0E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15FD7D9">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03E6">
            <w:pPr>
              <w:widowControl/>
              <w:spacing w:line="560" w:lineRule="exact"/>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1.5</w:t>
            </w:r>
          </w:p>
        </w:tc>
      </w:tr>
      <w:tr w14:paraId="53B1D8C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BB23EC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D04CA32">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0BAB">
            <w:pPr>
              <w:widowControl/>
              <w:spacing w:line="560" w:lineRule="exact"/>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4.5</w:t>
            </w:r>
          </w:p>
        </w:tc>
      </w:tr>
      <w:tr w14:paraId="534E060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B37558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B30A7C0">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F5FD">
            <w:pPr>
              <w:widowControl/>
              <w:spacing w:line="56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0</w:t>
            </w:r>
          </w:p>
        </w:tc>
      </w:tr>
      <w:tr w14:paraId="1307670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712ED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F3D6213">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4254">
            <w:pPr>
              <w:widowControl/>
              <w:spacing w:line="560" w:lineRule="exact"/>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4.5</w:t>
            </w:r>
          </w:p>
        </w:tc>
      </w:tr>
    </w:tbl>
    <w:p w14:paraId="4C1D668C">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3E048D38">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盘锦市审计局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38105CBE">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387427CE">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盘锦市审计局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115</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34460649">
      <w:pPr>
        <w:spacing w:line="560" w:lineRule="exact"/>
        <w:ind w:firstLine="632" w:firstLineChars="196"/>
        <w:rPr>
          <w:rFonts w:hint="eastAsia" w:ascii="仿宋_GB2312" w:hAnsi="宋体" w:eastAsia="仿宋_GB2312"/>
          <w:color w:val="auto"/>
          <w:sz w:val="32"/>
          <w:szCs w:val="32"/>
          <w:highlight w:val="none"/>
        </w:rPr>
      </w:pPr>
    </w:p>
    <w:p w14:paraId="6EBB2C3E">
      <w:pPr>
        <w:spacing w:line="560" w:lineRule="exact"/>
        <w:jc w:val="center"/>
        <w:rPr>
          <w:rFonts w:ascii="宋体" w:hAnsi="宋体"/>
          <w:b/>
          <w:sz w:val="36"/>
          <w:szCs w:val="36"/>
        </w:rPr>
      </w:pPr>
      <w:r>
        <w:rPr>
          <w:rFonts w:hint="eastAsia" w:ascii="宋体" w:hAnsi="宋体"/>
          <w:b/>
          <w:sz w:val="36"/>
          <w:szCs w:val="36"/>
        </w:rPr>
        <w:t>第四部分 名词解释</w:t>
      </w:r>
    </w:p>
    <w:p w14:paraId="7732ABDB">
      <w:pPr>
        <w:spacing w:line="560" w:lineRule="exact"/>
        <w:jc w:val="center"/>
        <w:rPr>
          <w:rFonts w:ascii="仿宋_GB2312" w:eastAsia="仿宋_GB2312"/>
          <w:sz w:val="32"/>
          <w:szCs w:val="32"/>
        </w:rPr>
      </w:pPr>
    </w:p>
    <w:p w14:paraId="2A45A83C">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5FB67A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4FE3B186">
      <w:pPr>
        <w:spacing w:line="560" w:lineRule="exact"/>
        <w:ind w:firstLine="646" w:firstLineChars="200"/>
        <w:jc w:val="left"/>
        <w:rPr>
          <w:rFonts w:hint="eastAsia" w:ascii="仿宋_GB2312" w:hAnsi="仿宋_GB2312" w:eastAsia="仿宋_GB2312" w:cs="仿宋_GB2312"/>
          <w:i w:val="0"/>
          <w:iCs w:val="0"/>
          <w:caps w:val="0"/>
          <w:color w:val="333333"/>
          <w:spacing w:val="0"/>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74E79E92">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63B0441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38BC2C43">
      <w:pPr>
        <w:spacing w:line="560" w:lineRule="exact"/>
        <w:ind w:firstLine="646" w:firstLineChars="200"/>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51F492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Times New Roman" w:eastAsia="仿宋_GB2312" w:cs="Times New Roman"/>
          <w:b/>
          <w:kern w:val="2"/>
          <w:sz w:val="32"/>
          <w:szCs w:val="32"/>
          <w:lang w:val="en-US" w:eastAsia="zh-CN" w:bidi="ar-SA"/>
        </w:rPr>
        <w:t>7.行政事业性收费收入：</w:t>
      </w:r>
      <w:r>
        <w:rPr>
          <w:rFonts w:hint="eastAsia" w:ascii="仿宋_GB2312" w:hAnsi="仿宋_GB2312" w:eastAsia="仿宋_GB2312" w:cs="仿宋_GB2312"/>
          <w:i w:val="0"/>
          <w:iCs w:val="0"/>
          <w:caps w:val="0"/>
          <w:color w:val="333333"/>
          <w:spacing w:val="0"/>
          <w:sz w:val="32"/>
          <w:szCs w:val="32"/>
          <w:shd w:val="clear" w:fill="FFFFFF"/>
        </w:rPr>
        <w:t>指依据法律、行政法规、国务院有关规定、国务院财政部门会同价格主管部门共同发布的规章或者规定，省、自治区、直辖市人民政府财政部门会同价格主管部门共同发布的规定所收取的各项收费收入。</w:t>
      </w:r>
    </w:p>
    <w:p w14:paraId="1D4C1B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8</w:t>
      </w:r>
      <w:r>
        <w:rPr>
          <w:rFonts w:hint="eastAsia" w:ascii="仿宋_GB2312" w:hAnsi="仿宋_GB2312" w:eastAsia="仿宋_GB2312" w:cs="仿宋_GB2312"/>
          <w:i w:val="0"/>
          <w:iCs w:val="0"/>
          <w:caps w:val="0"/>
          <w:color w:val="333333"/>
          <w:spacing w:val="0"/>
          <w:sz w:val="32"/>
          <w:szCs w:val="32"/>
          <w:shd w:val="clear" w:fill="FFFFFF"/>
        </w:rPr>
        <w:t>.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D30E2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Times New Roman" w:eastAsia="仿宋_GB2312" w:cs="Times New Roman"/>
          <w:b/>
          <w:kern w:val="2"/>
          <w:sz w:val="32"/>
          <w:szCs w:val="32"/>
          <w:lang w:val="en-US" w:eastAsia="zh-CN" w:bidi="ar-SA"/>
        </w:rPr>
        <w:t>8.其他收入：</w:t>
      </w:r>
      <w:r>
        <w:rPr>
          <w:rFonts w:hint="eastAsia" w:ascii="仿宋_GB2312" w:hAnsi="仿宋_GB2312" w:eastAsia="仿宋_GB2312" w:cs="仿宋_GB2312"/>
          <w:i w:val="0"/>
          <w:iCs w:val="0"/>
          <w:caps w:val="0"/>
          <w:color w:val="333333"/>
          <w:spacing w:val="0"/>
          <w:sz w:val="32"/>
          <w:szCs w:val="32"/>
          <w:shd w:val="clear" w:fill="FFFFFF"/>
        </w:rPr>
        <w:t>指除上述“财政拨款收入</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行政事业性收费收入</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政府性基金收入”以外的收入。</w:t>
      </w:r>
    </w:p>
    <w:p w14:paraId="16E302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9.社会保障和就业（类）行政事业单位离退休（款）归口管理的行政单位离退休（项）：</w:t>
      </w:r>
      <w:r>
        <w:rPr>
          <w:rFonts w:hint="eastAsia" w:ascii="仿宋_GB2312" w:hAnsi="仿宋_GB2312" w:eastAsia="仿宋_GB2312" w:cs="仿宋_GB2312"/>
          <w:i w:val="0"/>
          <w:iCs w:val="0"/>
          <w:caps w:val="0"/>
          <w:color w:val="333333"/>
          <w:spacing w:val="0"/>
          <w:sz w:val="32"/>
          <w:szCs w:val="32"/>
          <w:shd w:val="clear" w:fill="FFFFFF"/>
        </w:rPr>
        <w:t>反映实行归口管理的行政单位（包括实行公务员管理的事业单位）开支的离退休经费。</w:t>
      </w:r>
    </w:p>
    <w:p w14:paraId="0AD6EE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10.社会保障和就业（类）行政事业单位离退休（款）事业单位离退休（项）：</w:t>
      </w:r>
      <w:r>
        <w:rPr>
          <w:rFonts w:hint="eastAsia" w:ascii="仿宋_GB2312" w:hAnsi="仿宋_GB2312" w:eastAsia="仿宋_GB2312" w:cs="仿宋_GB2312"/>
          <w:i w:val="0"/>
          <w:iCs w:val="0"/>
          <w:caps w:val="0"/>
          <w:color w:val="333333"/>
          <w:spacing w:val="0"/>
          <w:sz w:val="32"/>
          <w:szCs w:val="32"/>
          <w:shd w:val="clear" w:fill="FFFFFF"/>
        </w:rPr>
        <w:t>反映实行归口管理的事业单位开支的离退休经费。</w:t>
      </w:r>
    </w:p>
    <w:p w14:paraId="08630C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11.卫生健康类（类）行政事业单位医疗（款）行政单位医疗（项）</w:t>
      </w:r>
      <w:r>
        <w:rPr>
          <w:rFonts w:hint="eastAsia" w:ascii="仿宋_GB2312" w:hAnsi="仿宋_GB2312" w:eastAsia="仿宋_GB2312" w:cs="仿宋_GB2312"/>
          <w:i w:val="0"/>
          <w:iCs w:val="0"/>
          <w:caps w:val="0"/>
          <w:color w:val="333333"/>
          <w:spacing w:val="0"/>
          <w:sz w:val="32"/>
          <w:szCs w:val="32"/>
          <w:shd w:val="clear" w:fill="FFFFFF"/>
        </w:rPr>
        <w:t>：反映财政部门安排的行政单位（包括实行公务员管理的事业单位，下同）基本医疗保险缴费经费，未参加医疗保险的行政单位的公费医疗经费，按国家规定享受离休人员、红军老战士待遇人员的医疗经费。</w:t>
      </w:r>
    </w:p>
    <w:p w14:paraId="5FFF580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12.卫生健康类（类）行政事业单位医疗（款）事业单位医疗（项）：</w:t>
      </w:r>
      <w:r>
        <w:rPr>
          <w:rFonts w:hint="eastAsia" w:ascii="仿宋_GB2312" w:hAnsi="仿宋_GB2312" w:eastAsia="仿宋_GB2312" w:cs="仿宋_GB2312"/>
          <w:i w:val="0"/>
          <w:iCs w:val="0"/>
          <w:caps w:val="0"/>
          <w:color w:val="333333"/>
          <w:spacing w:val="0"/>
          <w:sz w:val="32"/>
          <w:szCs w:val="32"/>
          <w:shd w:val="clear" w:fill="FFFFFF"/>
        </w:rPr>
        <w:t>反映财政部门安排的事业单位基本医疗保险缴费经费，未参加医疗保险的事业单位的公费医疗经费，按国家规定享受离休人员待遇人员的医疗经费。</w:t>
      </w:r>
    </w:p>
    <w:p w14:paraId="6EB074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sz w:val="32"/>
          <w:szCs w:val="32"/>
          <w:shd w:val="clear" w:fill="FFFFFF"/>
        </w:rPr>
        <w:t>13.住房保障（类）住房改革（款）住房公积金（项）：</w:t>
      </w:r>
      <w:r>
        <w:rPr>
          <w:rFonts w:hint="eastAsia" w:ascii="仿宋_GB2312" w:hAnsi="仿宋_GB2312" w:eastAsia="仿宋_GB2312" w:cs="仿宋_GB2312"/>
          <w:i w:val="0"/>
          <w:iCs w:val="0"/>
          <w:caps w:val="0"/>
          <w:color w:val="333333"/>
          <w:spacing w:val="0"/>
          <w:sz w:val="32"/>
          <w:szCs w:val="32"/>
          <w:shd w:val="clear" w:fill="FFFFFF"/>
        </w:rPr>
        <w:t>反映行政事业单位按人力资源和社会保障部、财政部规定的基本工资和津贴补贴以及规定比例为职工缴纳的住房公积金。</w:t>
      </w:r>
    </w:p>
    <w:p w14:paraId="276742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333333"/>
          <w:spacing w:val="0"/>
          <w:sz w:val="32"/>
          <w:szCs w:val="32"/>
          <w:shd w:val="clear" w:fill="FFFFFF"/>
        </w:rPr>
        <w:t>14</w:t>
      </w:r>
      <w:r>
        <w:rPr>
          <w:rFonts w:hint="eastAsia" w:ascii="仿宋_GB2312" w:hAnsi="微软雅黑" w:eastAsia="仿宋_GB2312" w:cs="仿宋_GB2312"/>
          <w:b/>
          <w:bCs/>
          <w:i w:val="0"/>
          <w:iCs w:val="0"/>
          <w:caps w:val="0"/>
          <w:color w:val="333333"/>
          <w:spacing w:val="0"/>
          <w:kern w:val="0"/>
          <w:sz w:val="32"/>
          <w:szCs w:val="32"/>
          <w:shd w:val="clear" w:color="auto" w:fill="FFFFFF"/>
          <w:lang w:val="en-US" w:eastAsia="zh-CN" w:bidi="ar"/>
        </w:rPr>
        <w:t>.一般公共服务支出（类）审计事务（款）行政运行（项）：</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反映行政单位的基本支出。</w:t>
      </w:r>
    </w:p>
    <w:p w14:paraId="3388A6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color="auto" w:fill="FFFFFF"/>
          <w:lang w:val="en-US" w:eastAsia="zh-CN" w:bidi="ar"/>
        </w:rPr>
        <w:t>15.一般公共服务支出（类）审计事务（款）审计业务（项）：</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指市审计局审计人员按照审计“四严禁”工作要求和审计“八不准”工作纪律的规定，开展审计、专项审计调查等方面的支出。</w:t>
      </w:r>
    </w:p>
    <w:p w14:paraId="41E354D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color="auto" w:fill="FFFFFF"/>
          <w:lang w:val="en-US" w:eastAsia="zh-CN" w:bidi="ar"/>
        </w:rPr>
        <w:t>16.一般公共服务支出（类）审计事务（款）审计管理（项）：</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指市审计局用于课题研究、审计宣传、审计法制建设、审计业务质量控制等方面的支出。</w:t>
      </w:r>
    </w:p>
    <w:p w14:paraId="362663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color="auto" w:fill="FFFFFF"/>
          <w:lang w:val="en-US" w:eastAsia="zh-CN" w:bidi="ar"/>
        </w:rPr>
        <w:t>17.一般公共服务支出（类）审计事务（款）信息化建设（项）：</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指市审计局用于信息化建设方面的支出。</w:t>
      </w:r>
    </w:p>
    <w:p w14:paraId="7C2559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default"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color="auto" w:fill="FFFFFF"/>
          <w:lang w:val="en-US" w:eastAsia="zh-CN" w:bidi="ar"/>
        </w:rPr>
        <w:t>18.一般公共服务支出（类）审计事务（款）事业运行（项）：</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反映事业单位的基本支出。</w:t>
      </w:r>
    </w:p>
    <w:p w14:paraId="23E34A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微软雅黑" w:eastAsia="仿宋_GB2312" w:cs="仿宋_GB2312"/>
          <w:b/>
          <w:bCs/>
          <w:i w:val="0"/>
          <w:iCs w:val="0"/>
          <w:caps w:val="0"/>
          <w:color w:val="333333"/>
          <w:spacing w:val="0"/>
          <w:kern w:val="0"/>
          <w:sz w:val="32"/>
          <w:szCs w:val="32"/>
          <w:shd w:val="clear" w:color="auto" w:fill="FFFFFF"/>
          <w:lang w:val="en-US" w:eastAsia="zh-CN" w:bidi="ar"/>
        </w:rPr>
        <w:t>19.一般公共服务支出（类）审计事务（款）其他审计事务支出（项）：</w:t>
      </w:r>
      <w:r>
        <w:rPr>
          <w:rFonts w:hint="eastAsia" w:ascii="仿宋_GB2312" w:hAnsi="微软雅黑" w:eastAsia="仿宋_GB2312" w:cs="仿宋_GB2312"/>
          <w:i w:val="0"/>
          <w:iCs w:val="0"/>
          <w:caps w:val="0"/>
          <w:color w:val="333333"/>
          <w:spacing w:val="0"/>
          <w:kern w:val="0"/>
          <w:sz w:val="32"/>
          <w:szCs w:val="32"/>
          <w:shd w:val="clear" w:color="auto" w:fill="FFFFFF"/>
          <w:lang w:val="en-US" w:eastAsia="zh-CN" w:bidi="ar"/>
        </w:rPr>
        <w:t>指除上述项目以外开展审计事务方面的其他支出。</w:t>
      </w:r>
    </w:p>
    <w:p w14:paraId="7889AC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shd w:val="clear" w:fill="FFFFFF"/>
        </w:rPr>
      </w:pPr>
    </w:p>
    <w:p w14:paraId="46C6F3A2">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盘锦市审计局</w:t>
      </w:r>
      <w:r>
        <w:rPr>
          <w:rFonts w:hint="eastAsia" w:ascii="宋体" w:hAnsi="宋体"/>
          <w:b/>
          <w:sz w:val="36"/>
          <w:szCs w:val="36"/>
        </w:rPr>
        <w:t>部门预算</w:t>
      </w:r>
      <w:r>
        <w:rPr>
          <w:rFonts w:hint="eastAsia" w:ascii="宋体" w:hAnsi="宋体"/>
          <w:b/>
          <w:sz w:val="36"/>
          <w:szCs w:val="36"/>
          <w:lang w:val="en-US" w:eastAsia="zh-CN"/>
        </w:rPr>
        <w:t>公开</w:t>
      </w:r>
      <w:r>
        <w:rPr>
          <w:rFonts w:hint="eastAsia" w:ascii="宋体" w:hAnsi="宋体"/>
          <w:b/>
          <w:sz w:val="36"/>
          <w:szCs w:val="36"/>
        </w:rPr>
        <w:t>表</w:t>
      </w:r>
    </w:p>
    <w:p w14:paraId="4957573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640" w:firstLineChars="0"/>
        <w:jc w:val="both"/>
        <w:rPr>
          <w:rFonts w:hint="eastAsia" w:ascii="仿宋_GB2312" w:hAnsi="仿宋_GB2312" w:eastAsia="仿宋_GB2312" w:cs="仿宋_GB2312"/>
          <w:i w:val="0"/>
          <w:iCs w:val="0"/>
          <w:caps w:val="0"/>
          <w:color w:val="333333"/>
          <w:spacing w:val="0"/>
          <w:sz w:val="32"/>
          <w:szCs w:val="32"/>
          <w:shd w:val="clear" w:fill="FFFFFF"/>
        </w:rPr>
      </w:pPr>
    </w:p>
    <w:p w14:paraId="416F0ACE">
      <w:pPr>
        <w:spacing w:line="560" w:lineRule="exact"/>
        <w:jc w:val="center"/>
        <w:rPr>
          <w:rFonts w:ascii="宋体" w:hAnsi="宋体"/>
          <w:b/>
          <w:sz w:val="36"/>
          <w:szCs w:val="36"/>
        </w:rPr>
      </w:pPr>
      <w:r>
        <w:rPr>
          <w:rFonts w:hint="eastAsia" w:ascii="仿宋_GB2312" w:hAnsi="仿宋_GB2312" w:eastAsia="仿宋_GB2312" w:cs="仿宋_GB2312"/>
          <w:b w:val="0"/>
          <w:bCs/>
          <w:sz w:val="32"/>
          <w:szCs w:val="32"/>
        </w:rPr>
        <w:t>（该部分内容详见附件）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12AA">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7A6189C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582776"/>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415090"/>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2575C0B"/>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4623F7"/>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272777"/>
    <w:rsid w:val="79BF61C2"/>
    <w:rsid w:val="79FC7325"/>
    <w:rsid w:val="7A6170AB"/>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7E7D8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4618</Words>
  <Characters>4801</Characters>
  <Lines>22</Lines>
  <Paragraphs>6</Paragraphs>
  <TotalTime>7</TotalTime>
  <ScaleCrop>false</ScaleCrop>
  <LinksUpToDate>false</LinksUpToDate>
  <CharactersWithSpaces>4847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2025-02-12T05:39:09Z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E8D7A81EEE7E45569F6FD2FFAEB3D65D_13</vt:lpwstr>
  </property>
</Properties>
</file>