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3E64C">
      <w:pPr>
        <w:spacing w:line="560" w:lineRule="exact"/>
        <w:jc w:val="center"/>
        <w:rPr>
          <w:bCs/>
          <w:sz w:val="32"/>
          <w:szCs w:val="32"/>
          <w:u w:val="single"/>
        </w:rPr>
      </w:pPr>
    </w:p>
    <w:p w14:paraId="34ED7FD4">
      <w:pPr>
        <w:pStyle w:val="2"/>
        <w:rPr>
          <w:bCs/>
          <w:sz w:val="32"/>
          <w:szCs w:val="32"/>
          <w:u w:val="single"/>
        </w:rPr>
      </w:pPr>
    </w:p>
    <w:p w14:paraId="2073A6CF">
      <w:pPr>
        <w:rPr>
          <w:bCs/>
          <w:sz w:val="32"/>
          <w:szCs w:val="32"/>
          <w:u w:val="single"/>
        </w:rPr>
      </w:pPr>
    </w:p>
    <w:p w14:paraId="27AD818E">
      <w:pPr>
        <w:pStyle w:val="2"/>
      </w:pPr>
    </w:p>
    <w:p w14:paraId="14B2FC38">
      <w:pPr>
        <w:spacing w:line="560" w:lineRule="exact"/>
        <w:jc w:val="center"/>
        <w:rPr>
          <w:b/>
          <w:sz w:val="44"/>
          <w:szCs w:val="44"/>
          <w:u w:val="single"/>
        </w:rPr>
      </w:pPr>
    </w:p>
    <w:p w14:paraId="165DDA1E">
      <w:pPr>
        <w:pStyle w:val="2"/>
      </w:pPr>
    </w:p>
    <w:p w14:paraId="13CE47B5">
      <w:pPr>
        <w:spacing w:line="560" w:lineRule="exact"/>
        <w:jc w:val="center"/>
        <w:rPr>
          <w:b/>
          <w:sz w:val="44"/>
          <w:szCs w:val="44"/>
          <w:u w:val="single"/>
        </w:rPr>
      </w:pPr>
    </w:p>
    <w:p w14:paraId="58380A7F">
      <w:pPr>
        <w:spacing w:line="560" w:lineRule="exact"/>
        <w:jc w:val="both"/>
        <w:rPr>
          <w:rFonts w:hint="eastAsia"/>
          <w:b/>
          <w:sz w:val="44"/>
          <w:szCs w:val="44"/>
        </w:rPr>
      </w:pPr>
    </w:p>
    <w:p w14:paraId="56F94702">
      <w:pPr>
        <w:spacing w:line="560" w:lineRule="exact"/>
        <w:jc w:val="center"/>
        <w:rPr>
          <w:rFonts w:hint="default" w:eastAsia="宋体"/>
          <w:b/>
          <w:sz w:val="44"/>
          <w:szCs w:val="44"/>
          <w:lang w:val="en-US" w:eastAsia="zh-CN"/>
        </w:rPr>
      </w:pPr>
      <w:r>
        <w:rPr>
          <w:rFonts w:hint="eastAsia"/>
          <w:b/>
          <w:sz w:val="44"/>
          <w:szCs w:val="44"/>
          <w:lang w:val="en-US" w:eastAsia="zh-CN"/>
        </w:rPr>
        <w:t>盘锦市审计局2025年度本级预算</w:t>
      </w:r>
    </w:p>
    <w:p w14:paraId="39231965">
      <w:pPr>
        <w:spacing w:line="560" w:lineRule="exact"/>
        <w:jc w:val="center"/>
        <w:rPr>
          <w:rFonts w:hint="eastAsia"/>
          <w:b/>
          <w:sz w:val="44"/>
          <w:szCs w:val="44"/>
        </w:rPr>
      </w:pPr>
    </w:p>
    <w:p w14:paraId="3E9C8523">
      <w:pPr>
        <w:spacing w:line="560" w:lineRule="exact"/>
        <w:jc w:val="center"/>
        <w:rPr>
          <w:rFonts w:hint="eastAsia"/>
          <w:b/>
          <w:sz w:val="44"/>
          <w:szCs w:val="44"/>
        </w:rPr>
      </w:pPr>
    </w:p>
    <w:p w14:paraId="7D7DDAF5">
      <w:pPr>
        <w:spacing w:line="560" w:lineRule="exact"/>
        <w:jc w:val="center"/>
        <w:rPr>
          <w:rFonts w:hint="eastAsia"/>
          <w:b/>
          <w:sz w:val="44"/>
          <w:szCs w:val="44"/>
        </w:rPr>
      </w:pPr>
    </w:p>
    <w:p w14:paraId="0554721C">
      <w:pPr>
        <w:spacing w:line="560" w:lineRule="exact"/>
        <w:jc w:val="center"/>
        <w:rPr>
          <w:rFonts w:hint="eastAsia"/>
          <w:b/>
          <w:sz w:val="44"/>
          <w:szCs w:val="44"/>
        </w:rPr>
      </w:pPr>
    </w:p>
    <w:p w14:paraId="324B03F5">
      <w:pPr>
        <w:spacing w:line="560" w:lineRule="exact"/>
        <w:jc w:val="center"/>
        <w:rPr>
          <w:rFonts w:hint="eastAsia"/>
          <w:b/>
          <w:sz w:val="44"/>
          <w:szCs w:val="44"/>
        </w:rPr>
      </w:pPr>
    </w:p>
    <w:p w14:paraId="1589DA8F">
      <w:pPr>
        <w:spacing w:line="560" w:lineRule="exact"/>
        <w:jc w:val="center"/>
        <w:rPr>
          <w:rFonts w:hint="eastAsia"/>
          <w:b/>
          <w:sz w:val="44"/>
          <w:szCs w:val="44"/>
        </w:rPr>
      </w:pPr>
    </w:p>
    <w:p w14:paraId="552F5FBB">
      <w:pPr>
        <w:spacing w:line="560" w:lineRule="exact"/>
        <w:jc w:val="center"/>
        <w:rPr>
          <w:rFonts w:hint="eastAsia"/>
          <w:b/>
          <w:sz w:val="44"/>
          <w:szCs w:val="44"/>
        </w:rPr>
      </w:pPr>
    </w:p>
    <w:p w14:paraId="65AF73E6">
      <w:pPr>
        <w:spacing w:line="560" w:lineRule="exact"/>
        <w:jc w:val="center"/>
        <w:rPr>
          <w:rFonts w:hint="eastAsia"/>
          <w:b/>
          <w:sz w:val="44"/>
          <w:szCs w:val="44"/>
        </w:rPr>
      </w:pPr>
    </w:p>
    <w:p w14:paraId="6D2CAF58">
      <w:pPr>
        <w:spacing w:line="560" w:lineRule="exact"/>
        <w:jc w:val="center"/>
        <w:rPr>
          <w:rFonts w:hint="eastAsia"/>
          <w:b/>
          <w:sz w:val="44"/>
          <w:szCs w:val="44"/>
        </w:rPr>
      </w:pPr>
    </w:p>
    <w:p w14:paraId="227A7333">
      <w:pPr>
        <w:spacing w:line="560" w:lineRule="exact"/>
        <w:jc w:val="center"/>
        <w:rPr>
          <w:rFonts w:hint="eastAsia"/>
          <w:b/>
          <w:sz w:val="44"/>
          <w:szCs w:val="44"/>
        </w:rPr>
      </w:pPr>
    </w:p>
    <w:p w14:paraId="70FEBB61">
      <w:pPr>
        <w:spacing w:line="560" w:lineRule="exact"/>
        <w:jc w:val="center"/>
        <w:rPr>
          <w:rFonts w:hint="eastAsia"/>
          <w:b/>
          <w:sz w:val="44"/>
          <w:szCs w:val="44"/>
        </w:rPr>
      </w:pPr>
    </w:p>
    <w:p w14:paraId="2F37CA9F">
      <w:pPr>
        <w:spacing w:line="560" w:lineRule="exact"/>
        <w:jc w:val="center"/>
        <w:rPr>
          <w:rFonts w:hint="eastAsia"/>
          <w:b/>
          <w:sz w:val="44"/>
          <w:szCs w:val="44"/>
        </w:rPr>
      </w:pPr>
    </w:p>
    <w:p w14:paraId="277080ED">
      <w:pPr>
        <w:spacing w:line="560" w:lineRule="exact"/>
        <w:jc w:val="center"/>
        <w:rPr>
          <w:rFonts w:hint="eastAsia"/>
          <w:b/>
          <w:sz w:val="44"/>
          <w:szCs w:val="44"/>
        </w:rPr>
      </w:pPr>
    </w:p>
    <w:p w14:paraId="5E82C05A">
      <w:pPr>
        <w:spacing w:line="560" w:lineRule="exact"/>
        <w:jc w:val="center"/>
        <w:rPr>
          <w:rFonts w:hint="eastAsia"/>
          <w:b/>
          <w:sz w:val="44"/>
          <w:szCs w:val="44"/>
        </w:rPr>
      </w:pPr>
    </w:p>
    <w:p w14:paraId="4DA3C4F0">
      <w:pPr>
        <w:spacing w:line="560" w:lineRule="exact"/>
        <w:jc w:val="center"/>
        <w:rPr>
          <w:rFonts w:hint="eastAsia"/>
          <w:b/>
          <w:sz w:val="44"/>
          <w:szCs w:val="44"/>
        </w:rPr>
      </w:pPr>
    </w:p>
    <w:p w14:paraId="466322DF">
      <w:pPr>
        <w:spacing w:line="560" w:lineRule="exact"/>
        <w:jc w:val="center"/>
        <w:rPr>
          <w:b/>
          <w:sz w:val="44"/>
          <w:szCs w:val="44"/>
        </w:rPr>
      </w:pPr>
      <w:r>
        <w:rPr>
          <w:rFonts w:hint="eastAsia"/>
          <w:b/>
          <w:sz w:val="44"/>
          <w:szCs w:val="44"/>
        </w:rPr>
        <w:t>目    录</w:t>
      </w:r>
    </w:p>
    <w:p w14:paraId="4DA1FBCD">
      <w:pPr>
        <w:spacing w:line="560" w:lineRule="exact"/>
        <w:rPr>
          <w:b/>
          <w:sz w:val="44"/>
          <w:szCs w:val="44"/>
          <w:u w:val="single"/>
        </w:rPr>
      </w:pPr>
    </w:p>
    <w:p w14:paraId="097F71E0">
      <w:pPr>
        <w:spacing w:line="560" w:lineRule="exact"/>
        <w:rPr>
          <w:b/>
          <w:sz w:val="44"/>
          <w:szCs w:val="44"/>
          <w:u w:val="single"/>
        </w:rPr>
      </w:pPr>
    </w:p>
    <w:p w14:paraId="06BF8EC5">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1FA3F740">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盘锦市审计局</w:t>
      </w:r>
      <w:r>
        <w:rPr>
          <w:rFonts w:hint="eastAsia" w:ascii="黑体" w:hAnsi="黑体" w:eastAsia="黑体"/>
          <w:sz w:val="32"/>
          <w:szCs w:val="32"/>
        </w:rPr>
        <w:t>概况</w:t>
      </w:r>
    </w:p>
    <w:p w14:paraId="2C21F4E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F63F46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DE8E60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盘锦市审计局2025</w:t>
      </w:r>
      <w:r>
        <w:rPr>
          <w:rFonts w:hint="eastAsia" w:ascii="黑体" w:hAnsi="黑体" w:eastAsia="黑体"/>
          <w:sz w:val="32"/>
          <w:szCs w:val="32"/>
        </w:rPr>
        <w:t>年</w:t>
      </w:r>
      <w:r>
        <w:rPr>
          <w:rFonts w:hint="eastAsia" w:ascii="黑体" w:hAnsi="黑体" w:eastAsia="黑体"/>
          <w:sz w:val="32"/>
          <w:szCs w:val="32"/>
          <w:lang w:val="en-US" w:eastAsia="zh-CN"/>
        </w:rPr>
        <w:t>本级</w:t>
      </w:r>
      <w:r>
        <w:rPr>
          <w:rFonts w:hint="eastAsia" w:ascii="黑体" w:hAnsi="黑体" w:eastAsia="黑体"/>
          <w:sz w:val="32"/>
          <w:szCs w:val="32"/>
        </w:rPr>
        <w:t>预算情况说明</w:t>
      </w:r>
    </w:p>
    <w:p w14:paraId="2CF6C98A">
      <w:pPr>
        <w:spacing w:line="560" w:lineRule="exact"/>
        <w:rPr>
          <w:rFonts w:ascii="黑体" w:hAnsi="黑体" w:eastAsia="黑体"/>
          <w:sz w:val="32"/>
          <w:szCs w:val="32"/>
        </w:rPr>
      </w:pPr>
      <w:r>
        <w:rPr>
          <w:rFonts w:hint="eastAsia" w:ascii="黑体" w:hAnsi="黑体" w:eastAsia="黑体"/>
          <w:sz w:val="32"/>
          <w:szCs w:val="32"/>
        </w:rPr>
        <w:t>第四部分    名词解释</w:t>
      </w:r>
    </w:p>
    <w:p w14:paraId="2F7D895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盘锦市审计局本级</w:t>
      </w:r>
      <w:r>
        <w:rPr>
          <w:rFonts w:hint="eastAsia" w:ascii="黑体" w:hAnsi="黑体" w:eastAsia="黑体"/>
          <w:sz w:val="32"/>
          <w:szCs w:val="32"/>
        </w:rPr>
        <w:t>预算批复表</w:t>
      </w:r>
    </w:p>
    <w:p w14:paraId="5FAA5D7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A8F86E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EE697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11DD70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0B4078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9F7DD3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8771E6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BF9F9B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2D39AB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3D486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53C59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C6D37A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DF047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B0A80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A862E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C074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AEFAA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D5A797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5EDC0F7">
      <w:pPr>
        <w:spacing w:line="560" w:lineRule="exact"/>
        <w:rPr>
          <w:rFonts w:ascii="黑体" w:hAnsi="黑体" w:eastAsia="黑体"/>
          <w:sz w:val="32"/>
          <w:szCs w:val="32"/>
        </w:rPr>
      </w:pPr>
      <w:r>
        <w:rPr>
          <w:rFonts w:hint="eastAsia" w:ascii="黑体" w:hAnsi="黑体" w:eastAsia="黑体"/>
          <w:sz w:val="32"/>
          <w:szCs w:val="32"/>
        </w:rPr>
        <w:t>　</w:t>
      </w:r>
    </w:p>
    <w:p w14:paraId="42F92549">
      <w:pPr>
        <w:spacing w:line="560" w:lineRule="exact"/>
        <w:rPr>
          <w:rFonts w:ascii="黑体" w:hAnsi="黑体" w:eastAsia="黑体"/>
          <w:sz w:val="32"/>
          <w:szCs w:val="32"/>
        </w:rPr>
      </w:pPr>
    </w:p>
    <w:p w14:paraId="552DCED4">
      <w:pPr>
        <w:spacing w:line="560" w:lineRule="exact"/>
        <w:rPr>
          <w:rFonts w:ascii="黑体" w:hAnsi="黑体" w:eastAsia="黑体"/>
          <w:sz w:val="32"/>
          <w:szCs w:val="32"/>
        </w:rPr>
      </w:pPr>
    </w:p>
    <w:p w14:paraId="1C5E18BA">
      <w:pPr>
        <w:spacing w:line="560" w:lineRule="exact"/>
        <w:rPr>
          <w:rFonts w:ascii="宋体" w:hAnsi="宋体"/>
          <w:b/>
          <w:sz w:val="36"/>
          <w:szCs w:val="36"/>
        </w:rPr>
      </w:pPr>
    </w:p>
    <w:p w14:paraId="7A5CC4B9">
      <w:pPr>
        <w:spacing w:line="560" w:lineRule="exact"/>
        <w:rPr>
          <w:rFonts w:ascii="宋体" w:hAnsi="宋体"/>
          <w:b/>
          <w:sz w:val="36"/>
          <w:szCs w:val="36"/>
        </w:rPr>
      </w:pPr>
    </w:p>
    <w:p w14:paraId="289E5C6B">
      <w:pPr>
        <w:spacing w:line="560" w:lineRule="exact"/>
        <w:jc w:val="center"/>
        <w:rPr>
          <w:rFonts w:ascii="宋体" w:hAnsi="宋体"/>
          <w:b/>
          <w:sz w:val="36"/>
          <w:szCs w:val="36"/>
        </w:rPr>
      </w:pPr>
    </w:p>
    <w:p w14:paraId="4C9813BC">
      <w:pPr>
        <w:spacing w:line="560" w:lineRule="exact"/>
        <w:jc w:val="center"/>
        <w:rPr>
          <w:rFonts w:ascii="宋体" w:hAnsi="宋体"/>
          <w:b/>
          <w:sz w:val="36"/>
          <w:szCs w:val="36"/>
        </w:rPr>
      </w:pPr>
    </w:p>
    <w:p w14:paraId="6482F430">
      <w:pPr>
        <w:spacing w:line="560" w:lineRule="exact"/>
        <w:jc w:val="center"/>
        <w:rPr>
          <w:rFonts w:ascii="宋体" w:hAnsi="宋体"/>
          <w:b/>
          <w:sz w:val="36"/>
          <w:szCs w:val="36"/>
        </w:rPr>
      </w:pPr>
    </w:p>
    <w:p w14:paraId="6E574CD3">
      <w:pPr>
        <w:spacing w:line="560" w:lineRule="exact"/>
        <w:jc w:val="center"/>
        <w:rPr>
          <w:rFonts w:ascii="宋体" w:hAnsi="宋体"/>
          <w:b/>
          <w:sz w:val="36"/>
          <w:szCs w:val="36"/>
        </w:rPr>
      </w:pPr>
    </w:p>
    <w:p w14:paraId="79413281">
      <w:pPr>
        <w:spacing w:line="560" w:lineRule="exact"/>
        <w:jc w:val="center"/>
        <w:rPr>
          <w:rFonts w:ascii="宋体" w:hAnsi="宋体"/>
          <w:b/>
          <w:sz w:val="36"/>
          <w:szCs w:val="36"/>
        </w:rPr>
      </w:pPr>
    </w:p>
    <w:p w14:paraId="04B8CEFE">
      <w:pPr>
        <w:spacing w:line="560" w:lineRule="exact"/>
        <w:jc w:val="center"/>
        <w:rPr>
          <w:rFonts w:ascii="宋体" w:hAnsi="宋体"/>
          <w:b/>
          <w:sz w:val="36"/>
          <w:szCs w:val="36"/>
        </w:rPr>
      </w:pPr>
    </w:p>
    <w:p w14:paraId="4C4DA91B">
      <w:pPr>
        <w:spacing w:line="560" w:lineRule="exact"/>
        <w:jc w:val="center"/>
        <w:rPr>
          <w:rFonts w:ascii="宋体" w:hAnsi="宋体"/>
          <w:b/>
          <w:sz w:val="36"/>
          <w:szCs w:val="36"/>
        </w:rPr>
      </w:pPr>
    </w:p>
    <w:p w14:paraId="038964FC">
      <w:pPr>
        <w:spacing w:line="560" w:lineRule="exact"/>
        <w:jc w:val="center"/>
        <w:rPr>
          <w:rFonts w:ascii="宋体" w:hAnsi="宋体"/>
          <w:b/>
          <w:sz w:val="36"/>
          <w:szCs w:val="36"/>
        </w:rPr>
      </w:pPr>
    </w:p>
    <w:p w14:paraId="0BDB6BD7">
      <w:pPr>
        <w:spacing w:line="560" w:lineRule="exact"/>
        <w:jc w:val="center"/>
        <w:rPr>
          <w:rFonts w:ascii="宋体" w:hAnsi="宋体"/>
          <w:b/>
          <w:sz w:val="36"/>
          <w:szCs w:val="36"/>
        </w:rPr>
      </w:pPr>
    </w:p>
    <w:p w14:paraId="5E2D9F37">
      <w:pPr>
        <w:spacing w:line="560" w:lineRule="exact"/>
        <w:jc w:val="center"/>
        <w:rPr>
          <w:rFonts w:ascii="宋体" w:hAnsi="宋体"/>
          <w:b/>
          <w:sz w:val="36"/>
          <w:szCs w:val="36"/>
        </w:rPr>
      </w:pPr>
    </w:p>
    <w:p w14:paraId="71A33BFC">
      <w:pPr>
        <w:spacing w:line="560" w:lineRule="exact"/>
        <w:jc w:val="center"/>
        <w:rPr>
          <w:rFonts w:ascii="宋体" w:hAnsi="宋体"/>
          <w:b/>
          <w:sz w:val="36"/>
          <w:szCs w:val="36"/>
        </w:rPr>
      </w:pPr>
    </w:p>
    <w:p w14:paraId="25D89E24">
      <w:pPr>
        <w:spacing w:line="560" w:lineRule="exact"/>
        <w:jc w:val="center"/>
        <w:rPr>
          <w:rFonts w:ascii="宋体" w:hAnsi="宋体"/>
          <w:b/>
          <w:sz w:val="36"/>
          <w:szCs w:val="36"/>
        </w:rPr>
      </w:pPr>
    </w:p>
    <w:p w14:paraId="7F0097D6">
      <w:pPr>
        <w:spacing w:line="560" w:lineRule="exact"/>
        <w:jc w:val="center"/>
        <w:rPr>
          <w:rFonts w:ascii="宋体" w:hAnsi="宋体"/>
          <w:b/>
          <w:sz w:val="36"/>
          <w:szCs w:val="36"/>
        </w:rPr>
      </w:pPr>
    </w:p>
    <w:p w14:paraId="2F92C4FB">
      <w:pPr>
        <w:spacing w:line="560" w:lineRule="exact"/>
        <w:jc w:val="center"/>
        <w:rPr>
          <w:rFonts w:ascii="宋体" w:hAnsi="宋体"/>
          <w:b/>
          <w:sz w:val="36"/>
          <w:szCs w:val="36"/>
        </w:rPr>
      </w:pPr>
    </w:p>
    <w:p w14:paraId="117C7702">
      <w:pPr>
        <w:pStyle w:val="2"/>
      </w:pPr>
    </w:p>
    <w:p w14:paraId="052CFDE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6F19589E">
      <w:pPr>
        <w:spacing w:line="560" w:lineRule="exact"/>
        <w:jc w:val="center"/>
        <w:rPr>
          <w:rFonts w:ascii="宋体" w:hAnsi="宋体"/>
          <w:b/>
          <w:sz w:val="36"/>
          <w:szCs w:val="36"/>
        </w:rPr>
      </w:pPr>
    </w:p>
    <w:p w14:paraId="64A7C15C">
      <w:pPr>
        <w:ind w:firstLine="645"/>
        <w:jc w:val="center"/>
        <w:rPr>
          <w:rFonts w:ascii="仿宋_GB2312" w:eastAsia="仿宋_GB2312"/>
          <w:sz w:val="32"/>
          <w:szCs w:val="32"/>
        </w:rPr>
      </w:pPr>
      <w:r>
        <w:rPr>
          <w:rFonts w:ascii="仿宋_GB2312" w:eastAsia="仿宋_GB2312"/>
          <w:sz w:val="32"/>
          <w:szCs w:val="32"/>
        </w:rPr>
        <w:t>关于印发《</w:t>
      </w:r>
      <w:r>
        <w:rPr>
          <w:rFonts w:hint="eastAsia" w:ascii="仿宋_GB2312" w:eastAsia="仿宋_GB2312"/>
          <w:sz w:val="32"/>
          <w:szCs w:val="32"/>
          <w:lang w:eastAsia="zh-CN"/>
        </w:rPr>
        <w:t>盘锦市审计局</w:t>
      </w:r>
      <w:r>
        <w:rPr>
          <w:rFonts w:ascii="仿宋_GB2312" w:eastAsia="仿宋_GB2312"/>
          <w:sz w:val="32"/>
          <w:szCs w:val="32"/>
        </w:rPr>
        <w:t>部门预决算信息公开管理办法</w:t>
      </w:r>
    </w:p>
    <w:p w14:paraId="2AE60B0F">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2B9A5ADC">
      <w:pPr>
        <w:rPr>
          <w:rFonts w:ascii="仿宋" w:hAnsi="仿宋" w:eastAsia="仿宋"/>
          <w:sz w:val="32"/>
          <w:szCs w:val="32"/>
        </w:rPr>
      </w:pPr>
      <w:r>
        <w:rPr>
          <w:rFonts w:hint="eastAsia" w:ascii="仿宋" w:hAnsi="仿宋" w:eastAsia="仿宋"/>
          <w:sz w:val="32"/>
          <w:szCs w:val="32"/>
        </w:rPr>
        <w:t>　　</w:t>
      </w:r>
    </w:p>
    <w:p w14:paraId="2FE3AA87">
      <w:pPr>
        <w:spacing w:line="560" w:lineRule="exact"/>
        <w:rPr>
          <w:rFonts w:ascii="宋体" w:hAnsi="宋体"/>
          <w:b/>
          <w:sz w:val="36"/>
          <w:szCs w:val="36"/>
        </w:rPr>
      </w:pPr>
    </w:p>
    <w:p w14:paraId="4E13BEE7">
      <w:pPr>
        <w:spacing w:line="560" w:lineRule="exact"/>
        <w:rPr>
          <w:rFonts w:ascii="宋体" w:hAnsi="宋体"/>
          <w:b/>
          <w:sz w:val="36"/>
          <w:szCs w:val="36"/>
        </w:rPr>
      </w:pPr>
    </w:p>
    <w:p w14:paraId="32893461">
      <w:pPr>
        <w:spacing w:line="560" w:lineRule="exact"/>
        <w:rPr>
          <w:rFonts w:ascii="宋体" w:hAnsi="宋体"/>
          <w:b/>
          <w:sz w:val="36"/>
          <w:szCs w:val="36"/>
        </w:rPr>
      </w:pPr>
    </w:p>
    <w:p w14:paraId="083C4368">
      <w:pPr>
        <w:spacing w:line="560" w:lineRule="exact"/>
        <w:rPr>
          <w:rFonts w:ascii="宋体" w:hAnsi="宋体"/>
          <w:b/>
          <w:sz w:val="36"/>
          <w:szCs w:val="36"/>
        </w:rPr>
      </w:pPr>
    </w:p>
    <w:p w14:paraId="4297DEBA">
      <w:pPr>
        <w:spacing w:line="560" w:lineRule="exact"/>
        <w:rPr>
          <w:rFonts w:ascii="宋体" w:hAnsi="宋体"/>
          <w:b/>
          <w:sz w:val="36"/>
          <w:szCs w:val="36"/>
        </w:rPr>
      </w:pPr>
    </w:p>
    <w:p w14:paraId="5CBC1AC1">
      <w:pPr>
        <w:spacing w:line="560" w:lineRule="exact"/>
        <w:rPr>
          <w:rFonts w:ascii="宋体" w:hAnsi="宋体"/>
          <w:b/>
          <w:sz w:val="36"/>
          <w:szCs w:val="36"/>
        </w:rPr>
      </w:pPr>
    </w:p>
    <w:p w14:paraId="1D3B401C">
      <w:pPr>
        <w:spacing w:line="560" w:lineRule="exact"/>
        <w:rPr>
          <w:rFonts w:ascii="宋体" w:hAnsi="宋体"/>
          <w:b/>
          <w:sz w:val="36"/>
          <w:szCs w:val="36"/>
        </w:rPr>
      </w:pPr>
    </w:p>
    <w:p w14:paraId="50F95248">
      <w:pPr>
        <w:spacing w:line="560" w:lineRule="exact"/>
        <w:rPr>
          <w:rFonts w:ascii="宋体" w:hAnsi="宋体"/>
          <w:b/>
          <w:sz w:val="36"/>
          <w:szCs w:val="36"/>
        </w:rPr>
      </w:pPr>
    </w:p>
    <w:p w14:paraId="0B391511">
      <w:pPr>
        <w:spacing w:line="560" w:lineRule="exact"/>
        <w:rPr>
          <w:rFonts w:ascii="宋体" w:hAnsi="宋体"/>
          <w:b/>
          <w:sz w:val="36"/>
          <w:szCs w:val="36"/>
        </w:rPr>
      </w:pPr>
    </w:p>
    <w:p w14:paraId="42E4E50E">
      <w:pPr>
        <w:spacing w:line="560" w:lineRule="exact"/>
        <w:rPr>
          <w:rFonts w:ascii="宋体" w:hAnsi="宋体"/>
          <w:b/>
          <w:sz w:val="36"/>
          <w:szCs w:val="36"/>
        </w:rPr>
      </w:pPr>
    </w:p>
    <w:p w14:paraId="19B4596D">
      <w:pPr>
        <w:spacing w:line="560" w:lineRule="exact"/>
        <w:rPr>
          <w:rFonts w:ascii="宋体" w:hAnsi="宋体"/>
          <w:b/>
          <w:sz w:val="36"/>
          <w:szCs w:val="36"/>
        </w:rPr>
      </w:pPr>
    </w:p>
    <w:p w14:paraId="39433896">
      <w:pPr>
        <w:spacing w:line="560" w:lineRule="exact"/>
        <w:rPr>
          <w:rFonts w:ascii="宋体" w:hAnsi="宋体"/>
          <w:b/>
          <w:sz w:val="36"/>
          <w:szCs w:val="36"/>
        </w:rPr>
      </w:pPr>
    </w:p>
    <w:p w14:paraId="20104E1F">
      <w:pPr>
        <w:spacing w:line="560" w:lineRule="exact"/>
        <w:rPr>
          <w:rFonts w:ascii="宋体" w:hAnsi="宋体"/>
          <w:b/>
          <w:sz w:val="36"/>
          <w:szCs w:val="36"/>
        </w:rPr>
      </w:pPr>
    </w:p>
    <w:p w14:paraId="53D997A5">
      <w:pPr>
        <w:spacing w:line="560" w:lineRule="exact"/>
        <w:rPr>
          <w:rFonts w:ascii="宋体" w:hAnsi="宋体"/>
          <w:b/>
          <w:sz w:val="36"/>
          <w:szCs w:val="36"/>
        </w:rPr>
      </w:pPr>
    </w:p>
    <w:p w14:paraId="6A270894">
      <w:pPr>
        <w:spacing w:line="560" w:lineRule="exact"/>
        <w:rPr>
          <w:rFonts w:ascii="宋体" w:hAnsi="宋体"/>
          <w:b/>
          <w:sz w:val="36"/>
          <w:szCs w:val="36"/>
        </w:rPr>
      </w:pPr>
    </w:p>
    <w:p w14:paraId="08E7C775">
      <w:pPr>
        <w:spacing w:line="560" w:lineRule="exact"/>
        <w:rPr>
          <w:rFonts w:ascii="宋体" w:hAnsi="宋体"/>
          <w:b/>
          <w:sz w:val="36"/>
          <w:szCs w:val="36"/>
        </w:rPr>
      </w:pPr>
    </w:p>
    <w:p w14:paraId="464266B6">
      <w:pPr>
        <w:spacing w:line="560" w:lineRule="exact"/>
        <w:rPr>
          <w:rFonts w:ascii="宋体" w:hAnsi="宋体"/>
          <w:b/>
          <w:sz w:val="36"/>
          <w:szCs w:val="36"/>
        </w:rPr>
      </w:pPr>
    </w:p>
    <w:p w14:paraId="09864D89">
      <w:pPr>
        <w:spacing w:line="560" w:lineRule="exact"/>
        <w:rPr>
          <w:rFonts w:ascii="宋体" w:hAnsi="宋体"/>
          <w:b/>
          <w:sz w:val="36"/>
          <w:szCs w:val="36"/>
        </w:rPr>
      </w:pPr>
    </w:p>
    <w:p w14:paraId="3118D40A">
      <w:pPr>
        <w:spacing w:line="560" w:lineRule="exact"/>
        <w:rPr>
          <w:rFonts w:ascii="宋体" w:hAnsi="宋体"/>
          <w:b/>
          <w:sz w:val="36"/>
          <w:szCs w:val="36"/>
        </w:rPr>
      </w:pPr>
    </w:p>
    <w:p w14:paraId="7B76FFC3">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盘锦市审计局</w:t>
      </w:r>
      <w:r>
        <w:rPr>
          <w:rFonts w:hint="eastAsia" w:ascii="宋体" w:hAnsi="宋体"/>
          <w:b/>
          <w:sz w:val="36"/>
          <w:szCs w:val="36"/>
        </w:rPr>
        <w:t>概况</w:t>
      </w:r>
    </w:p>
    <w:p w14:paraId="305814AE">
      <w:pPr>
        <w:spacing w:line="560" w:lineRule="exact"/>
        <w:ind w:firstLine="646" w:firstLineChars="200"/>
        <w:jc w:val="left"/>
        <w:rPr>
          <w:rFonts w:ascii="黑体" w:eastAsia="黑体"/>
          <w:sz w:val="32"/>
          <w:szCs w:val="32"/>
        </w:rPr>
      </w:pPr>
    </w:p>
    <w:p w14:paraId="1F658748">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CCF15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盘锦市审计局成立于1985年2月，是盘锦市人民政府的职能部门，正处级建制，在市政府和省审计厅的双重领导下，负责全市的审计工作。</w:t>
      </w:r>
    </w:p>
    <w:p w14:paraId="7C47E7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14:paraId="497DC3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14:paraId="69D435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级党委和政府通报审计情况和审计结果。</w:t>
      </w:r>
    </w:p>
    <w:p w14:paraId="2C3781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14:paraId="185F97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（五）按规定对县处级党政主要领导干部及其他单位主要负责人实施经济责任审计和自然资源资产离任审计。</w:t>
      </w:r>
    </w:p>
    <w:p w14:paraId="5F916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（六）组织实施对国家、省和市财经法律法规、规章、政策和宏观调控措施执行情况、财政预算管理及国有资产管理使用等与国家、省和市财政收支有关的特定事项进行专项审计调查。</w:t>
      </w:r>
    </w:p>
    <w:p w14:paraId="5748B2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（七）依法检查审计决定执行情况，督促整改审计查出的问题，依法办理被审计单位对审计决定提请行政复议、行政诉讼或市政府裁决中的有关事项，协助配合有关部门查处相关重大案件。</w:t>
      </w:r>
    </w:p>
    <w:p w14:paraId="1DE3E9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（八）指导和监督内部审计工作，核查社会审计机构对依法属于审计监督对象的单位出具的相关审计报告。</w:t>
      </w:r>
    </w:p>
    <w:p w14:paraId="0CD6EC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14:paraId="7EA7A2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（十）组织开展全市审计领域的对外交流与合作，指导和推广信息技术在审计领域的应用。</w:t>
      </w:r>
    </w:p>
    <w:p w14:paraId="7FF68B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（十一）完成市委、市政府交办的其他任务。</w:t>
      </w:r>
    </w:p>
    <w:p w14:paraId="4B940D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14:paraId="674FC7E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2D72B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盘锦市审计局2025</w:t>
      </w:r>
      <w:r>
        <w:rPr>
          <w:rFonts w:hint="eastAsia" w:ascii="仿宋_GB2312" w:eastAsia="仿宋_GB2312"/>
          <w:b/>
          <w:sz w:val="32"/>
          <w:szCs w:val="32"/>
        </w:rPr>
        <w:t>年</w:t>
      </w:r>
      <w:r>
        <w:rPr>
          <w:rFonts w:hint="eastAsia" w:ascii="仿宋_GB2312" w:eastAsia="仿宋_GB2312"/>
          <w:b/>
          <w:sz w:val="32"/>
          <w:szCs w:val="32"/>
          <w:lang w:val="en-US" w:eastAsia="zh-CN"/>
        </w:rPr>
        <w:t>单位</w:t>
      </w:r>
      <w:r>
        <w:rPr>
          <w:rFonts w:hint="eastAsia" w:ascii="仿宋_GB2312" w:eastAsia="仿宋_GB2312"/>
          <w:b/>
          <w:sz w:val="32"/>
          <w:szCs w:val="32"/>
        </w:rPr>
        <w:t>预算编制范围的二级预算单位包括：</w:t>
      </w:r>
    </w:p>
    <w:p w14:paraId="4FBEF51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盘锦市审计局</w:t>
      </w:r>
      <w:r>
        <w:rPr>
          <w:rFonts w:hint="eastAsia" w:ascii="仿宋_GB2312" w:eastAsia="仿宋_GB2312"/>
          <w:sz w:val="32"/>
          <w:szCs w:val="32"/>
        </w:rPr>
        <w:t>本级</w:t>
      </w:r>
    </w:p>
    <w:p w14:paraId="27A835EF">
      <w:pPr>
        <w:spacing w:line="560" w:lineRule="exact"/>
        <w:ind w:firstLine="646" w:firstLineChars="200"/>
        <w:jc w:val="left"/>
        <w:rPr>
          <w:rFonts w:ascii="仿宋_GB2312" w:eastAsia="仿宋_GB2312"/>
          <w:sz w:val="32"/>
          <w:szCs w:val="32"/>
        </w:rPr>
      </w:pPr>
    </w:p>
    <w:p w14:paraId="492F92CB">
      <w:pPr>
        <w:spacing w:line="560" w:lineRule="exact"/>
        <w:rPr>
          <w:rFonts w:ascii="黑体" w:eastAsia="黑体"/>
          <w:sz w:val="36"/>
          <w:szCs w:val="36"/>
        </w:rPr>
      </w:pPr>
    </w:p>
    <w:p w14:paraId="25EB4ABC">
      <w:pPr>
        <w:spacing w:line="560" w:lineRule="exact"/>
        <w:rPr>
          <w:rFonts w:ascii="黑体" w:eastAsia="黑体"/>
          <w:sz w:val="36"/>
          <w:szCs w:val="36"/>
        </w:rPr>
      </w:pPr>
    </w:p>
    <w:p w14:paraId="3FCC19E3">
      <w:pPr>
        <w:spacing w:line="560" w:lineRule="exact"/>
        <w:rPr>
          <w:rFonts w:ascii="黑体" w:eastAsia="黑体"/>
          <w:sz w:val="36"/>
          <w:szCs w:val="36"/>
        </w:rPr>
      </w:pPr>
    </w:p>
    <w:p w14:paraId="65D107A3">
      <w:pPr>
        <w:spacing w:line="560" w:lineRule="exact"/>
        <w:rPr>
          <w:rFonts w:ascii="黑体" w:eastAsia="黑体"/>
          <w:sz w:val="36"/>
          <w:szCs w:val="36"/>
        </w:rPr>
      </w:pPr>
    </w:p>
    <w:p w14:paraId="2FB752B9">
      <w:pPr>
        <w:spacing w:line="560" w:lineRule="exact"/>
        <w:rPr>
          <w:rFonts w:ascii="黑体" w:eastAsia="黑体"/>
          <w:sz w:val="36"/>
          <w:szCs w:val="36"/>
        </w:rPr>
      </w:pPr>
    </w:p>
    <w:p w14:paraId="1464FC6F">
      <w:pPr>
        <w:spacing w:line="560" w:lineRule="exact"/>
        <w:rPr>
          <w:rFonts w:ascii="黑体" w:eastAsia="黑体"/>
          <w:sz w:val="36"/>
          <w:szCs w:val="36"/>
        </w:rPr>
      </w:pPr>
    </w:p>
    <w:p w14:paraId="0868794C">
      <w:pPr>
        <w:spacing w:line="560" w:lineRule="exact"/>
        <w:rPr>
          <w:rFonts w:ascii="黑体" w:eastAsia="黑体"/>
          <w:sz w:val="36"/>
          <w:szCs w:val="36"/>
        </w:rPr>
      </w:pPr>
    </w:p>
    <w:p w14:paraId="76FC2EF2">
      <w:pPr>
        <w:spacing w:line="560" w:lineRule="exact"/>
        <w:rPr>
          <w:rFonts w:ascii="黑体" w:eastAsia="黑体"/>
          <w:sz w:val="36"/>
          <w:szCs w:val="36"/>
        </w:rPr>
      </w:pPr>
    </w:p>
    <w:p w14:paraId="176B9379">
      <w:pPr>
        <w:spacing w:line="560" w:lineRule="exact"/>
        <w:rPr>
          <w:rFonts w:ascii="黑体" w:eastAsia="黑体"/>
          <w:sz w:val="36"/>
          <w:szCs w:val="36"/>
        </w:rPr>
      </w:pPr>
    </w:p>
    <w:p w14:paraId="07FFA19B">
      <w:pPr>
        <w:spacing w:line="560" w:lineRule="exact"/>
        <w:rPr>
          <w:rFonts w:ascii="黑体" w:eastAsia="黑体"/>
          <w:sz w:val="36"/>
          <w:szCs w:val="36"/>
        </w:rPr>
      </w:pPr>
    </w:p>
    <w:p w14:paraId="3C9A4F1B">
      <w:pPr>
        <w:spacing w:line="560" w:lineRule="exact"/>
        <w:rPr>
          <w:rFonts w:ascii="黑体" w:eastAsia="黑体"/>
          <w:sz w:val="36"/>
          <w:szCs w:val="36"/>
        </w:rPr>
      </w:pPr>
    </w:p>
    <w:p w14:paraId="62B8138F">
      <w:pPr>
        <w:spacing w:line="560" w:lineRule="exact"/>
        <w:rPr>
          <w:rFonts w:ascii="黑体" w:eastAsia="黑体"/>
          <w:sz w:val="36"/>
          <w:szCs w:val="36"/>
        </w:rPr>
      </w:pPr>
    </w:p>
    <w:p w14:paraId="3BF29E23">
      <w:pPr>
        <w:spacing w:line="560" w:lineRule="exact"/>
        <w:rPr>
          <w:rFonts w:ascii="黑体" w:eastAsia="黑体"/>
          <w:sz w:val="36"/>
          <w:szCs w:val="36"/>
        </w:rPr>
      </w:pPr>
    </w:p>
    <w:p w14:paraId="057B0E85">
      <w:pPr>
        <w:spacing w:line="560" w:lineRule="exact"/>
        <w:rPr>
          <w:rFonts w:ascii="黑体" w:eastAsia="黑体"/>
          <w:sz w:val="36"/>
          <w:szCs w:val="36"/>
        </w:rPr>
      </w:pPr>
    </w:p>
    <w:p w14:paraId="54CFC346">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盘锦市审计局2025</w:t>
      </w:r>
      <w:r>
        <w:rPr>
          <w:rFonts w:hint="eastAsia" w:ascii="宋体" w:hAnsi="宋体"/>
          <w:b/>
          <w:sz w:val="36"/>
          <w:szCs w:val="36"/>
        </w:rPr>
        <w:t>年</w:t>
      </w:r>
      <w:r>
        <w:rPr>
          <w:rFonts w:hint="eastAsia" w:ascii="宋体" w:hAnsi="宋体"/>
          <w:b/>
          <w:sz w:val="36"/>
          <w:szCs w:val="36"/>
          <w:lang w:val="en-US" w:eastAsia="zh-CN"/>
        </w:rPr>
        <w:t>本级</w:t>
      </w:r>
      <w:r>
        <w:rPr>
          <w:rFonts w:hint="eastAsia" w:ascii="宋体" w:hAnsi="宋体"/>
          <w:b/>
          <w:sz w:val="36"/>
          <w:szCs w:val="36"/>
        </w:rPr>
        <w:t>预算情况说明</w:t>
      </w:r>
    </w:p>
    <w:p w14:paraId="0D89CA49">
      <w:pPr>
        <w:spacing w:line="560" w:lineRule="exact"/>
        <w:jc w:val="center"/>
        <w:rPr>
          <w:rFonts w:ascii="宋体" w:hAnsi="宋体"/>
          <w:b/>
          <w:sz w:val="36"/>
          <w:szCs w:val="36"/>
        </w:rPr>
      </w:pPr>
    </w:p>
    <w:p w14:paraId="58A82D41">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24FAD8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（一）收入预算622.695万元，</w:t>
      </w:r>
      <w:r>
        <w:rPr>
          <w:rFonts w:hint="eastAsia" w:ascii="仿宋_GB2312" w:hAnsi="宋体" w:eastAsia="仿宋_GB2312"/>
          <w:sz w:val="32"/>
          <w:szCs w:val="32"/>
          <w:highlight w:val="none"/>
        </w:rPr>
        <w:t>其中：</w:t>
      </w:r>
    </w:p>
    <w:p w14:paraId="4F31371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1.一般公共预算拨款收入622.695万元；</w:t>
      </w:r>
    </w:p>
    <w:p w14:paraId="38CD5ED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0D437A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C02703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BCF8E9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5B5F98C">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062F1AE">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Times New Roman"/>
          <w:b/>
          <w:sz w:val="32"/>
          <w:szCs w:val="32"/>
          <w:highlight w:val="none"/>
          <w:lang w:val="en-US" w:eastAsia="zh-CN"/>
        </w:rPr>
        <w:t>622.695</w:t>
      </w:r>
      <w:r>
        <w:rPr>
          <w:rFonts w:hint="eastAsia" w:ascii="楷体" w:hAnsi="楷体" w:eastAsia="楷体" w:cs="Times New Roman"/>
          <w:b/>
          <w:sz w:val="32"/>
          <w:szCs w:val="32"/>
          <w:highlight w:val="none"/>
        </w:rPr>
        <w:t>万</w:t>
      </w:r>
      <w:r>
        <w:rPr>
          <w:rFonts w:hint="eastAsia" w:ascii="楷体" w:hAnsi="楷体" w:eastAsia="楷体"/>
          <w:b/>
          <w:sz w:val="32"/>
          <w:szCs w:val="32"/>
          <w:highlight w:val="none"/>
        </w:rPr>
        <w:t>元，</w:t>
      </w:r>
      <w:r>
        <w:rPr>
          <w:rFonts w:hint="eastAsia" w:ascii="仿宋_GB2312" w:hAnsi="宋体" w:eastAsia="仿宋_GB2312"/>
          <w:sz w:val="32"/>
          <w:szCs w:val="32"/>
          <w:highlight w:val="none"/>
        </w:rPr>
        <w:t>其中：</w:t>
      </w:r>
    </w:p>
    <w:p w14:paraId="57D1349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仿宋_GB2312" w:eastAsia="仿宋_GB2312" w:cs="仿宋_GB2312"/>
          <w:i w:val="0"/>
          <w:iCs w:val="0"/>
          <w:caps w:val="0"/>
          <w:color w:val="333333"/>
          <w:spacing w:val="0"/>
          <w:sz w:val="32"/>
          <w:szCs w:val="32"/>
          <w:shd w:val="clear" w:fill="FFFFFF"/>
          <w:lang w:val="en-US" w:eastAsia="zh-CN"/>
        </w:rPr>
        <w:t>507.695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3D7978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115</w:t>
      </w:r>
      <w:r>
        <w:rPr>
          <w:rFonts w:hint="eastAsia" w:ascii="仿宋_GB2312" w:eastAsia="仿宋_GB2312"/>
          <w:sz w:val="32"/>
          <w:szCs w:val="32"/>
          <w:highlight w:val="none"/>
        </w:rPr>
        <w:t>万元。</w:t>
      </w:r>
    </w:p>
    <w:p w14:paraId="1140F2D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63819F3">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12</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115</w:t>
      </w:r>
      <w:r>
        <w:rPr>
          <w:rFonts w:hint="eastAsia" w:ascii="仿宋_GB2312" w:eastAsia="仿宋_GB2312" w:cs="仿宋_GB2312"/>
          <w:sz w:val="32"/>
          <w:szCs w:val="32"/>
          <w:highlight w:val="none"/>
        </w:rPr>
        <w:t xml:space="preserve">万元。 </w:t>
      </w:r>
    </w:p>
    <w:p w14:paraId="3E6FBEF8">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val="en-US" w:eastAsia="zh-CN"/>
        </w:rPr>
        <w:t>增加4.535</w:t>
      </w:r>
      <w:r>
        <w:rPr>
          <w:rFonts w:hint="eastAsia" w:ascii="黑体" w:hAnsi="黑体" w:eastAsia="黑体"/>
          <w:sz w:val="32"/>
          <w:szCs w:val="32"/>
          <w:highlight w:val="none"/>
        </w:rPr>
        <w:t>万元，增减变化的主要原因为</w:t>
      </w:r>
      <w:r>
        <w:rPr>
          <w:rFonts w:hint="eastAsia" w:ascii="黑体" w:hAnsi="黑体" w:eastAsia="黑体" w:cs="Times New Roman"/>
          <w:sz w:val="32"/>
          <w:szCs w:val="32"/>
          <w:highlight w:val="none"/>
          <w:lang w:val="en-US" w:eastAsia="zh-CN"/>
        </w:rPr>
        <w:t>人员增加</w:t>
      </w:r>
      <w:r>
        <w:rPr>
          <w:rFonts w:hint="eastAsia" w:ascii="黑体" w:hAnsi="黑体" w:eastAsia="黑体" w:cs="Times New Roman"/>
          <w:sz w:val="32"/>
          <w:szCs w:val="32"/>
          <w:highlight w:val="none"/>
        </w:rPr>
        <w:t>。</w:t>
      </w:r>
    </w:p>
    <w:p w14:paraId="0E443B71">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0CB5A05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盘锦市审计局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07FEBB1">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821705B">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盘锦市审计局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27.71</w:t>
      </w:r>
      <w:r>
        <w:rPr>
          <w:rFonts w:hint="eastAsia" w:ascii="仿宋_GB2312" w:hAnsi="宋体" w:eastAsia="仿宋_GB2312"/>
          <w:sz w:val="32"/>
          <w:szCs w:val="32"/>
        </w:rPr>
        <w:t>万元，主要包括  办公费、印刷费、手续费、差旅费、会议费、公务接待费、工会经费、公务用车运行维护费、其他商品和服务支出。</w:t>
      </w:r>
    </w:p>
    <w:p w14:paraId="5F248314">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F7DD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2025年盘锦市审计局安排政府采购预算0万元，具体为货物0万元，服务0万元，工程0万元；预留面向中小企业采购份额0万元，其中预留给小微企业0万元。</w:t>
      </w:r>
    </w:p>
    <w:p w14:paraId="7B00E2F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42B85F3">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盘锦市审计局财政拨款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1.5</w:t>
      </w:r>
      <w:r>
        <w:rPr>
          <w:rFonts w:hint="eastAsia" w:ascii="仿宋_GB2312" w:eastAsia="仿宋_GB2312"/>
          <w:sz w:val="32"/>
          <w:szCs w:val="32"/>
        </w:rPr>
        <w:t>万元，增长</w:t>
      </w:r>
      <w:r>
        <w:rPr>
          <w:rFonts w:hint="eastAsia" w:ascii="仿宋_GB2312" w:eastAsia="仿宋_GB2312"/>
          <w:sz w:val="32"/>
          <w:szCs w:val="32"/>
          <w:lang w:val="en-US" w:eastAsia="zh-CN"/>
        </w:rPr>
        <w:t>33.33</w:t>
      </w:r>
      <w:r>
        <w:rPr>
          <w:rFonts w:hint="eastAsia" w:ascii="仿宋_GB2312" w:eastAsia="仿宋_GB2312"/>
          <w:sz w:val="32"/>
          <w:szCs w:val="32"/>
        </w:rPr>
        <w:t>%。其中：</w:t>
      </w:r>
    </w:p>
    <w:p w14:paraId="04EBA3CF">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2606B8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1.5</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w:t>
      </w:r>
      <w:r>
        <w:rPr>
          <w:rFonts w:hint="eastAsia" w:ascii="仿宋_GB2312" w:eastAsia="仿宋_GB2312"/>
          <w:sz w:val="32"/>
          <w:szCs w:val="32"/>
          <w:lang w:val="en-US" w:eastAsia="zh-CN"/>
        </w:rPr>
        <w:t>为机关事务中心</w:t>
      </w:r>
      <w:r>
        <w:rPr>
          <w:rFonts w:hint="eastAsia" w:ascii="仿宋_GB2312" w:hAnsi="仿宋_GB2312" w:eastAsia="仿宋_GB2312" w:cs="仿宋_GB2312"/>
          <w:i w:val="0"/>
          <w:iCs w:val="0"/>
          <w:caps w:val="0"/>
          <w:color w:val="333333"/>
          <w:spacing w:val="0"/>
          <w:sz w:val="32"/>
          <w:szCs w:val="32"/>
          <w:shd w:val="clear" w:fill="FFFFFF"/>
          <w:lang w:val="en-US" w:eastAsia="zh-CN"/>
        </w:rPr>
        <w:t>服务范围变更</w:t>
      </w:r>
      <w:r>
        <w:rPr>
          <w:rFonts w:hint="eastAsia" w:ascii="仿宋_GB2312" w:eastAsia="仿宋_GB2312"/>
          <w:sz w:val="32"/>
          <w:szCs w:val="32"/>
        </w:rPr>
        <w:t>。</w:t>
      </w:r>
    </w:p>
    <w:p w14:paraId="691611F9">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p>
    <w:p w14:paraId="575C9CA3">
      <w:pPr>
        <w:pStyle w:val="2"/>
      </w:pPr>
    </w:p>
    <w:p w14:paraId="2F6DEEF9"/>
    <w:p w14:paraId="7FBF1206"/>
    <w:p w14:paraId="7A95F756"/>
    <w:p w14:paraId="47580494"/>
    <w:p w14:paraId="36B91494"/>
    <w:p w14:paraId="4DA1F1B5">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FDDBE0D">
        <w:tblPrEx>
          <w:tblCellMar>
            <w:top w:w="15" w:type="dxa"/>
            <w:left w:w="108" w:type="dxa"/>
            <w:bottom w:w="15" w:type="dxa"/>
            <w:right w:w="108" w:type="dxa"/>
          </w:tblCellMar>
        </w:tblPrEx>
        <w:trPr>
          <w:trHeight w:val="570" w:hRule="atLeast"/>
        </w:trPr>
        <w:tc>
          <w:tcPr>
            <w:tcW w:w="8835" w:type="dxa"/>
            <w:gridSpan w:val="4"/>
            <w:vAlign w:val="center"/>
          </w:tcPr>
          <w:p w14:paraId="795AABF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628D81D">
        <w:tblPrEx>
          <w:tblCellMar>
            <w:top w:w="15" w:type="dxa"/>
            <w:left w:w="108" w:type="dxa"/>
            <w:bottom w:w="15" w:type="dxa"/>
            <w:right w:w="108" w:type="dxa"/>
          </w:tblCellMar>
        </w:tblPrEx>
        <w:trPr>
          <w:trHeight w:val="480" w:hRule="atLeast"/>
        </w:trPr>
        <w:tc>
          <w:tcPr>
            <w:tcW w:w="3423" w:type="dxa"/>
            <w:vAlign w:val="center"/>
          </w:tcPr>
          <w:p w14:paraId="5CF986B6">
            <w:pPr>
              <w:widowControl/>
              <w:spacing w:line="560" w:lineRule="exact"/>
              <w:jc w:val="left"/>
              <w:rPr>
                <w:rFonts w:ascii="宋体" w:hAnsi="宋体" w:cs="宋体"/>
                <w:color w:val="000000"/>
                <w:kern w:val="0"/>
                <w:sz w:val="24"/>
              </w:rPr>
            </w:pPr>
          </w:p>
        </w:tc>
        <w:tc>
          <w:tcPr>
            <w:tcW w:w="2026" w:type="dxa"/>
            <w:vAlign w:val="center"/>
          </w:tcPr>
          <w:p w14:paraId="76F6C1C4">
            <w:pPr>
              <w:widowControl/>
              <w:spacing w:line="560" w:lineRule="exact"/>
              <w:jc w:val="left"/>
              <w:rPr>
                <w:rFonts w:ascii="宋体" w:hAnsi="宋体" w:cs="宋体"/>
                <w:color w:val="000000"/>
                <w:kern w:val="0"/>
                <w:sz w:val="24"/>
              </w:rPr>
            </w:pPr>
          </w:p>
        </w:tc>
        <w:tc>
          <w:tcPr>
            <w:tcW w:w="3386" w:type="dxa"/>
            <w:gridSpan w:val="2"/>
            <w:vAlign w:val="center"/>
          </w:tcPr>
          <w:p w14:paraId="1B5294C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B529080">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E8EE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1AF14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35CEC1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3E90D9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4EF6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57FCB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E759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EFDA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FC628D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17A9E9EF">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w:t>
            </w:r>
          </w:p>
        </w:tc>
      </w:tr>
      <w:tr w14:paraId="222D2F7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D915D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FF476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5C92">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3609A9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89F0E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15FD7D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03E6">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1.5</w:t>
            </w:r>
          </w:p>
        </w:tc>
      </w:tr>
      <w:tr w14:paraId="53B1D8C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BB23E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D04CA3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BAB">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r w14:paraId="534E060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B37558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30A7C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5FD">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1307670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12ED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3D621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254">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bl>
    <w:p w14:paraId="4C1D668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E048D3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盘锦市审计局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8105CB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87427CE">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盘锦市审计局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EBB2C3E">
      <w:pPr>
        <w:spacing w:line="560" w:lineRule="exact"/>
        <w:jc w:val="center"/>
        <w:rPr>
          <w:rFonts w:ascii="宋体" w:hAnsi="宋体"/>
          <w:b/>
          <w:sz w:val="36"/>
          <w:szCs w:val="36"/>
        </w:rPr>
      </w:pPr>
      <w:r>
        <w:rPr>
          <w:rFonts w:hint="eastAsia" w:ascii="宋体" w:hAnsi="宋体"/>
          <w:b/>
          <w:sz w:val="36"/>
          <w:szCs w:val="36"/>
        </w:rPr>
        <w:t>第四部分 名词解释</w:t>
      </w:r>
    </w:p>
    <w:p w14:paraId="7732ABDB">
      <w:pPr>
        <w:spacing w:line="560" w:lineRule="exact"/>
        <w:jc w:val="center"/>
        <w:rPr>
          <w:rFonts w:ascii="仿宋_GB2312" w:eastAsia="仿宋_GB2312"/>
          <w:sz w:val="32"/>
          <w:szCs w:val="32"/>
        </w:rPr>
      </w:pPr>
    </w:p>
    <w:p w14:paraId="2A45A83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5FB67A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FE3B186">
      <w:pPr>
        <w:spacing w:line="560" w:lineRule="exact"/>
        <w:ind w:firstLine="646"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4E79E9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3B0441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8BC2C43">
      <w:pPr>
        <w:spacing w:line="560" w:lineRule="exact"/>
        <w:ind w:firstLine="646"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1F492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Times New Roman" w:eastAsia="仿宋_GB2312" w:cs="Times New Roman"/>
          <w:b/>
          <w:kern w:val="2"/>
          <w:sz w:val="32"/>
          <w:szCs w:val="32"/>
          <w:lang w:val="en-US" w:eastAsia="zh-CN" w:bidi="ar-SA"/>
        </w:rPr>
        <w:t>7.行政事业性收费收入：</w:t>
      </w:r>
      <w:r>
        <w:rPr>
          <w:rFonts w:hint="eastAsia" w:ascii="仿宋_GB2312" w:hAnsi="仿宋_GB2312" w:eastAsia="仿宋_GB2312" w:cs="仿宋_GB2312"/>
          <w:i w:val="0"/>
          <w:iCs w:val="0"/>
          <w:caps w:val="0"/>
          <w:color w:val="333333"/>
          <w:spacing w:val="0"/>
          <w:sz w:val="32"/>
          <w:szCs w:val="32"/>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14:paraId="1D4C1B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D30E2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Times New Roman" w:eastAsia="仿宋_GB2312" w:cs="Times New Roman"/>
          <w:b/>
          <w:kern w:val="2"/>
          <w:sz w:val="32"/>
          <w:szCs w:val="32"/>
          <w:lang w:val="en-US" w:eastAsia="zh-CN" w:bidi="ar-SA"/>
        </w:rPr>
        <w:t>8.其他收入：</w:t>
      </w:r>
      <w:r>
        <w:rPr>
          <w:rFonts w:hint="eastAsia" w:ascii="仿宋_GB2312" w:hAnsi="仿宋_GB2312" w:eastAsia="仿宋_GB2312" w:cs="仿宋_GB2312"/>
          <w:i w:val="0"/>
          <w:iCs w:val="0"/>
          <w:caps w:val="0"/>
          <w:color w:val="333333"/>
          <w:spacing w:val="0"/>
          <w:sz w:val="32"/>
          <w:szCs w:val="32"/>
          <w:shd w:val="clear" w:fill="FFFFFF"/>
        </w:rPr>
        <w:t>指除上述“财政拨款收入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行政事业性收费收入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政府性基金收入”以外的收入。</w:t>
      </w:r>
    </w:p>
    <w:p w14:paraId="16E302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9.社会保障和就业（类）行政事业单位离退休（款）归口管理的行政单位离退休（项）：</w:t>
      </w:r>
      <w:r>
        <w:rPr>
          <w:rFonts w:hint="eastAsia" w:ascii="仿宋_GB2312" w:hAnsi="仿宋_GB2312" w:eastAsia="仿宋_GB2312" w:cs="仿宋_GB2312"/>
          <w:i w:val="0"/>
          <w:iCs w:val="0"/>
          <w:caps w:val="0"/>
          <w:color w:val="333333"/>
          <w:spacing w:val="0"/>
          <w:sz w:val="32"/>
          <w:szCs w:val="32"/>
          <w:shd w:val="clear" w:fill="FFFFFF"/>
        </w:rPr>
        <w:t>反映实行归口管理的行政单位（包括实行公务员管理的事业单位）开支的离退休经费。</w:t>
      </w:r>
    </w:p>
    <w:p w14:paraId="0AD6EE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10.社会保障和就业（类）行政事业单位离退休（款）事业单位离退休（项）：</w:t>
      </w:r>
      <w:r>
        <w:rPr>
          <w:rFonts w:hint="eastAsia" w:ascii="仿宋_GB2312" w:hAnsi="仿宋_GB2312" w:eastAsia="仿宋_GB2312" w:cs="仿宋_GB2312"/>
          <w:i w:val="0"/>
          <w:iCs w:val="0"/>
          <w:caps w:val="0"/>
          <w:color w:val="333333"/>
          <w:spacing w:val="0"/>
          <w:sz w:val="32"/>
          <w:szCs w:val="32"/>
          <w:shd w:val="clear" w:fill="FFFFFF"/>
        </w:rPr>
        <w:t>反映实行归口管理的事业单位开支的离退休经费。</w:t>
      </w:r>
    </w:p>
    <w:p w14:paraId="08630C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11.卫生健康类（类）行政事业单位医疗（款）行政单位医疗（项）</w:t>
      </w:r>
      <w:r>
        <w:rPr>
          <w:rFonts w:hint="eastAsia" w:ascii="仿宋_GB2312" w:hAnsi="仿宋_GB2312" w:eastAsia="仿宋_GB2312" w:cs="仿宋_GB2312"/>
          <w:i w:val="0"/>
          <w:iCs w:val="0"/>
          <w:caps w:val="0"/>
          <w:color w:val="333333"/>
          <w:spacing w:val="0"/>
          <w:sz w:val="32"/>
          <w:szCs w:val="32"/>
          <w:shd w:val="clear"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5FFF58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12.卫生健康类（类）行政事业单位医疗（款）事业单位医疗（项）：</w:t>
      </w:r>
      <w:r>
        <w:rPr>
          <w:rFonts w:hint="eastAsia" w:ascii="仿宋_GB2312" w:hAnsi="仿宋_GB2312" w:eastAsia="仿宋_GB2312" w:cs="仿宋_GB2312"/>
          <w:i w:val="0"/>
          <w:iCs w:val="0"/>
          <w:caps w:val="0"/>
          <w:color w:val="333333"/>
          <w:spacing w:val="0"/>
          <w:sz w:val="32"/>
          <w:szCs w:val="32"/>
          <w:shd w:val="clear" w:fill="FFFFFF"/>
        </w:rPr>
        <w:t>反映财政部门安排的事业单位基本医疗保险缴费经费，未参加医疗保险的事业单位的公费医疗经费，按国家规定享受离休人员待遇人员的医疗经费。</w:t>
      </w:r>
    </w:p>
    <w:p w14:paraId="6EB074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13.住房保障（类）住房改革（款）住房公积金（项）：</w:t>
      </w:r>
      <w:r>
        <w:rPr>
          <w:rFonts w:hint="eastAsia" w:ascii="仿宋_GB2312" w:hAnsi="仿宋_GB2312" w:eastAsia="仿宋_GB2312" w:cs="仿宋_GB2312"/>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14:paraId="276742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sz w:val="32"/>
          <w:szCs w:val="32"/>
          <w:shd w:val="clear" w:fill="FFFFFF"/>
        </w:rPr>
        <w:t>14</w:t>
      </w: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.一般公共服务支出（类）审计事务（款）行政运行（项）：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反映行政单位的基本支出。</w:t>
      </w:r>
    </w:p>
    <w:p w14:paraId="3388A6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15.一般公共服务支出（类）审计事务（款）审计业务（项）：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指市审计局审计人员按照审计“四严禁”工作要求和审计“八不准”工作纪律的规定，开展审计、专项审计调查等方面的支出。</w:t>
      </w:r>
    </w:p>
    <w:p w14:paraId="41E354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16.一般公共服务支出（类）审计事务（款）审计管理（项）：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指市审计局用于课题研究、审计宣传、审计法制建设、审计业务质量控制等方面的支出。</w:t>
      </w:r>
    </w:p>
    <w:p w14:paraId="362663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17.一般公共服务支出（类）审计事务（款）信息化建设（项）：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指市审计局用于信息化建设方面的支出。</w:t>
      </w:r>
    </w:p>
    <w:p w14:paraId="7C255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18.一般公共服务支出（类）审计事务（款）事业运行（项）：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反映事业单位的基本支出。</w:t>
      </w:r>
    </w:p>
    <w:p w14:paraId="23E34A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19.一般公共服务支出（类）审计事务（款）其他审计事务支出（项）：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指除上述项目以外开展审计事务方面的其他支出。</w:t>
      </w:r>
    </w:p>
    <w:p w14:paraId="7889AC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481D52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4E4B1BC4">
      <w:pPr>
        <w:spacing w:line="560" w:lineRule="exact"/>
        <w:jc w:val="center"/>
        <w:rPr>
          <w:rFonts w:ascii="宋体" w:hAnsi="宋体"/>
          <w:b/>
          <w:sz w:val="36"/>
          <w:szCs w:val="36"/>
        </w:rPr>
      </w:pPr>
    </w:p>
    <w:p w14:paraId="79176423">
      <w:pPr>
        <w:pStyle w:val="2"/>
        <w:rPr>
          <w:rFonts w:ascii="宋体" w:hAnsi="宋体"/>
          <w:b/>
          <w:sz w:val="36"/>
          <w:szCs w:val="36"/>
        </w:rPr>
      </w:pPr>
    </w:p>
    <w:p w14:paraId="6241E5FB">
      <w:pPr>
        <w:rPr>
          <w:rFonts w:ascii="宋体" w:hAnsi="宋体"/>
          <w:b/>
          <w:sz w:val="36"/>
          <w:szCs w:val="36"/>
        </w:rPr>
      </w:pPr>
    </w:p>
    <w:p w14:paraId="127FD227">
      <w:pPr>
        <w:pStyle w:val="2"/>
        <w:rPr>
          <w:rFonts w:ascii="宋体" w:hAnsi="宋体"/>
          <w:b/>
          <w:sz w:val="36"/>
          <w:szCs w:val="36"/>
        </w:rPr>
      </w:pPr>
    </w:p>
    <w:p w14:paraId="0C9694B4">
      <w:pPr>
        <w:rPr>
          <w:rFonts w:ascii="宋体" w:hAnsi="宋体"/>
          <w:b/>
          <w:sz w:val="36"/>
          <w:szCs w:val="36"/>
        </w:rPr>
      </w:pPr>
    </w:p>
    <w:p w14:paraId="03471F79">
      <w:pPr>
        <w:pStyle w:val="2"/>
        <w:rPr>
          <w:rFonts w:ascii="宋体" w:hAnsi="宋体"/>
          <w:b/>
          <w:sz w:val="36"/>
          <w:szCs w:val="36"/>
        </w:rPr>
      </w:pPr>
    </w:p>
    <w:p w14:paraId="0C59F1B5">
      <w:pPr>
        <w:rPr>
          <w:rFonts w:ascii="宋体" w:hAnsi="宋体"/>
          <w:b/>
          <w:sz w:val="36"/>
          <w:szCs w:val="36"/>
        </w:rPr>
      </w:pPr>
    </w:p>
    <w:p w14:paraId="336458F3">
      <w:pPr>
        <w:pStyle w:val="2"/>
        <w:rPr>
          <w:rFonts w:ascii="宋体" w:hAnsi="宋体"/>
          <w:b/>
          <w:sz w:val="36"/>
          <w:szCs w:val="36"/>
        </w:rPr>
      </w:pPr>
    </w:p>
    <w:p w14:paraId="062AC7C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5DFF97A9">
      <w:pPr>
        <w:tabs>
          <w:tab w:val="left" w:pos="2343"/>
        </w:tabs>
        <w:spacing w:line="560" w:lineRule="exact"/>
        <w:jc w:val="both"/>
        <w:rPr>
          <w:rFonts w:hint="eastAsia" w:ascii="宋体" w:hAnsi="宋体"/>
          <w:b/>
          <w:sz w:val="36"/>
          <w:szCs w:val="36"/>
        </w:rPr>
      </w:pPr>
    </w:p>
    <w:p w14:paraId="2D21C436">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bookmarkStart w:id="0" w:name="_GoBack"/>
      <w:bookmarkEnd w:id="0"/>
      <w:r>
        <w:rPr>
          <w:rFonts w:hint="eastAsia" w:ascii="宋体" w:hAnsi="宋体"/>
          <w:b/>
          <w:sz w:val="36"/>
          <w:szCs w:val="36"/>
        </w:rPr>
        <w:t>年</w:t>
      </w:r>
      <w:r>
        <w:rPr>
          <w:rFonts w:hint="eastAsia" w:ascii="宋体" w:hAnsi="宋体"/>
          <w:b/>
          <w:sz w:val="36"/>
          <w:szCs w:val="36"/>
          <w:lang w:eastAsia="zh-CN"/>
        </w:rPr>
        <w:t>盘锦市审计局</w:t>
      </w:r>
      <w:r>
        <w:rPr>
          <w:rFonts w:hint="eastAsia" w:ascii="宋体" w:hAnsi="宋体"/>
          <w:b/>
          <w:sz w:val="36"/>
          <w:szCs w:val="36"/>
        </w:rPr>
        <w:t>部门预算批复表</w:t>
      </w:r>
    </w:p>
    <w:p w14:paraId="416F0ACE">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12A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A6189C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582776"/>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3B77CD"/>
    <w:rsid w:val="365A03F2"/>
    <w:rsid w:val="36F6584D"/>
    <w:rsid w:val="3757F7CA"/>
    <w:rsid w:val="385D4246"/>
    <w:rsid w:val="396661E0"/>
    <w:rsid w:val="39D46840"/>
    <w:rsid w:val="39FC9D6E"/>
    <w:rsid w:val="3ADF145F"/>
    <w:rsid w:val="3AE4639A"/>
    <w:rsid w:val="3B697A90"/>
    <w:rsid w:val="3C1C2BDE"/>
    <w:rsid w:val="3CA073AF"/>
    <w:rsid w:val="3CE3375A"/>
    <w:rsid w:val="3D344245"/>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4564</Words>
  <Characters>4742</Characters>
  <Lines>22</Lines>
  <Paragraphs>6</Paragraphs>
  <TotalTime>7</TotalTime>
  <ScaleCrop>false</ScaleCrop>
  <LinksUpToDate>false</LinksUpToDate>
  <CharactersWithSpaces>4790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博</cp:lastModifiedBy>
  <cp:lastPrinted>2022-02-17T12:01:00Z</cp:lastPrinted>
  <dcterms:modified xsi:type="dcterms:W3CDTF">2025-02-08T02:19:28Z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eyJoZGlkIjoiNmE3YzYxMzk3Y2UxNjE1NTllMjQ5YTFmNWQ5N2YwYTIiLCJ1c2VySWQiOiIyNjExNTY3MTgifQ==</vt:lpwstr>
  </property>
  <property fmtid="{D5CDD505-2E9C-101B-9397-08002B2CF9AE}" pid="4" name="ICV">
    <vt:lpwstr>F10E8565299C4FE8AA50AB4E8A961CF0_13</vt:lpwstr>
  </property>
</Properties>
</file>