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495FA">
      <w:pPr>
        <w:pStyle w:val="6"/>
        <w:spacing w:line="540" w:lineRule="exact"/>
        <w:ind w:left="0" w:leftChars="0" w:firstLine="0" w:firstLineChars="0"/>
        <w:jc w:val="center"/>
        <w:rPr>
          <w:rFonts w:hint="eastAsia" w:ascii="宋体" w:hAnsi="宋体" w:eastAsia="宋体" w:cs="宋体"/>
          <w:b/>
          <w:bCs/>
          <w:w w:val="90"/>
          <w:sz w:val="44"/>
          <w:szCs w:val="44"/>
        </w:rPr>
      </w:pPr>
      <w:r>
        <w:rPr>
          <w:rFonts w:hint="eastAsia" w:ascii="宋体" w:hAnsi="宋体" w:cs="宋体"/>
          <w:b/>
          <w:bCs/>
          <w:w w:val="90"/>
          <w:sz w:val="44"/>
          <w:szCs w:val="44"/>
          <w:lang w:val="en-US" w:eastAsia="zh-CN"/>
        </w:rPr>
        <w:t>强化</w:t>
      </w:r>
      <w:r>
        <w:rPr>
          <w:rFonts w:hint="eastAsia" w:ascii="宋体" w:hAnsi="宋体" w:eastAsia="宋体" w:cs="宋体"/>
          <w:b/>
          <w:bCs/>
          <w:w w:val="90"/>
          <w:sz w:val="44"/>
          <w:szCs w:val="44"/>
        </w:rPr>
        <w:t>绩效</w:t>
      </w:r>
      <w:r>
        <w:rPr>
          <w:rFonts w:hint="eastAsia" w:ascii="宋体" w:hAnsi="宋体" w:eastAsia="宋体" w:cs="宋体"/>
          <w:b/>
          <w:bCs/>
          <w:w w:val="90"/>
          <w:sz w:val="44"/>
          <w:szCs w:val="44"/>
          <w:lang w:val="en-US" w:eastAsia="zh-CN"/>
        </w:rPr>
        <w:t>目标</w:t>
      </w:r>
      <w:r>
        <w:rPr>
          <w:rFonts w:hint="eastAsia" w:ascii="宋体" w:hAnsi="宋体" w:cs="宋体"/>
          <w:b/>
          <w:bCs/>
          <w:w w:val="90"/>
          <w:sz w:val="44"/>
          <w:szCs w:val="44"/>
          <w:lang w:val="en-US" w:eastAsia="zh-CN"/>
        </w:rPr>
        <w:t>规范</w:t>
      </w:r>
      <w:r>
        <w:rPr>
          <w:rFonts w:hint="eastAsia" w:ascii="宋体" w:hAnsi="宋体" w:eastAsia="宋体" w:cs="宋体"/>
          <w:b/>
          <w:bCs/>
          <w:w w:val="90"/>
          <w:sz w:val="44"/>
          <w:szCs w:val="44"/>
        </w:rPr>
        <w:t>管理</w:t>
      </w:r>
    </w:p>
    <w:p w14:paraId="787B6BBB">
      <w:pPr>
        <w:pStyle w:val="6"/>
        <w:spacing w:line="540" w:lineRule="exact"/>
        <w:ind w:left="0" w:leftChars="0" w:firstLine="0" w:firstLineChars="0"/>
        <w:jc w:val="center"/>
        <w:rPr>
          <w:rFonts w:hint="default" w:ascii="宋体" w:hAnsi="宋体" w:eastAsia="宋体" w:cs="宋体"/>
          <w:b/>
          <w:bCs/>
          <w:w w:val="90"/>
          <w:sz w:val="44"/>
          <w:szCs w:val="44"/>
          <w:lang w:val="en-US" w:eastAsia="zh-CN"/>
        </w:rPr>
      </w:pPr>
      <w:r>
        <w:rPr>
          <w:rFonts w:hint="eastAsia" w:ascii="宋体" w:hAnsi="宋体" w:eastAsia="宋体" w:cs="宋体"/>
          <w:b/>
          <w:bCs/>
          <w:w w:val="90"/>
          <w:sz w:val="44"/>
          <w:szCs w:val="44"/>
          <w:lang w:val="en-US" w:eastAsia="zh-CN"/>
        </w:rPr>
        <w:t>推动财政资金</w:t>
      </w:r>
      <w:r>
        <w:rPr>
          <w:rFonts w:hint="eastAsia" w:ascii="宋体" w:hAnsi="宋体" w:cs="宋体"/>
          <w:b/>
          <w:bCs/>
          <w:w w:val="90"/>
          <w:sz w:val="44"/>
          <w:szCs w:val="44"/>
          <w:lang w:val="en-US" w:eastAsia="zh-CN"/>
        </w:rPr>
        <w:t>提质增效</w:t>
      </w:r>
    </w:p>
    <w:p w14:paraId="1EF5A295">
      <w:pPr>
        <w:pStyle w:val="6"/>
        <w:spacing w:line="540" w:lineRule="exact"/>
        <w:ind w:firstLine="643"/>
        <w:jc w:val="center"/>
        <w:rPr>
          <w:rFonts w:hint="eastAsia" w:ascii="仿宋" w:hAnsi="仿宋" w:eastAsia="仿宋" w:cs="仿宋"/>
          <w:sz w:val="32"/>
          <w:szCs w:val="32"/>
        </w:rPr>
      </w:pPr>
    </w:p>
    <w:p w14:paraId="43117B81">
      <w:pPr>
        <w:pStyle w:val="6"/>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兴隆台区区本级部门预算绩效目标编制和公开工作，按照国家、省、市关于全面实施预算绩效管理的有关要求和部署，为进一步促进预算绩效管理提质增效，强化“三全”预算绩效管理，推进预算与绩效管理深度融合，提升资金使用效益和政策效能，以财政资金绩效管理目标为导向，强化绩效管理理念，全方位推进预算和绩效管理规范化、标准化，提高绩效目标编制质量，确保财政资金使用的科学性、有效性和合法性。</w:t>
      </w:r>
    </w:p>
    <w:p w14:paraId="3BBD53F5">
      <w:pPr>
        <w:pStyle w:val="6"/>
        <w:numPr>
          <w:ilvl w:val="0"/>
          <w:numId w:val="0"/>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一、实现</w:t>
      </w:r>
      <w:r>
        <w:rPr>
          <w:rFonts w:hint="eastAsia" w:ascii="黑体" w:hAnsi="黑体" w:eastAsia="黑体" w:cs="黑体"/>
          <w:color w:val="000000"/>
          <w:sz w:val="32"/>
          <w:szCs w:val="32"/>
        </w:rPr>
        <w:t>预算绩效</w:t>
      </w:r>
      <w:r>
        <w:rPr>
          <w:rFonts w:hint="eastAsia" w:ascii="黑体" w:hAnsi="黑体" w:eastAsia="黑体" w:cs="黑体"/>
          <w:color w:val="000000"/>
          <w:sz w:val="32"/>
          <w:szCs w:val="32"/>
          <w:lang w:val="en-US" w:eastAsia="zh-CN"/>
        </w:rPr>
        <w:t>目标全过程信息化管理</w:t>
      </w:r>
    </w:p>
    <w:p w14:paraId="4C01CF44">
      <w:pPr>
        <w:pStyle w:val="6"/>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2025年，继续依托</w:t>
      </w:r>
      <w:bookmarkStart w:id="0" w:name="_GoBack"/>
      <w:bookmarkEnd w:id="0"/>
      <w:r>
        <w:rPr>
          <w:rFonts w:hint="eastAsia" w:ascii="仿宋_GB2312" w:hAnsi="仿宋_GB2312" w:eastAsia="仿宋_GB2312" w:cs="仿宋_GB2312"/>
          <w:sz w:val="32"/>
          <w:szCs w:val="32"/>
          <w:lang w:val="en-US" w:eastAsia="zh-CN"/>
        </w:rPr>
        <w:t>预算绩效管理一体化平台，对一般公共预算、政府性基金预算、国有资本经营预算实施了全过程信息化绩效目标</w:t>
      </w:r>
      <w:r>
        <w:rPr>
          <w:rFonts w:hint="eastAsia" w:ascii="仿宋_GB2312" w:hAnsi="仿宋_GB2312" w:eastAsia="仿宋_GB2312" w:cs="仿宋_GB2312"/>
          <w:sz w:val="32"/>
          <w:szCs w:val="32"/>
          <w:highlight w:val="none"/>
          <w:lang w:val="en-US" w:eastAsia="zh-CN"/>
        </w:rPr>
        <w:t>管理,除财力性转移支付项目、不公开项目和偿债类项目均纳入绩效管理范围。2025年区本级585个部门项目（政策）支出101855.01万元纳入绩效目标管理；132个部门（单位）纳入部门整体绩效目标管理。</w:t>
      </w:r>
    </w:p>
    <w:p w14:paraId="66020B03">
      <w:pPr>
        <w:pStyle w:val="6"/>
        <w:numPr>
          <w:ilvl w:val="0"/>
          <w:numId w:val="0"/>
        </w:numPr>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二、推进绩效管理与部门预算编制同步运行</w:t>
      </w:r>
    </w:p>
    <w:p w14:paraId="321085FC">
      <w:pPr>
        <w:pStyle w:val="6"/>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以预算部门（单位）为主体，将所有申报预算的项目都提前纳入项目库，</w:t>
      </w:r>
      <w:r>
        <w:rPr>
          <w:rFonts w:hint="eastAsia" w:ascii="仿宋_GB2312" w:hAnsi="仿宋_GB2312" w:eastAsia="仿宋_GB2312" w:cs="仿宋_GB2312"/>
          <w:b w:val="0"/>
          <w:bCs w:val="0"/>
          <w:sz w:val="32"/>
          <w:szCs w:val="32"/>
          <w:lang w:val="en-US" w:eastAsia="zh-CN"/>
        </w:rPr>
        <w:t>新增或执行到期拟继续执行的500</w:t>
      </w:r>
      <w:r>
        <w:rPr>
          <w:rFonts w:hint="default"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含)以上的项目需</w:t>
      </w:r>
      <w:r>
        <w:rPr>
          <w:rFonts w:hint="eastAsia" w:ascii="仿宋_GB2312" w:hAnsi="仿宋_GB2312" w:eastAsia="仿宋_GB2312" w:cs="仿宋_GB2312"/>
          <w:sz w:val="32"/>
          <w:szCs w:val="32"/>
          <w:lang w:val="en-US" w:eastAsia="zh-CN"/>
        </w:rPr>
        <w:t>从立项必要性、项目可行性、预算合理性、筹资合规性、预期绩效的可持续性5个方面开展事前绩效评估，</w:t>
      </w:r>
      <w:r>
        <w:rPr>
          <w:rFonts w:hint="default" w:ascii="仿宋_GB2312" w:hAnsi="仿宋_GB2312" w:eastAsia="仿宋_GB2312" w:cs="仿宋_GB2312"/>
          <w:sz w:val="32"/>
          <w:szCs w:val="32"/>
          <w:lang w:val="en-US" w:eastAsia="zh-CN"/>
        </w:rPr>
        <w:t>未按要求开展事前绩效评估或事前绩效评估不通过的项目不得纳入项目库</w:t>
      </w:r>
      <w:r>
        <w:rPr>
          <w:rFonts w:hint="eastAsia" w:ascii="仿宋_GB2312" w:hAnsi="仿宋_GB2312" w:eastAsia="仿宋_GB2312" w:cs="仿宋_GB2312"/>
          <w:sz w:val="32"/>
          <w:szCs w:val="32"/>
          <w:lang w:val="en-US" w:eastAsia="zh-CN"/>
        </w:rPr>
        <w:t>，2025年度开展事前绩效评估的项目共有</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lang w:val="en-US" w:eastAsia="zh-CN"/>
        </w:rPr>
        <w:t>个项目，涉及资金2.65亿元；</w:t>
      </w:r>
      <w:r>
        <w:rPr>
          <w:rFonts w:hint="eastAsia" w:ascii="仿宋_GB2312" w:hAnsi="仿宋_GB2312" w:eastAsia="仿宋_GB2312" w:cs="仿宋_GB2312"/>
          <w:b w:val="0"/>
          <w:bCs w:val="0"/>
          <w:sz w:val="32"/>
          <w:szCs w:val="32"/>
          <w:lang w:val="en-US" w:eastAsia="zh-CN"/>
        </w:rPr>
        <w:t>为提高预算绩效目标编制的科学性、合理性、规范性和精准度，我们坚持绩效目标和预算编制一同布置、一同编制、一同审核、一同批复、一同公开。</w:t>
      </w:r>
    </w:p>
    <w:p w14:paraId="24C8F589">
      <w:pPr>
        <w:pStyle w:val="6"/>
        <w:numPr>
          <w:ilvl w:val="0"/>
          <w:numId w:val="0"/>
        </w:numPr>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三、加强预算绩效目标审核管理</w:t>
      </w:r>
    </w:p>
    <w:p w14:paraId="0D18F62C">
      <w:pPr>
        <w:pStyle w:val="6"/>
        <w:numPr>
          <w:ilvl w:val="0"/>
          <w:numId w:val="0"/>
        </w:numPr>
        <w:spacing w:line="560" w:lineRule="exact"/>
        <w:ind w:firstLine="640" w:firstLineChars="200"/>
        <w:rPr>
          <w:rFonts w:hint="default" w:ascii="黑体" w:hAnsi="黑体" w:eastAsia="黑体" w:cs="黑体"/>
          <w:color w:val="000000"/>
          <w:sz w:val="32"/>
          <w:szCs w:val="32"/>
          <w:lang w:val="en-US" w:eastAsia="zh-CN"/>
        </w:rPr>
      </w:pPr>
      <w:r>
        <w:rPr>
          <w:rFonts w:hint="eastAsia" w:ascii="仿宋_GB2312" w:hAnsi="仿宋_GB2312" w:eastAsia="仿宋_GB2312" w:cs="仿宋_GB2312"/>
          <w:sz w:val="32"/>
          <w:szCs w:val="32"/>
          <w:lang w:val="en-US" w:eastAsia="zh-CN"/>
        </w:rPr>
        <w:t>区财政局国库股同局内各业务股室对2025年度部门预算绩效目标编制严格要求、严格审核，对绩效目标编制质量层层把关，对存在与项目关联性不强、没有反应项目核心产出和效益等问题的进行反馈修改</w:t>
      </w:r>
      <w:r>
        <w:rPr>
          <w:rFonts w:hint="eastAsia" w:ascii="仿宋_GB2312" w:hAnsi="仿宋_GB2312" w:eastAsia="仿宋_GB2312" w:cs="仿宋_GB2312"/>
          <w:b w:val="0"/>
          <w:bCs w:val="0"/>
          <w:sz w:val="32"/>
          <w:szCs w:val="32"/>
          <w:lang w:val="en-US" w:eastAsia="zh-CN"/>
        </w:rPr>
        <w:t>，切实提高了绩效目标编制质量，强化了预算绩效管理意识，全力推动预算绩效管理提质增效。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48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766B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2766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mE3NjY2MjQxODRhYmJhNTFmZDk0NWE0OTM2YzMifQ=="/>
  </w:docVars>
  <w:rsids>
    <w:rsidRoot w:val="00000000"/>
    <w:rsid w:val="016A6FD7"/>
    <w:rsid w:val="04204EEC"/>
    <w:rsid w:val="049251C3"/>
    <w:rsid w:val="099C34EA"/>
    <w:rsid w:val="1692767F"/>
    <w:rsid w:val="17F81389"/>
    <w:rsid w:val="1B132036"/>
    <w:rsid w:val="1CDA1606"/>
    <w:rsid w:val="1E43238C"/>
    <w:rsid w:val="2164183D"/>
    <w:rsid w:val="24251576"/>
    <w:rsid w:val="2583791F"/>
    <w:rsid w:val="28CC0C79"/>
    <w:rsid w:val="28EA017F"/>
    <w:rsid w:val="2A125A07"/>
    <w:rsid w:val="2DC15C87"/>
    <w:rsid w:val="2DFD4BAB"/>
    <w:rsid w:val="2FFD411A"/>
    <w:rsid w:val="330F78A8"/>
    <w:rsid w:val="333C067A"/>
    <w:rsid w:val="3B1F1B8E"/>
    <w:rsid w:val="3DC2196D"/>
    <w:rsid w:val="3DD75419"/>
    <w:rsid w:val="3E4800C5"/>
    <w:rsid w:val="3EE5081B"/>
    <w:rsid w:val="437234EE"/>
    <w:rsid w:val="44345B95"/>
    <w:rsid w:val="461F0F40"/>
    <w:rsid w:val="4B6439AE"/>
    <w:rsid w:val="4E21448E"/>
    <w:rsid w:val="4F2558B8"/>
    <w:rsid w:val="4F4071DA"/>
    <w:rsid w:val="54EC37AE"/>
    <w:rsid w:val="58B959EF"/>
    <w:rsid w:val="5D667ED0"/>
    <w:rsid w:val="5DD32FD9"/>
    <w:rsid w:val="5E3B53AC"/>
    <w:rsid w:val="65700509"/>
    <w:rsid w:val="679B617A"/>
    <w:rsid w:val="6FC06FA2"/>
    <w:rsid w:val="70F938D9"/>
    <w:rsid w:val="720D226B"/>
    <w:rsid w:val="73EF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812</Words>
  <Characters>849</Characters>
  <Paragraphs>17</Paragraphs>
  <TotalTime>211</TotalTime>
  <ScaleCrop>false</ScaleCrop>
  <LinksUpToDate>false</LinksUpToDate>
  <CharactersWithSpaces>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2018-09-17T07:48:00Z</dcterms:created>
  <dc:creator>詹姆斯 胖梨</dc:creator>
  <cp:lastModifiedBy>阿达</cp:lastModifiedBy>
  <cp:lastPrinted>2021-01-22T01:05:00Z</cp:lastPrinted>
  <dcterms:modified xsi:type="dcterms:W3CDTF">2025-01-16T06:31:05Z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7960C29E1422461C8D0FD2A7221EF535</vt:lpwstr>
  </property>
  <property fmtid="{D5CDD505-2E9C-101B-9397-08002B2CF9AE}" pid="4" name="KSOTemplateDocerSaveRecord">
    <vt:lpwstr>eyJoZGlkIjoiZDIwYTNiNzkxYzlkMmE1ZmYwZmE3MzNjNTI5MmU5ZDQiLCJ1c2VySWQiOiIyODczNTkzMjAifQ==</vt:lpwstr>
  </property>
</Properties>
</file>