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6E31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14:paraId="72694EA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14:paraId="3164D49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兴隆台区司法局（本级）2025</w:t>
      </w:r>
      <w:r>
        <w:rPr>
          <w:rFonts w:hint="eastAsia" w:ascii="方正小标宋_GBK" w:hAnsi="方正小标宋_GBK" w:eastAsia="方正小标宋_GBK" w:cs="方正小标宋_GBK"/>
          <w:b w:val="0"/>
          <w:bCs/>
          <w:sz w:val="44"/>
          <w:szCs w:val="44"/>
        </w:rPr>
        <w:t>年度</w:t>
      </w:r>
      <w:r>
        <w:rPr>
          <w:rFonts w:hint="eastAsia" w:ascii="方正小标宋_GBK" w:hAnsi="方正小标宋_GBK" w:eastAsia="方正小标宋_GBK" w:cs="方正小标宋_GBK"/>
          <w:b w:val="0"/>
          <w:bCs/>
          <w:sz w:val="44"/>
          <w:szCs w:val="44"/>
          <w:lang w:eastAsia="zh-CN"/>
        </w:rPr>
        <w:t>部门</w:t>
      </w:r>
      <w:r>
        <w:rPr>
          <w:rFonts w:hint="eastAsia" w:ascii="方正小标宋_GBK" w:hAnsi="方正小标宋_GBK" w:eastAsia="方正小标宋_GBK" w:cs="方正小标宋_GBK"/>
          <w:b w:val="0"/>
          <w:bCs/>
          <w:sz w:val="44"/>
          <w:szCs w:val="44"/>
        </w:rPr>
        <w:t>预算</w:t>
      </w:r>
    </w:p>
    <w:p w14:paraId="4D8CFEC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6AAD66E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0747DD7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7B90D4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兴隆台区司法局</w:t>
      </w:r>
      <w:r>
        <w:rPr>
          <w:rFonts w:hint="eastAsia" w:ascii="黑体" w:hAnsi="黑体" w:eastAsia="黑体"/>
          <w:b w:val="0"/>
          <w:bCs/>
          <w:sz w:val="32"/>
          <w:szCs w:val="32"/>
        </w:rPr>
        <w:t>部门概况</w:t>
      </w:r>
    </w:p>
    <w:p w14:paraId="17317C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F95B7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BEF33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FF0F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兴隆台区司法局</w:t>
      </w:r>
      <w:r>
        <w:rPr>
          <w:rFonts w:hint="eastAsia" w:ascii="黑体" w:hAnsi="黑体" w:eastAsia="黑体"/>
          <w:sz w:val="32"/>
          <w:szCs w:val="32"/>
          <w:lang w:eastAsia="zh-CN"/>
        </w:rPr>
        <w:t>2025</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4B848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年度部门收支总体情况表</w:t>
      </w:r>
    </w:p>
    <w:p w14:paraId="3CB2F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年度部门收入总体情况表</w:t>
      </w:r>
    </w:p>
    <w:p w14:paraId="7857A2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年度部门支出总体情况表</w:t>
      </w:r>
    </w:p>
    <w:p w14:paraId="6C5595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年度财政拨款收支总体情况表</w:t>
      </w:r>
    </w:p>
    <w:p w14:paraId="3E065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年度一般公共预算支出情况表</w:t>
      </w:r>
    </w:p>
    <w:p w14:paraId="68FC3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年度一般公共预算基本支出情况表</w:t>
      </w:r>
    </w:p>
    <w:p w14:paraId="20B70E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年度一般公共预算“三公”经费支出情况表</w:t>
      </w:r>
    </w:p>
    <w:p w14:paraId="25609C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年度政府性基金预算支出情况表</w:t>
      </w:r>
    </w:p>
    <w:p w14:paraId="5E114B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年度综合预算项目支出表</w:t>
      </w:r>
    </w:p>
    <w:p w14:paraId="48AD8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2025年度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56200D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兴隆台区司法局2025</w:t>
      </w:r>
      <w:r>
        <w:rPr>
          <w:rFonts w:hint="eastAsia" w:ascii="黑体" w:hAnsi="黑体" w:eastAsia="黑体"/>
          <w:sz w:val="32"/>
          <w:szCs w:val="32"/>
        </w:rPr>
        <w:t>年度部门预算情况说明</w:t>
      </w:r>
    </w:p>
    <w:p w14:paraId="51A9DF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6551E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1986A7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27EE0A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46213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A37B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B5EE6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65A87DE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66AB82D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70A2970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7F09B82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兴隆台区司法局（本级）部门</w:t>
      </w:r>
      <w:r>
        <w:rPr>
          <w:rFonts w:hint="eastAsia" w:ascii="方正小标宋_GBK" w:hAnsi="方正小标宋_GBK" w:eastAsia="方正小标宋_GBK" w:cs="方正小标宋_GBK"/>
          <w:b w:val="0"/>
          <w:bCs/>
          <w:sz w:val="44"/>
          <w:szCs w:val="44"/>
        </w:rPr>
        <w:t>概况</w:t>
      </w:r>
    </w:p>
    <w:p w14:paraId="62BC525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7D9A328F">
      <w:pPr>
        <w:widowControl/>
        <w:numPr>
          <w:ilvl w:val="0"/>
          <w:numId w:val="1"/>
        </w:numPr>
        <w:spacing w:line="620" w:lineRule="exact"/>
        <w:rPr>
          <w:rFonts w:hint="eastAsia" w:ascii="黑体" w:hAnsi="黑体" w:eastAsia="黑体"/>
          <w:color w:val="000000"/>
          <w:sz w:val="32"/>
        </w:rPr>
      </w:pPr>
      <w:r>
        <w:rPr>
          <w:rFonts w:hint="eastAsia" w:ascii="黑体" w:hAnsi="黑体" w:eastAsia="黑体"/>
          <w:color w:val="000000"/>
          <w:sz w:val="32"/>
        </w:rPr>
        <w:t>主要职责</w:t>
      </w:r>
    </w:p>
    <w:p w14:paraId="4D436961">
      <w:pPr>
        <w:spacing w:line="600" w:lineRule="exact"/>
        <w:ind w:firstLine="480" w:firstLineChars="15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（一）承担全面依法治区重大问题的研究，协调有关方面提出全面依法治区中长期规划建议，负责有关重大决策问题部署督察工作。</w:t>
      </w:r>
    </w:p>
    <w:p w14:paraId="10079F35">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（二）负责区政府、区政府办公室发布的行政规范性文件合法性审查。负责各街道办事处、区直部门行政规范性文件的备案审查工作。组织开展行政规范性文件的清理工作。</w:t>
      </w:r>
    </w:p>
    <w:p w14:paraId="715A9ADB">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r>
    </w:p>
    <w:p w14:paraId="088AE38B">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承担统筹推进法治政府建设的责任。指导、监督区政府各部门、各街道办事处依法行政工作，组织开展法治政府建设理论研究和宣传工作，负责综合协调行政执法，指导、监督各街道办事处、区直各部门行政执法工作。</w:t>
      </w:r>
    </w:p>
    <w:p w14:paraId="52D16A9B">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14:paraId="67E37587">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（六）负责社区矫正和刑满释放人员帮教安置工作。</w:t>
      </w:r>
    </w:p>
    <w:p w14:paraId="1F6E19B6">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（七）负责拟订公共法律服务体系建设具体规划并组织实施，统筹和布局城乡、区域法律服务资源，指导、监督公共法律服务中心建设，协调、监督律师、法律援助、司法鉴定、公证和基层法律服务管理工作。</w:t>
      </w:r>
    </w:p>
    <w:p w14:paraId="370FEAAC">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（八）负责区政府法律顾问工作，对区政府作出的重大行政决策进行合法性审查，负责区政府法律事务咨询等工作。</w:t>
      </w:r>
    </w:p>
    <w:p w14:paraId="6EF6DA4B">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（九）负责本系统服装和警车管理工作，指导、监督本系统财务、装备、设施、场所等保障工作。</w:t>
      </w:r>
    </w:p>
    <w:p w14:paraId="60884FE7">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14:paraId="370F2FB8">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（十一）依照《安全生产法》和其他有关法律、法规的规定，部门职责范围内负责对行业、领域的安全生产工作实施监督管理。</w:t>
      </w:r>
    </w:p>
    <w:p w14:paraId="2FF7641C">
      <w:pPr>
        <w:spacing w:line="60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（十二）完成区委、区政府交办的其他任务。</w:t>
      </w:r>
    </w:p>
    <w:p w14:paraId="0A219B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73669DB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31BB6FD6">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2890D225">
      <w:pPr>
        <w:numPr>
          <w:ilvl w:val="0"/>
          <w:numId w:val="0"/>
        </w:numPr>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设置11个基层司法所，为区司法局派出机构，司法所实行区司法局和街道办事处双重管理，以区司法局管理为主的管理体制。主要负责指导管理和组织实施本辖区的司法行政各项业务工作。名称</w:t>
      </w:r>
      <w:r>
        <w:rPr>
          <w:rFonts w:hint="eastAsia" w:ascii="仿宋" w:hAnsi="仿宋" w:eastAsia="仿宋" w:cs="仿宋"/>
          <w:color w:val="000000"/>
          <w:sz w:val="32"/>
          <w:szCs w:val="32"/>
          <w:lang w:eastAsia="zh-CN"/>
        </w:rPr>
        <w:t>分别</w:t>
      </w:r>
      <w:r>
        <w:rPr>
          <w:rFonts w:hint="eastAsia" w:ascii="仿宋" w:hAnsi="仿宋" w:eastAsia="仿宋" w:cs="仿宋"/>
          <w:color w:val="000000"/>
          <w:sz w:val="32"/>
          <w:szCs w:val="32"/>
        </w:rPr>
        <w:t>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w:t>
      </w:r>
      <w:r>
        <w:rPr>
          <w:rFonts w:hint="eastAsia" w:ascii="仿宋" w:hAnsi="仿宋" w:eastAsia="仿宋" w:cs="仿宋"/>
          <w:color w:val="000000"/>
          <w:sz w:val="32"/>
          <w:szCs w:val="32"/>
          <w:lang w:eastAsia="zh-CN"/>
        </w:rPr>
        <w:t>曙光</w:t>
      </w:r>
      <w:r>
        <w:rPr>
          <w:rFonts w:hint="eastAsia" w:ascii="仿宋" w:hAnsi="仿宋" w:eastAsia="仿宋" w:cs="仿宋"/>
          <w:color w:val="000000"/>
          <w:sz w:val="32"/>
          <w:szCs w:val="32"/>
        </w:rPr>
        <w:t>司法所；9、兴隆台区司法局欢喜</w:t>
      </w:r>
      <w:r>
        <w:rPr>
          <w:rFonts w:hint="eastAsia" w:ascii="仿宋" w:hAnsi="仿宋" w:eastAsia="仿宋" w:cs="仿宋"/>
          <w:color w:val="000000"/>
          <w:sz w:val="32"/>
          <w:szCs w:val="32"/>
          <w:lang w:eastAsia="zh-CN"/>
        </w:rPr>
        <w:t>岭</w:t>
      </w:r>
      <w:r>
        <w:rPr>
          <w:rFonts w:hint="eastAsia" w:ascii="仿宋" w:hAnsi="仿宋" w:eastAsia="仿宋" w:cs="仿宋"/>
          <w:color w:val="000000"/>
          <w:sz w:val="32"/>
          <w:szCs w:val="32"/>
        </w:rPr>
        <w:t>司法所；10、兴隆台区司法局</w:t>
      </w:r>
      <w:r>
        <w:rPr>
          <w:rFonts w:hint="eastAsia" w:ascii="仿宋" w:hAnsi="仿宋" w:eastAsia="仿宋" w:cs="仿宋"/>
          <w:color w:val="000000"/>
          <w:sz w:val="32"/>
          <w:szCs w:val="32"/>
          <w:lang w:eastAsia="zh-CN"/>
        </w:rPr>
        <w:t>沈采</w:t>
      </w:r>
      <w:r>
        <w:rPr>
          <w:rFonts w:hint="eastAsia" w:ascii="仿宋" w:hAnsi="仿宋" w:eastAsia="仿宋" w:cs="仿宋"/>
          <w:color w:val="000000"/>
          <w:sz w:val="32"/>
          <w:szCs w:val="32"/>
        </w:rPr>
        <w:t>司法所；11、兴隆台区司法局惠宾司法所</w:t>
      </w:r>
      <w:r>
        <w:rPr>
          <w:rFonts w:hint="eastAsia" w:ascii="仿宋" w:hAnsi="仿宋" w:eastAsia="仿宋" w:cs="仿宋"/>
          <w:color w:val="000000"/>
          <w:sz w:val="32"/>
          <w:szCs w:val="32"/>
          <w:lang w:eastAsia="zh-CN"/>
        </w:rPr>
        <w:t>。</w:t>
      </w:r>
    </w:p>
    <w:p w14:paraId="43FF8A42">
      <w:pPr>
        <w:numPr>
          <w:ilvl w:val="0"/>
          <w:numId w:val="0"/>
        </w:numPr>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2.下设副科级事业单位，盘锦市兴隆台区法律援助中心。</w:t>
      </w:r>
    </w:p>
    <w:p w14:paraId="3C3BD0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1B44FD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纳入盘锦市兴隆台区司法局2025年度部门预算编制范围的二级预算单位包括： </w:t>
      </w:r>
    </w:p>
    <w:p w14:paraId="02A06183">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无下设二级预算单位</w:t>
      </w:r>
    </w:p>
    <w:p w14:paraId="452C8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6CDFF1B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5172CCA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兴隆台区司法局（本级）</w:t>
      </w:r>
      <w:r>
        <w:rPr>
          <w:rFonts w:hint="eastAsia" w:ascii="方正小标宋_GBK" w:hAnsi="方正小标宋_GBK" w:eastAsia="方正小标宋_GBK" w:cs="方正小标宋_GBK"/>
          <w:b w:val="0"/>
          <w:bCs/>
          <w:sz w:val="44"/>
          <w:szCs w:val="44"/>
          <w:lang w:eastAsia="zh-CN"/>
        </w:rPr>
        <w:t>2025</w:t>
      </w:r>
      <w:r>
        <w:rPr>
          <w:rFonts w:hint="eastAsia" w:ascii="方正小标宋_GBK" w:hAnsi="方正小标宋_GBK" w:eastAsia="方正小标宋_GBK" w:cs="方正小标宋_GBK"/>
          <w:b w:val="0"/>
          <w:bCs/>
          <w:sz w:val="44"/>
          <w:szCs w:val="44"/>
        </w:rPr>
        <w:t>年度部门预算公开表</w:t>
      </w:r>
    </w:p>
    <w:p w14:paraId="0ACF294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6ED7CA7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6DDBE8E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31507B1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4750F5B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兴隆台区司法局（本级）</w:t>
      </w:r>
      <w:r>
        <w:rPr>
          <w:rFonts w:hint="eastAsia" w:ascii="方正小标宋_GBK" w:hAnsi="方正小标宋_GBK" w:eastAsia="方正小标宋_GBK" w:cs="方正小标宋_GBK"/>
          <w:b w:val="0"/>
          <w:bCs/>
          <w:sz w:val="44"/>
          <w:szCs w:val="44"/>
          <w:lang w:eastAsia="zh-CN"/>
        </w:rPr>
        <w:t>2025</w:t>
      </w:r>
      <w:r>
        <w:rPr>
          <w:rFonts w:hint="eastAsia" w:ascii="方正小标宋_GBK" w:hAnsi="方正小标宋_GBK" w:eastAsia="方正小标宋_GBK" w:cs="方正小标宋_GBK"/>
          <w:b w:val="0"/>
          <w:bCs/>
          <w:sz w:val="44"/>
          <w:szCs w:val="44"/>
        </w:rPr>
        <w:t>年度部门预算情况说明</w:t>
      </w:r>
    </w:p>
    <w:p w14:paraId="668AADB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32C923D7">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778E8C77">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2025年盘锦市兴隆台区司法局所有收入和支出均纳入部门预算管理。其中</w:t>
      </w:r>
      <w:r>
        <w:rPr>
          <w:rFonts w:hint="eastAsia" w:ascii="仿宋" w:hAnsi="仿宋" w:eastAsia="仿宋" w:cs="仿宋"/>
          <w:sz w:val="32"/>
        </w:rPr>
        <w:t>：</w:t>
      </w:r>
    </w:p>
    <w:p w14:paraId="37EDCA8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738.75</w:t>
      </w:r>
      <w:r>
        <w:rPr>
          <w:rFonts w:hint="eastAsia" w:ascii="楷体" w:hAnsi="楷体" w:eastAsia="楷体" w:cs="楷体"/>
          <w:sz w:val="32"/>
        </w:rPr>
        <w:t>万元</w:t>
      </w:r>
      <w:r>
        <w:rPr>
          <w:rFonts w:hint="eastAsia" w:ascii="楷体" w:hAnsi="楷体" w:eastAsia="楷体" w:cs="楷体"/>
          <w:sz w:val="32"/>
          <w:lang w:eastAsia="zh-CN"/>
        </w:rPr>
        <w:t>，包括：</w:t>
      </w:r>
    </w:p>
    <w:p w14:paraId="190064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1.一般公共预算收入738.75万元；</w:t>
      </w:r>
    </w:p>
    <w:p w14:paraId="6BE77E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1870DE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4C224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0C8B44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24E5C8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061C1A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0E9FF2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55B8DE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0FF490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4E67163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738.75</w:t>
      </w:r>
      <w:r>
        <w:rPr>
          <w:rFonts w:hint="eastAsia" w:ascii="楷体" w:hAnsi="楷体" w:eastAsia="楷体" w:cs="楷体"/>
          <w:sz w:val="32"/>
        </w:rPr>
        <w:t>万元</w:t>
      </w:r>
      <w:r>
        <w:rPr>
          <w:rFonts w:hint="eastAsia" w:ascii="楷体" w:hAnsi="楷体" w:eastAsia="楷体" w:cs="楷体"/>
          <w:sz w:val="32"/>
          <w:lang w:eastAsia="zh-CN"/>
        </w:rPr>
        <w:t>，包括：</w:t>
      </w:r>
    </w:p>
    <w:p w14:paraId="364D055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1.基本支出519.85万元；</w:t>
      </w:r>
    </w:p>
    <w:p w14:paraId="23CC2816">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2.项目支出218.9万元。</w:t>
      </w:r>
    </w:p>
    <w:p w14:paraId="4A5B8C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104863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2025年预算同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60.97</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60.97</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人员增加</w:t>
      </w:r>
      <w:r>
        <w:rPr>
          <w:rFonts w:hint="eastAsia" w:ascii="仿宋_GB2312" w:hAnsi="仿宋_GB2312" w:eastAsia="仿宋_GB2312" w:cs="仿宋_GB2312"/>
          <w:sz w:val="32"/>
        </w:rPr>
        <w:t>。</w:t>
      </w:r>
    </w:p>
    <w:p w14:paraId="4760C954">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71B6230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14:paraId="082AED76">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14:paraId="4C42EA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4D668395">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47549A2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6450D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7BF684A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41.96</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3.73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9.8</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人员增加</w:t>
      </w:r>
      <w:r>
        <w:rPr>
          <w:rFonts w:hint="eastAsia" w:ascii="仿宋_GB2312" w:hAnsi="仿宋_GB2312" w:eastAsia="仿宋_GB2312" w:cs="仿宋_GB2312"/>
          <w:sz w:val="32"/>
          <w:lang w:eastAsia="zh-CN"/>
        </w:rPr>
        <w:t>。</w:t>
      </w:r>
    </w:p>
    <w:p w14:paraId="4E9088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002F1496">
      <w:pPr>
        <w:keepNext w:val="0"/>
        <w:keepLines w:val="0"/>
        <w:pageBreakBefore w:val="0"/>
        <w:widowControl w:val="0"/>
        <w:kinsoku/>
        <w:wordWrap/>
        <w:overflowPunct/>
        <w:topLinePunct w:val="0"/>
        <w:autoSpaceDE/>
        <w:autoSpaceDN/>
        <w:bidi w:val="0"/>
        <w:adjustRightInd/>
        <w:snapToGrid/>
        <w:spacing w:line="600" w:lineRule="atLeast"/>
        <w:ind w:firstLine="624" w:firstLineChars="195"/>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tbl>
      <w:tblPr>
        <w:tblStyle w:val="3"/>
        <w:tblpPr w:leftFromText="180" w:rightFromText="180" w:vertAnchor="text" w:horzAnchor="page" w:tblpX="1579" w:tblpY="647"/>
        <w:tblOverlap w:val="never"/>
        <w:tblW w:w="8877" w:type="dxa"/>
        <w:tblInd w:w="0" w:type="dxa"/>
        <w:tblLayout w:type="autofit"/>
        <w:tblCellMar>
          <w:top w:w="0" w:type="dxa"/>
          <w:left w:w="108" w:type="dxa"/>
          <w:bottom w:w="0" w:type="dxa"/>
          <w:right w:w="108" w:type="dxa"/>
        </w:tblCellMar>
      </w:tblPr>
      <w:tblGrid>
        <w:gridCol w:w="730"/>
        <w:gridCol w:w="1416"/>
        <w:gridCol w:w="2559"/>
        <w:gridCol w:w="2940"/>
        <w:gridCol w:w="1232"/>
      </w:tblGrid>
      <w:tr w14:paraId="0C5913DE">
        <w:tblPrEx>
          <w:tblCellMar>
            <w:top w:w="0" w:type="dxa"/>
            <w:left w:w="108" w:type="dxa"/>
            <w:bottom w:w="0" w:type="dxa"/>
            <w:right w:w="108" w:type="dxa"/>
          </w:tblCellMar>
        </w:tblPrEx>
        <w:trPr>
          <w:trHeight w:val="65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53653A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支出类型</w:t>
            </w:r>
          </w:p>
        </w:tc>
        <w:tc>
          <w:tcPr>
            <w:tcW w:w="1416" w:type="dxa"/>
            <w:tcBorders>
              <w:top w:val="single" w:color="000000" w:sz="4" w:space="0"/>
              <w:left w:val="single" w:color="000000" w:sz="4" w:space="0"/>
              <w:bottom w:val="nil"/>
              <w:right w:val="single" w:color="000000" w:sz="4" w:space="0"/>
            </w:tcBorders>
            <w:noWrap w:val="0"/>
            <w:vAlign w:val="center"/>
          </w:tcPr>
          <w:p w14:paraId="2A64D2F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部门经济分类</w:t>
            </w:r>
          </w:p>
        </w:tc>
        <w:tc>
          <w:tcPr>
            <w:tcW w:w="2559" w:type="dxa"/>
            <w:tcBorders>
              <w:top w:val="single" w:color="000000" w:sz="4" w:space="0"/>
              <w:left w:val="single" w:color="000000" w:sz="4" w:space="0"/>
              <w:bottom w:val="nil"/>
              <w:right w:val="single" w:color="000000" w:sz="4" w:space="0"/>
            </w:tcBorders>
            <w:noWrap w:val="0"/>
            <w:vAlign w:val="center"/>
          </w:tcPr>
          <w:p w14:paraId="7F22B11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w:t>
            </w:r>
          </w:p>
        </w:tc>
        <w:tc>
          <w:tcPr>
            <w:tcW w:w="2940" w:type="dxa"/>
            <w:tcBorders>
              <w:top w:val="single" w:color="000000" w:sz="4" w:space="0"/>
              <w:left w:val="single" w:color="000000" w:sz="4" w:space="0"/>
              <w:bottom w:val="nil"/>
              <w:right w:val="single" w:color="000000" w:sz="4" w:space="0"/>
            </w:tcBorders>
            <w:noWrap w:val="0"/>
            <w:vAlign w:val="center"/>
          </w:tcPr>
          <w:p w14:paraId="2230924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采购型号</w:t>
            </w:r>
          </w:p>
        </w:tc>
        <w:tc>
          <w:tcPr>
            <w:tcW w:w="1232" w:type="dxa"/>
            <w:tcBorders>
              <w:top w:val="single" w:color="000000" w:sz="4" w:space="0"/>
              <w:left w:val="single" w:color="000000" w:sz="4" w:space="0"/>
              <w:bottom w:val="nil"/>
              <w:right w:val="single" w:color="000000" w:sz="4" w:space="0"/>
            </w:tcBorders>
            <w:noWrap w:val="0"/>
            <w:vAlign w:val="center"/>
          </w:tcPr>
          <w:p w14:paraId="4B31B53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报审金额</w:t>
            </w:r>
          </w:p>
        </w:tc>
      </w:tr>
      <w:tr w14:paraId="380519BD">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50E633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一、基本支出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BED7B77">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727B04BA">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05EADA1">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54952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13E3279">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906D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33D281C8">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D115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5EBE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71BC1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559761FB">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CE62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0FCCD03F">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663078F9">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7DA011A">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188CC6C">
            <w:pPr>
              <w:rPr>
                <w:rFonts w:hint="eastAsia" w:ascii="宋体" w:hAnsi="宋体" w:eastAsia="宋体" w:cs="宋体"/>
                <w:i w:val="0"/>
                <w:iCs w:val="0"/>
                <w:color w:val="000000"/>
                <w:sz w:val="24"/>
                <w:szCs w:val="24"/>
                <w:u w:val="none"/>
              </w:rPr>
            </w:pPr>
          </w:p>
        </w:tc>
      </w:tr>
      <w:tr w14:paraId="1CD633DD">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66D6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2EBCC4C">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C81D0FA">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2303BB9">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606E405B">
            <w:pPr>
              <w:rPr>
                <w:rFonts w:hint="eastAsia" w:ascii="宋体" w:hAnsi="宋体" w:eastAsia="宋体" w:cs="宋体"/>
                <w:i w:val="0"/>
                <w:iCs w:val="0"/>
                <w:color w:val="000000"/>
                <w:sz w:val="24"/>
                <w:szCs w:val="24"/>
                <w:u w:val="none"/>
              </w:rPr>
            </w:pPr>
          </w:p>
        </w:tc>
      </w:tr>
      <w:tr w14:paraId="25E48838">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89E390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二、项目支出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D2833F7">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7647A88">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A42C6AC">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3AA03B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3A7C9634">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7F4C01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48B0CE4">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7D7D1B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E320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66F045C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2DCD3CA9">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433D3A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1814E80">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3C0818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6926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093400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14:paraId="74EE940A">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F1332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7B4E181F">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4B1C9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DF46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128995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43D87B9A">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56F6F3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1A0C04D3">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2A75D596">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CD562F1">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89A008C">
            <w:pPr>
              <w:rPr>
                <w:rFonts w:hint="eastAsia" w:ascii="宋体" w:hAnsi="宋体" w:eastAsia="宋体" w:cs="宋体"/>
                <w:i w:val="0"/>
                <w:iCs w:val="0"/>
                <w:color w:val="000000"/>
                <w:sz w:val="24"/>
                <w:szCs w:val="24"/>
                <w:u w:val="none"/>
              </w:rPr>
            </w:pPr>
          </w:p>
        </w:tc>
      </w:tr>
      <w:tr w14:paraId="0213AFDB">
        <w:tblPrEx>
          <w:tblCellMar>
            <w:top w:w="0" w:type="dxa"/>
            <w:left w:w="108" w:type="dxa"/>
            <w:bottom w:w="0" w:type="dxa"/>
            <w:right w:w="108" w:type="dxa"/>
          </w:tblCellMar>
        </w:tblPrEx>
        <w:trPr>
          <w:trHeight w:val="492"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80BFBDA">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14:paraId="4840C1D3">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14:paraId="52332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09CBD4A">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2BCC65D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r>
    </w:tbl>
    <w:p w14:paraId="4E54D64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eastAsia="zh-CN"/>
        </w:rPr>
      </w:pPr>
    </w:p>
    <w:p w14:paraId="39C21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13788A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兴隆台区司法局</w:t>
      </w:r>
      <w:r>
        <w:rPr>
          <w:rFonts w:hint="eastAsia" w:ascii="仿宋_GB2312" w:hAnsi="仿宋_GB2312" w:eastAsia="仿宋_GB2312" w:cs="仿宋_GB2312"/>
          <w:sz w:val="32"/>
          <w:lang w:eastAsia="zh-CN"/>
        </w:rPr>
        <w:t>本级</w:t>
      </w:r>
      <w:r>
        <w:rPr>
          <w:rFonts w:hint="eastAsia" w:ascii="仿宋_GB2312" w:hAnsi="仿宋_GB2312" w:eastAsia="仿宋_GB2312" w:cs="仿宋_GB2312"/>
          <w:sz w:val="32"/>
        </w:rPr>
        <w:t>资产总额</w:t>
      </w:r>
      <w:r>
        <w:rPr>
          <w:rFonts w:hint="eastAsia" w:ascii="仿宋_GB2312" w:hAnsi="仿宋_GB2312" w:eastAsia="仿宋_GB2312" w:cs="仿宋_GB2312"/>
          <w:sz w:val="32"/>
          <w:lang w:val="en-US" w:eastAsia="zh-CN"/>
        </w:rPr>
        <w:t>985469.11</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94162</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891307.11</w:t>
      </w:r>
      <w:r>
        <w:rPr>
          <w:rFonts w:hint="eastAsia" w:ascii="仿宋_GB2312" w:hAnsi="仿宋_GB2312" w:eastAsia="仿宋_GB2312" w:cs="仿宋_GB2312"/>
          <w:sz w:val="32"/>
        </w:rPr>
        <w:t>元。</w:t>
      </w:r>
    </w:p>
    <w:p w14:paraId="1271F0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14:paraId="6CC5CC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兴隆台区司法</w:t>
      </w:r>
      <w:r>
        <w:rPr>
          <w:rFonts w:hint="eastAsia" w:ascii="仿宋_GB2312" w:hAnsi="仿宋_GB2312" w:eastAsia="仿宋_GB2312" w:cs="仿宋_GB2312"/>
          <w:sz w:val="32"/>
        </w:rPr>
        <w:t>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w:t>
      </w:r>
      <w:bookmarkStart w:id="0" w:name="_GoBack"/>
      <w:bookmarkEnd w:id="0"/>
      <w:r>
        <w:rPr>
          <w:rFonts w:hint="eastAsia" w:ascii="仿宋_GB2312" w:hAnsi="仿宋_GB2312" w:eastAsia="仿宋_GB2312" w:cs="仿宋_GB2312"/>
          <w:sz w:val="32"/>
        </w:rPr>
        <w:t>编制绩效目标的项目覆盖率（实际编制绩效目标的项目/应编制绩效目标的项目）为100%。</w:t>
      </w:r>
    </w:p>
    <w:p w14:paraId="508962F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346B45D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3167353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43DAC94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5DFC914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5E3F2DB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1B88F66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88BC72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9E71B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46EDFE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36C1113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99CF0C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2684964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048A028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523199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659ABAA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182398E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18D75B23"/>
    <w:p w14:paraId="38DC0D9F"/>
    <w:p w14:paraId="59E6B205"/>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1EF5">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29C9C1A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8A40">
    <w:pPr>
      <w:pStyle w:val="2"/>
      <w:framePr w:wrap="around" w:vAnchor="text" w:hAnchor="margin" w:xAlign="center" w:y="1"/>
      <w:rPr>
        <w:rStyle w:val="5"/>
      </w:rPr>
    </w:pPr>
    <w:r>
      <w:fldChar w:fldCharType="begin"/>
    </w:r>
    <w:r>
      <w:rPr>
        <w:rStyle w:val="5"/>
      </w:rPr>
      <w:instrText xml:space="preserve">PAGE  </w:instrText>
    </w:r>
    <w:r>
      <w:fldChar w:fldCharType="end"/>
    </w:r>
  </w:p>
  <w:p w14:paraId="42257C2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D611DEB"/>
    <w:multiLevelType w:val="multilevel"/>
    <w:tmpl w:val="5D611DEB"/>
    <w:lvl w:ilvl="0" w:tentative="0">
      <w:start w:val="1"/>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C3BC2"/>
    <w:rsid w:val="022257E5"/>
    <w:rsid w:val="1D9C3BC2"/>
    <w:rsid w:val="3E0E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2025-01-17T06:11:00Z</dcterms:created>
  <dc:creator>WPS_1524491911</dc:creator>
  <cp:lastModifiedBy>WPS_1524491911</cp:lastModifiedBy>
  <dcterms:modified xsi:type="dcterms:W3CDTF">2025-01-17T06:20:28Z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16CA195E63674748B4CFC845C0D31BCA_11</vt:lpwstr>
  </property>
  <property fmtid="{D5CDD505-2E9C-101B-9397-08002B2CF9AE}" pid="4" name="KSOTemplateDocerSaveRecord">
    <vt:lpwstr>eyJoZGlkIjoiYTRjMjM2MzY1MGRhMmE3ODM4OTY2OGJmZGM4YjE4YzMiLCJ1c2VySWQiOiIzNjQ3MjE1NjAifQ==</vt:lpwstr>
  </property>
</Properties>
</file>