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E7FBC9">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eastAsia" w:ascii="宋体" w:hAnsi="宋体" w:eastAsia="宋体"/>
          <w:b/>
          <w:sz w:val="44"/>
          <w:szCs w:val="44"/>
          <w:lang w:val="en-US" w:eastAsia="zh-CN"/>
        </w:rPr>
      </w:pPr>
      <w:r>
        <w:rPr>
          <w:rFonts w:hint="eastAsia" w:ascii="仿宋_GB2312" w:hAnsi="仿宋_GB2312" w:eastAsia="仿宋_GB2312" w:cs="仿宋_GB2312"/>
          <w:b w:val="0"/>
          <w:bCs/>
          <w:sz w:val="32"/>
          <w:szCs w:val="32"/>
          <w:lang w:eastAsia="zh-CN"/>
        </w:rPr>
        <w:t>附件</w:t>
      </w:r>
      <w:r>
        <w:rPr>
          <w:rFonts w:hint="eastAsia" w:ascii="仿宋_GB2312" w:hAnsi="仿宋_GB2312" w:eastAsia="仿宋_GB2312" w:cs="仿宋_GB2312"/>
          <w:b w:val="0"/>
          <w:bCs/>
          <w:sz w:val="32"/>
          <w:szCs w:val="32"/>
          <w:lang w:val="en-US" w:eastAsia="zh-CN"/>
        </w:rPr>
        <w:t>4</w:t>
      </w:r>
    </w:p>
    <w:p w14:paraId="7DBC413E">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eastAsia" w:ascii="宋体" w:hAnsi="宋体"/>
          <w:b/>
          <w:sz w:val="44"/>
          <w:szCs w:val="44"/>
        </w:rPr>
      </w:pPr>
    </w:p>
    <w:p w14:paraId="305BB9BF">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_GBK" w:hAnsi="方正小标宋_GBK" w:eastAsia="方正小标宋_GBK" w:cs="方正小标宋_GBK"/>
          <w:b w:val="0"/>
          <w:bCs/>
          <w:sz w:val="44"/>
          <w:szCs w:val="44"/>
          <w:u w:val="single"/>
        </w:rPr>
      </w:pPr>
      <w:r>
        <w:rPr>
          <w:rFonts w:hint="eastAsia" w:ascii="方正小标宋_GBK" w:hAnsi="方正小标宋_GBK" w:eastAsia="方正小标宋_GBK" w:cs="方正小标宋_GBK"/>
          <w:b w:val="0"/>
          <w:bCs/>
          <w:sz w:val="44"/>
          <w:szCs w:val="44"/>
        </w:rPr>
        <w:t>盘锦市</w:t>
      </w:r>
      <w:r>
        <w:rPr>
          <w:rFonts w:hint="eastAsia" w:ascii="方正小标宋_GBK" w:hAnsi="方正小标宋_GBK" w:eastAsia="方正小标宋_GBK" w:cs="方正小标宋_GBK"/>
          <w:b w:val="0"/>
          <w:bCs/>
          <w:sz w:val="44"/>
          <w:szCs w:val="44"/>
          <w:lang w:eastAsia="zh-CN"/>
        </w:rPr>
        <w:t>兴隆台区司法局202</w:t>
      </w:r>
      <w:r>
        <w:rPr>
          <w:rFonts w:hint="eastAsia" w:ascii="方正小标宋_GBK" w:hAnsi="方正小标宋_GBK" w:eastAsia="方正小标宋_GBK" w:cs="方正小标宋_GBK"/>
          <w:b w:val="0"/>
          <w:bCs/>
          <w:sz w:val="44"/>
          <w:szCs w:val="44"/>
          <w:lang w:val="en-US" w:eastAsia="zh-CN"/>
        </w:rPr>
        <w:t>5</w:t>
      </w:r>
      <w:r>
        <w:rPr>
          <w:rFonts w:hint="eastAsia" w:ascii="方正小标宋_GBK" w:hAnsi="方正小标宋_GBK" w:eastAsia="方正小标宋_GBK" w:cs="方正小标宋_GBK"/>
          <w:b w:val="0"/>
          <w:bCs/>
          <w:sz w:val="44"/>
          <w:szCs w:val="44"/>
        </w:rPr>
        <w:t>年度部门预算</w:t>
      </w:r>
    </w:p>
    <w:p w14:paraId="13C44946">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b w:val="0"/>
          <w:bCs/>
          <w:sz w:val="44"/>
          <w:szCs w:val="44"/>
          <w:u w:val="single"/>
        </w:rPr>
      </w:pPr>
    </w:p>
    <w:p w14:paraId="479EF3FA">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黑体" w:hAnsi="黑体" w:eastAsia="黑体" w:cs="黑体"/>
          <w:b w:val="0"/>
          <w:bCs/>
          <w:sz w:val="32"/>
          <w:szCs w:val="32"/>
        </w:rPr>
      </w:pPr>
      <w:r>
        <w:rPr>
          <w:rFonts w:hint="eastAsia" w:ascii="黑体" w:hAnsi="黑体" w:eastAsia="黑体" w:cs="黑体"/>
          <w:b w:val="0"/>
          <w:bCs/>
          <w:sz w:val="32"/>
          <w:szCs w:val="32"/>
        </w:rPr>
        <w:t>目    录</w:t>
      </w:r>
    </w:p>
    <w:p w14:paraId="4E75DF1B">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黑体" w:hAnsi="黑体" w:eastAsia="黑体" w:cs="黑体"/>
          <w:b w:val="0"/>
          <w:bCs/>
          <w:sz w:val="32"/>
          <w:szCs w:val="32"/>
          <w:u w:val="single"/>
        </w:rPr>
      </w:pPr>
    </w:p>
    <w:p w14:paraId="04243F9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黑体" w:hAnsi="黑体" w:eastAsia="黑体"/>
          <w:b w:val="0"/>
          <w:bCs/>
          <w:sz w:val="32"/>
          <w:szCs w:val="32"/>
        </w:rPr>
      </w:pPr>
      <w:r>
        <w:rPr>
          <w:rFonts w:hint="eastAsia" w:ascii="黑体" w:hAnsi="黑体" w:eastAsia="黑体"/>
          <w:b w:val="0"/>
          <w:bCs/>
          <w:sz w:val="32"/>
          <w:szCs w:val="32"/>
        </w:rPr>
        <w:t>第一部分  盘锦市</w:t>
      </w:r>
      <w:r>
        <w:rPr>
          <w:rFonts w:hint="eastAsia" w:ascii="黑体" w:hAnsi="黑体" w:eastAsia="黑体"/>
          <w:b w:val="0"/>
          <w:bCs/>
          <w:sz w:val="32"/>
          <w:szCs w:val="32"/>
          <w:lang w:val="en-US" w:eastAsia="zh-CN"/>
        </w:rPr>
        <w:t>兴隆台区司法局</w:t>
      </w:r>
      <w:r>
        <w:rPr>
          <w:rFonts w:hint="eastAsia" w:ascii="黑体" w:hAnsi="黑体" w:eastAsia="黑体"/>
          <w:b w:val="0"/>
          <w:bCs/>
          <w:sz w:val="32"/>
          <w:szCs w:val="32"/>
        </w:rPr>
        <w:t>部门概况</w:t>
      </w:r>
    </w:p>
    <w:p w14:paraId="669A753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一、主要职责</w:t>
      </w:r>
    </w:p>
    <w:p w14:paraId="3B1B1F8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二、机构设置</w:t>
      </w:r>
    </w:p>
    <w:p w14:paraId="37B5F59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三、部门预算单位构成</w:t>
      </w:r>
    </w:p>
    <w:p w14:paraId="5EE857E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 w:hAnsi="仿宋" w:eastAsia="仿宋"/>
          <w:b/>
          <w:sz w:val="32"/>
          <w:szCs w:val="32"/>
        </w:rPr>
      </w:pPr>
      <w:r>
        <w:rPr>
          <w:rFonts w:hint="eastAsia" w:ascii="黑体" w:hAnsi="黑体" w:eastAsia="黑体"/>
          <w:sz w:val="32"/>
          <w:szCs w:val="32"/>
        </w:rPr>
        <w:t>第二部分  盘锦市</w:t>
      </w:r>
      <w:r>
        <w:rPr>
          <w:rFonts w:hint="eastAsia" w:ascii="黑体" w:hAnsi="黑体" w:eastAsia="黑体"/>
          <w:sz w:val="32"/>
          <w:szCs w:val="32"/>
          <w:lang w:val="en-US" w:eastAsia="zh-CN"/>
        </w:rPr>
        <w:t>兴隆台区司法局</w:t>
      </w:r>
      <w:r>
        <w:rPr>
          <w:rFonts w:hint="eastAsia" w:ascii="黑体" w:hAnsi="黑体" w:eastAsia="黑体"/>
          <w:sz w:val="32"/>
          <w:szCs w:val="32"/>
          <w:lang w:eastAsia="zh-CN"/>
        </w:rPr>
        <w:t>202</w:t>
      </w:r>
      <w:r>
        <w:rPr>
          <w:rFonts w:hint="eastAsia" w:ascii="黑体" w:hAnsi="黑体" w:eastAsia="黑体"/>
          <w:sz w:val="32"/>
          <w:szCs w:val="32"/>
          <w:lang w:val="en-US" w:eastAsia="zh-CN"/>
        </w:rPr>
        <w:t>5</w:t>
      </w:r>
      <w:r>
        <w:rPr>
          <w:rFonts w:hint="eastAsia" w:ascii="黑体" w:hAnsi="黑体" w:eastAsia="黑体"/>
          <w:sz w:val="32"/>
          <w:szCs w:val="32"/>
        </w:rPr>
        <w:t>年度部门预算</w:t>
      </w:r>
      <w:r>
        <w:rPr>
          <w:rFonts w:hint="eastAsia" w:ascii="黑体" w:hAnsi="黑体" w:eastAsia="黑体"/>
          <w:sz w:val="32"/>
          <w:szCs w:val="32"/>
          <w:lang w:eastAsia="zh-CN"/>
        </w:rPr>
        <w:t>公开</w:t>
      </w:r>
      <w:r>
        <w:rPr>
          <w:rFonts w:hint="eastAsia" w:ascii="黑体" w:hAnsi="黑体" w:eastAsia="黑体"/>
          <w:sz w:val="32"/>
          <w:szCs w:val="32"/>
        </w:rPr>
        <w:t>表</w:t>
      </w:r>
    </w:p>
    <w:p w14:paraId="30B9067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年度部门收支总体情况表</w:t>
      </w:r>
    </w:p>
    <w:p w14:paraId="0ED7832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年度部门收入总体情况表</w:t>
      </w:r>
    </w:p>
    <w:p w14:paraId="1F7066C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年度部门支出总体情况表</w:t>
      </w:r>
    </w:p>
    <w:p w14:paraId="6A111AC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年度财政拨款收支总体情况表</w:t>
      </w:r>
    </w:p>
    <w:p w14:paraId="1222F7E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年度一般公共预算支出情况表</w:t>
      </w:r>
    </w:p>
    <w:p w14:paraId="346B794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年度一般公共预算基本支出情况表</w:t>
      </w:r>
    </w:p>
    <w:p w14:paraId="5B0A181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年度一般公共预算“三公”经费支出情况表</w:t>
      </w:r>
    </w:p>
    <w:p w14:paraId="70A92CE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年度政府性基金预算支出情况表</w:t>
      </w:r>
    </w:p>
    <w:p w14:paraId="381857B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年度综合预算项目支出表</w:t>
      </w:r>
    </w:p>
    <w:p w14:paraId="4D24430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w:t>
      </w:r>
      <w:r>
        <w:rPr>
          <w:rFonts w:hint="eastAsia" w:ascii="仿宋" w:hAnsi="仿宋" w:eastAsia="仿宋" w:cs="仿宋"/>
          <w:sz w:val="32"/>
          <w:szCs w:val="32"/>
          <w:lang w:val="en-US" w:eastAsia="zh-CN"/>
        </w:rPr>
        <w:t>2025年度</w:t>
      </w:r>
      <w:r>
        <w:rPr>
          <w:rFonts w:hint="eastAsia" w:ascii="仿宋" w:hAnsi="仿宋" w:eastAsia="仿宋" w:cs="仿宋"/>
          <w:sz w:val="32"/>
          <w:szCs w:val="32"/>
          <w:lang w:eastAsia="zh-CN"/>
        </w:rPr>
        <w:t>部门（单位）整体绩效目标表（</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年度部门预算项目（政策）绩效目标情况表</w:t>
      </w:r>
      <w:r>
        <w:rPr>
          <w:rFonts w:hint="eastAsia" w:ascii="仿宋" w:hAnsi="仿宋" w:eastAsia="仿宋" w:cs="仿宋"/>
          <w:sz w:val="32"/>
          <w:szCs w:val="32"/>
          <w:lang w:eastAsia="zh-CN"/>
        </w:rPr>
        <w:t>）</w:t>
      </w:r>
    </w:p>
    <w:p w14:paraId="662AA49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黑体" w:hAnsi="黑体" w:eastAsia="黑体"/>
          <w:sz w:val="32"/>
          <w:szCs w:val="32"/>
        </w:rPr>
      </w:pPr>
      <w:r>
        <w:rPr>
          <w:rFonts w:hint="eastAsia" w:ascii="黑体" w:hAnsi="黑体" w:eastAsia="黑体"/>
          <w:sz w:val="32"/>
          <w:szCs w:val="32"/>
        </w:rPr>
        <w:t>第三部分  盘锦市</w:t>
      </w:r>
      <w:r>
        <w:rPr>
          <w:rFonts w:hint="eastAsia" w:ascii="黑体" w:hAnsi="黑体" w:eastAsia="黑体"/>
          <w:sz w:val="32"/>
          <w:szCs w:val="32"/>
          <w:lang w:val="en-US" w:eastAsia="zh-CN"/>
        </w:rPr>
        <w:t>兴隆台区司法局2025</w:t>
      </w:r>
      <w:r>
        <w:rPr>
          <w:rFonts w:hint="eastAsia" w:ascii="黑体" w:hAnsi="黑体" w:eastAsia="黑体"/>
          <w:sz w:val="32"/>
          <w:szCs w:val="32"/>
        </w:rPr>
        <w:t>年度部门预算情况说明</w:t>
      </w:r>
    </w:p>
    <w:p w14:paraId="4CCCF2A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一、收支</w:t>
      </w:r>
      <w:r>
        <w:rPr>
          <w:rFonts w:hint="eastAsia" w:ascii="仿宋_GB2312" w:hAnsi="仿宋_GB2312" w:eastAsia="仿宋_GB2312" w:cs="仿宋_GB2312"/>
          <w:sz w:val="32"/>
          <w:szCs w:val="32"/>
          <w:lang w:eastAsia="zh-CN"/>
        </w:rPr>
        <w:t>预算的总体</w:t>
      </w:r>
      <w:r>
        <w:rPr>
          <w:rFonts w:hint="eastAsia" w:ascii="仿宋_GB2312" w:hAnsi="仿宋_GB2312" w:eastAsia="仿宋_GB2312" w:cs="仿宋_GB2312"/>
          <w:sz w:val="32"/>
          <w:szCs w:val="32"/>
        </w:rPr>
        <w:t>情况</w:t>
      </w:r>
      <w:r>
        <w:rPr>
          <w:rFonts w:hint="eastAsia" w:ascii="仿宋_GB2312" w:hAnsi="仿宋_GB2312" w:eastAsia="仿宋_GB2312" w:cs="仿宋_GB2312"/>
          <w:sz w:val="32"/>
          <w:szCs w:val="32"/>
          <w:lang w:eastAsia="zh-CN"/>
        </w:rPr>
        <w:t>说明</w:t>
      </w:r>
    </w:p>
    <w:p w14:paraId="216BED3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二、“三公”经费预算安排使用情况说明</w:t>
      </w:r>
    </w:p>
    <w:p w14:paraId="4C91049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三、机关运行经费预算安排使用情况说明</w:t>
      </w:r>
    </w:p>
    <w:p w14:paraId="24CC1F3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四、政府采购安排情况说明</w:t>
      </w:r>
    </w:p>
    <w:p w14:paraId="7704027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五、国有资产占用情况说明</w:t>
      </w:r>
    </w:p>
    <w:p w14:paraId="3F0109F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六、项目预算绩效目标情况说明</w:t>
      </w:r>
    </w:p>
    <w:p w14:paraId="1A94D34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黑体" w:hAnsi="黑体" w:eastAsia="黑体"/>
          <w:sz w:val="32"/>
          <w:szCs w:val="32"/>
        </w:rPr>
      </w:pPr>
      <w:r>
        <w:rPr>
          <w:rFonts w:hint="eastAsia" w:ascii="黑体" w:hAnsi="黑体" w:eastAsia="黑体"/>
          <w:sz w:val="32"/>
          <w:szCs w:val="32"/>
        </w:rPr>
        <w:t>第四部分  名词解释</w:t>
      </w:r>
    </w:p>
    <w:p w14:paraId="3E2EC185">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b/>
          <w:sz w:val="44"/>
          <w:szCs w:val="44"/>
          <w:u w:val="single"/>
        </w:rPr>
      </w:pPr>
    </w:p>
    <w:p w14:paraId="2C12E907">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_GBK" w:hAnsi="方正小标宋_GBK" w:eastAsia="方正小标宋_GBK" w:cs="方正小标宋_GBK"/>
          <w:b w:val="0"/>
          <w:bCs/>
          <w:sz w:val="44"/>
          <w:szCs w:val="44"/>
          <w:u w:val="single"/>
        </w:rPr>
      </w:pPr>
    </w:p>
    <w:p w14:paraId="210F4851">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第一部分</w:t>
      </w:r>
    </w:p>
    <w:p w14:paraId="775859FE">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盘锦市</w:t>
      </w:r>
      <w:r>
        <w:rPr>
          <w:rFonts w:hint="eastAsia" w:ascii="方正小标宋_GBK" w:hAnsi="方正小标宋_GBK" w:eastAsia="方正小标宋_GBK" w:cs="方正小标宋_GBK"/>
          <w:b w:val="0"/>
          <w:bCs/>
          <w:sz w:val="44"/>
          <w:szCs w:val="44"/>
          <w:lang w:val="en-US" w:eastAsia="zh-CN"/>
        </w:rPr>
        <w:t>兴隆台区司法局部门</w:t>
      </w:r>
      <w:r>
        <w:rPr>
          <w:rFonts w:hint="eastAsia" w:ascii="方正小标宋_GBK" w:hAnsi="方正小标宋_GBK" w:eastAsia="方正小标宋_GBK" w:cs="方正小标宋_GBK"/>
          <w:b w:val="0"/>
          <w:bCs/>
          <w:sz w:val="44"/>
          <w:szCs w:val="44"/>
        </w:rPr>
        <w:t>概况</w:t>
      </w:r>
    </w:p>
    <w:p w14:paraId="0E2E7244">
      <w:pPr>
        <w:keepNext w:val="0"/>
        <w:keepLines w:val="0"/>
        <w:pageBreakBefore w:val="0"/>
        <w:widowControl w:val="0"/>
        <w:kinsoku/>
        <w:wordWrap/>
        <w:overflowPunct/>
        <w:topLinePunct w:val="0"/>
        <w:autoSpaceDE/>
        <w:autoSpaceDN/>
        <w:bidi w:val="0"/>
        <w:adjustRightInd/>
        <w:snapToGrid/>
        <w:spacing w:line="600" w:lineRule="exact"/>
        <w:jc w:val="left"/>
        <w:textAlignment w:val="auto"/>
        <w:outlineLvl w:val="9"/>
        <w:rPr>
          <w:rFonts w:hint="eastAsia" w:ascii="方正小标宋_GBK" w:hAnsi="方正小标宋_GBK" w:eastAsia="方正小标宋_GBK" w:cs="方正小标宋_GBK"/>
          <w:b w:val="0"/>
          <w:bCs/>
          <w:sz w:val="44"/>
          <w:szCs w:val="44"/>
        </w:rPr>
      </w:pPr>
    </w:p>
    <w:p w14:paraId="65FC7C01">
      <w:pPr>
        <w:widowControl/>
        <w:numPr>
          <w:ilvl w:val="0"/>
          <w:numId w:val="1"/>
        </w:numPr>
        <w:spacing w:line="620" w:lineRule="exact"/>
        <w:rPr>
          <w:rFonts w:hint="eastAsia" w:ascii="黑体" w:hAnsi="黑体" w:eastAsia="黑体"/>
          <w:color w:val="000000"/>
          <w:sz w:val="32"/>
        </w:rPr>
      </w:pPr>
      <w:r>
        <w:rPr>
          <w:rFonts w:hint="eastAsia" w:ascii="黑体" w:hAnsi="黑体" w:eastAsia="黑体"/>
          <w:color w:val="000000"/>
          <w:sz w:val="32"/>
        </w:rPr>
        <w:t>主要职责</w:t>
      </w:r>
    </w:p>
    <w:p w14:paraId="2475D627">
      <w:pPr>
        <w:spacing w:line="600" w:lineRule="exact"/>
        <w:ind w:firstLine="480" w:firstLineChars="150"/>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（一）承担全面依法治区重大问题的研究，协调有关方面提出全面依法治区中长期规划建议，负责有关重大决策问题部署督察工作。</w:t>
      </w:r>
    </w:p>
    <w:p w14:paraId="5E8EF148">
      <w:pPr>
        <w:spacing w:line="600" w:lineRule="exact"/>
        <w:ind w:firstLine="480" w:firstLineChars="150"/>
        <w:rPr>
          <w:rFonts w:ascii="仿宋_GB2312" w:hAnsi="仿宋" w:eastAsia="仿宋_GB2312" w:cs="仿宋"/>
          <w:color w:val="000000"/>
          <w:sz w:val="32"/>
          <w:szCs w:val="32"/>
        </w:rPr>
      </w:pPr>
      <w:r>
        <w:rPr>
          <w:rFonts w:hint="eastAsia" w:ascii="仿宋_GB2312" w:hAnsi="仿宋" w:eastAsia="仿宋_GB2312" w:cs="仿宋"/>
          <w:color w:val="000000"/>
          <w:sz w:val="32"/>
          <w:szCs w:val="32"/>
        </w:rPr>
        <w:t>（二）负责区政府、区政府办公室发布的行政规范性文件合法性审查。负责各街道办事处、区直部门行政规范性文件的备案审查工作。组织开展行政规范性文件的清理工作。</w:t>
      </w:r>
    </w:p>
    <w:p w14:paraId="2EA1F73E">
      <w:pPr>
        <w:spacing w:line="600" w:lineRule="exact"/>
        <w:ind w:firstLine="480" w:firstLineChars="150"/>
        <w:rPr>
          <w:rFonts w:ascii="仿宋_GB2312" w:hAnsi="仿宋" w:eastAsia="仿宋_GB2312" w:cs="仿宋"/>
          <w:color w:val="000000"/>
          <w:sz w:val="32"/>
          <w:szCs w:val="32"/>
        </w:rPr>
      </w:pPr>
      <w:r>
        <w:rPr>
          <w:rFonts w:hint="eastAsia" w:ascii="仿宋_GB2312" w:hAnsi="仿宋" w:eastAsia="仿宋_GB2312" w:cs="仿宋"/>
          <w:color w:val="000000"/>
          <w:sz w:val="32"/>
          <w:szCs w:val="32"/>
        </w:rPr>
        <w:t>（三）承办向区政府申请的行政复议案件工作，负责应诉案件办理工作。指导、监督全区行政复议、行政应诉和行政赔偿工作。研究行政复议和应诉工作中存在的普遍性问题，向区政府提出相关建议和意见，起草行政复议和应诉方面的有关制度。负责各街道办事处、区直部门行政复议决定的备案审查。</w:t>
      </w:r>
    </w:p>
    <w:p w14:paraId="083F2C0F">
      <w:pPr>
        <w:spacing w:line="60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四）承担统筹推进法治政府建设的责任。指导、监督区政府各部门、各街道办事处依法行政工作，组织开展法治政府建设理论研究和宣传工作，负责综合协调行政执法，指导、监督各街道办事处、区直各部门行政执法工作。</w:t>
      </w:r>
    </w:p>
    <w:p w14:paraId="46DF2872">
      <w:pPr>
        <w:spacing w:line="60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五）承担统筹规划法治社会建设的责任，按照中央、省委、市委和区委的统一部署拟订全区法治宣传教育实施规划，组织实施全民普法工作，协助落实区政府领导干部学法制度。推动人民参与和促进法治建设，指导依法治理和法治创建工作，指导调解工作和人民陪审员、人民监督员选任管理工作，推进司法所建设。</w:t>
      </w:r>
    </w:p>
    <w:p w14:paraId="0E8ACEC2">
      <w:pPr>
        <w:spacing w:line="60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（六）负责社区矫正和刑满释放人员帮教安置工作。</w:t>
      </w:r>
    </w:p>
    <w:p w14:paraId="2D6AB43B">
      <w:pPr>
        <w:spacing w:line="60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（七）负责拟订公共法律服务体系建设具体规划并组织实施，统筹和布局城乡、区域法律服务资源，指导、监督公共法律服务中心建设，协调、监督律师、法律援助、司法鉴定、公证和基层法律服务管理工作。</w:t>
      </w:r>
    </w:p>
    <w:p w14:paraId="6F28939E">
      <w:pPr>
        <w:spacing w:line="60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（八）负责区政府法律顾问工作，对区政府作出的重大行政决策进行合法性审查，负责区政府法律事务咨询等工作。</w:t>
      </w:r>
    </w:p>
    <w:p w14:paraId="63107E31">
      <w:pPr>
        <w:spacing w:line="60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（九）负责本系统服装和警车管理工作，指导、监督本系统财务、装备、设施、场所等保障工作。</w:t>
      </w:r>
    </w:p>
    <w:p w14:paraId="531F873A">
      <w:pPr>
        <w:spacing w:line="60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十）组织实施司法行政系统政治机关建设工作。负责司法行政系统信息化建设工作。指导司法行政系统基层党建和法律服务行业党建工作。规划、协调、指导法治人才队伍建设相关工作，指导、监督本系统队伍建设。管理各司法所干部。</w:t>
      </w:r>
    </w:p>
    <w:p w14:paraId="7EB1177D">
      <w:pPr>
        <w:spacing w:line="600" w:lineRule="exact"/>
        <w:ind w:firstLine="480" w:firstLineChars="150"/>
        <w:rPr>
          <w:rFonts w:ascii="仿宋_GB2312" w:hAnsi="仿宋" w:eastAsia="仿宋_GB2312" w:cs="仿宋"/>
          <w:color w:val="000000"/>
          <w:sz w:val="32"/>
          <w:szCs w:val="32"/>
        </w:rPr>
      </w:pPr>
      <w:r>
        <w:rPr>
          <w:rFonts w:hint="eastAsia" w:ascii="仿宋_GB2312" w:hAnsi="仿宋" w:eastAsia="仿宋_GB2312" w:cs="仿宋"/>
          <w:color w:val="000000"/>
          <w:sz w:val="32"/>
          <w:szCs w:val="32"/>
        </w:rPr>
        <w:t>（十一）依照《安全生产法》和其他有关法律、法规的规定，部门职责范围内负责对行业、领域的安全生产工作实施监督管理。</w:t>
      </w:r>
    </w:p>
    <w:p w14:paraId="26B793F0">
      <w:pPr>
        <w:spacing w:line="600" w:lineRule="exact"/>
        <w:ind w:firstLine="320" w:firstLineChars="100"/>
        <w:rPr>
          <w:rFonts w:ascii="仿宋_GB2312" w:hAnsi="仿宋" w:eastAsia="仿宋_GB2312" w:cs="仿宋"/>
          <w:color w:val="000000"/>
          <w:sz w:val="32"/>
          <w:szCs w:val="32"/>
        </w:rPr>
      </w:pPr>
      <w:r>
        <w:rPr>
          <w:rFonts w:hint="eastAsia" w:ascii="仿宋_GB2312" w:hAnsi="仿宋" w:eastAsia="仿宋_GB2312" w:cs="仿宋"/>
          <w:color w:val="000000"/>
          <w:sz w:val="32"/>
          <w:szCs w:val="32"/>
        </w:rPr>
        <w:t>（十二）完成区委、区政府交办的其他任务。</w:t>
      </w:r>
    </w:p>
    <w:p w14:paraId="7E6D25B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640" w:leftChars="0"/>
        <w:jc w:val="left"/>
        <w:textAlignment w:val="auto"/>
        <w:outlineLvl w:val="9"/>
        <w:rPr>
          <w:rFonts w:hint="eastAsia" w:ascii="仿宋_GB2312" w:hAnsi="仿宋_GB2312" w:eastAsia="仿宋_GB2312" w:cs="仿宋_GB2312"/>
          <w:sz w:val="32"/>
          <w:szCs w:val="32"/>
          <w:lang w:val="en-US" w:eastAsia="zh-CN"/>
        </w:rPr>
      </w:pPr>
    </w:p>
    <w:p w14:paraId="25E9DCCB">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640" w:firstLineChars="200"/>
        <w:jc w:val="left"/>
        <w:textAlignment w:val="auto"/>
        <w:outlineLvl w:val="9"/>
        <w:rPr>
          <w:rFonts w:ascii="黑体" w:eastAsia="黑体"/>
          <w:sz w:val="32"/>
          <w:szCs w:val="32"/>
        </w:rPr>
      </w:pPr>
      <w:r>
        <w:rPr>
          <w:rFonts w:ascii="黑体" w:eastAsia="黑体"/>
          <w:sz w:val="32"/>
          <w:szCs w:val="32"/>
        </w:rPr>
        <w:t>机构设置</w:t>
      </w:r>
    </w:p>
    <w:p w14:paraId="502DF907">
      <w:pPr>
        <w:keepNext w:val="0"/>
        <w:keepLines w:val="0"/>
        <w:pageBreakBefore w:val="0"/>
        <w:widowControl w:val="0"/>
        <w:kinsoku/>
        <w:wordWrap/>
        <w:overflowPunct/>
        <w:topLinePunct w:val="0"/>
        <w:autoSpaceDE/>
        <w:autoSpaceDN/>
        <w:bidi w:val="0"/>
        <w:adjustRightInd/>
        <w:snapToGrid/>
        <w:spacing w:line="600" w:lineRule="exact"/>
        <w:jc w:val="left"/>
        <w:textAlignment w:val="auto"/>
        <w:outlineLvl w:val="9"/>
        <w:rPr>
          <w:rFonts w:hint="eastAsia" w:ascii="仿宋_GB2312" w:hAnsi="仿宋_GB2312" w:eastAsia="仿宋_GB2312" w:cs="仿宋_GB2312"/>
          <w:sz w:val="32"/>
          <w:szCs w:val="32"/>
        </w:rPr>
      </w:pPr>
      <w:r>
        <w:rPr>
          <w:rFonts w:hint="eastAsia" w:ascii="黑体" w:eastAsia="黑体"/>
          <w:sz w:val="32"/>
          <w:szCs w:val="32"/>
        </w:rPr>
        <w:t xml:space="preserve">   </w:t>
      </w:r>
      <w:r>
        <w:rPr>
          <w:rFonts w:hint="eastAsia" w:ascii="仿宋_GB2312" w:hAnsi="仿宋_GB2312" w:eastAsia="仿宋_GB2312" w:cs="仿宋_GB2312"/>
          <w:sz w:val="32"/>
          <w:szCs w:val="32"/>
        </w:rPr>
        <w:t xml:space="preserve"> 根据本部门主要职责，内设机构如下：</w:t>
      </w:r>
    </w:p>
    <w:p w14:paraId="29F4A1B5">
      <w:pPr>
        <w:numPr>
          <w:ilvl w:val="0"/>
          <w:numId w:val="0"/>
        </w:numPr>
        <w:ind w:firstLine="640" w:firstLineChars="200"/>
        <w:jc w:val="left"/>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val="en-US" w:eastAsia="zh-CN"/>
        </w:rPr>
        <w:t>1.</w:t>
      </w:r>
      <w:r>
        <w:rPr>
          <w:rFonts w:hint="eastAsia" w:ascii="仿宋" w:hAnsi="仿宋" w:eastAsia="仿宋" w:cs="仿宋"/>
          <w:color w:val="000000"/>
          <w:sz w:val="32"/>
          <w:szCs w:val="32"/>
        </w:rPr>
        <w:t>设置11个基层司法所，为区司法局派出机构，司法所实行区司法局和街道办事处双重管理，以区司法局管理为主的管理体制。主要负责指导管理和组织实施本辖区的司法行政各项业务工作。名称</w:t>
      </w:r>
      <w:r>
        <w:rPr>
          <w:rFonts w:hint="eastAsia" w:ascii="仿宋" w:hAnsi="仿宋" w:eastAsia="仿宋" w:cs="仿宋"/>
          <w:color w:val="000000"/>
          <w:sz w:val="32"/>
          <w:szCs w:val="32"/>
          <w:lang w:eastAsia="zh-CN"/>
        </w:rPr>
        <w:t>分别</w:t>
      </w:r>
      <w:r>
        <w:rPr>
          <w:rFonts w:hint="eastAsia" w:ascii="仿宋" w:hAnsi="仿宋" w:eastAsia="仿宋" w:cs="仿宋"/>
          <w:color w:val="000000"/>
          <w:sz w:val="32"/>
          <w:szCs w:val="32"/>
        </w:rPr>
        <w:t>为：1、兴隆台区司法局兴海司法所；2、兴隆台区司法局兴盛司法所；3、兴隆台区司法局振兴司法所；4、兴隆台区司法局兴隆司法所；5、兴隆台区司法局创新司法所；6、兴隆台区司法局渤海司法所；7、兴隆台区司法局新工司法所；8、兴隆台区司法局</w:t>
      </w:r>
      <w:r>
        <w:rPr>
          <w:rFonts w:hint="eastAsia" w:ascii="仿宋" w:hAnsi="仿宋" w:eastAsia="仿宋" w:cs="仿宋"/>
          <w:color w:val="000000"/>
          <w:sz w:val="32"/>
          <w:szCs w:val="32"/>
          <w:lang w:eastAsia="zh-CN"/>
        </w:rPr>
        <w:t>曙光</w:t>
      </w:r>
      <w:r>
        <w:rPr>
          <w:rFonts w:hint="eastAsia" w:ascii="仿宋" w:hAnsi="仿宋" w:eastAsia="仿宋" w:cs="仿宋"/>
          <w:color w:val="000000"/>
          <w:sz w:val="32"/>
          <w:szCs w:val="32"/>
        </w:rPr>
        <w:t>司法所；9、兴隆台区司法局欢喜</w:t>
      </w:r>
      <w:r>
        <w:rPr>
          <w:rFonts w:hint="eastAsia" w:ascii="仿宋" w:hAnsi="仿宋" w:eastAsia="仿宋" w:cs="仿宋"/>
          <w:color w:val="000000"/>
          <w:sz w:val="32"/>
          <w:szCs w:val="32"/>
          <w:lang w:eastAsia="zh-CN"/>
        </w:rPr>
        <w:t>岭</w:t>
      </w:r>
      <w:r>
        <w:rPr>
          <w:rFonts w:hint="eastAsia" w:ascii="仿宋" w:hAnsi="仿宋" w:eastAsia="仿宋" w:cs="仿宋"/>
          <w:color w:val="000000"/>
          <w:sz w:val="32"/>
          <w:szCs w:val="32"/>
        </w:rPr>
        <w:t>司法所；10、兴隆台区司法局</w:t>
      </w:r>
      <w:r>
        <w:rPr>
          <w:rFonts w:hint="eastAsia" w:ascii="仿宋" w:hAnsi="仿宋" w:eastAsia="仿宋" w:cs="仿宋"/>
          <w:color w:val="000000"/>
          <w:sz w:val="32"/>
          <w:szCs w:val="32"/>
          <w:lang w:eastAsia="zh-CN"/>
        </w:rPr>
        <w:t>沈采</w:t>
      </w:r>
      <w:r>
        <w:rPr>
          <w:rFonts w:hint="eastAsia" w:ascii="仿宋" w:hAnsi="仿宋" w:eastAsia="仿宋" w:cs="仿宋"/>
          <w:color w:val="000000"/>
          <w:sz w:val="32"/>
          <w:szCs w:val="32"/>
        </w:rPr>
        <w:t>司法所；11、兴隆台区司法局惠宾司法所</w:t>
      </w:r>
      <w:r>
        <w:rPr>
          <w:rFonts w:hint="eastAsia" w:ascii="仿宋" w:hAnsi="仿宋" w:eastAsia="仿宋" w:cs="仿宋"/>
          <w:color w:val="000000"/>
          <w:sz w:val="32"/>
          <w:szCs w:val="32"/>
          <w:lang w:eastAsia="zh-CN"/>
        </w:rPr>
        <w:t>。</w:t>
      </w:r>
    </w:p>
    <w:p w14:paraId="59CF0C4F">
      <w:pPr>
        <w:numPr>
          <w:ilvl w:val="0"/>
          <w:numId w:val="0"/>
        </w:numPr>
        <w:ind w:firstLine="640" w:firstLineChars="200"/>
        <w:jc w:val="left"/>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2.下设副科级事业单位，盘锦市兴隆台区法律援助中心。</w:t>
      </w:r>
    </w:p>
    <w:p w14:paraId="392A7131">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黑体" w:eastAsia="黑体"/>
          <w:sz w:val="32"/>
          <w:szCs w:val="32"/>
        </w:rPr>
      </w:pPr>
      <w:r>
        <w:rPr>
          <w:rFonts w:hint="eastAsia" w:ascii="黑体" w:eastAsia="黑体"/>
          <w:sz w:val="32"/>
          <w:szCs w:val="32"/>
        </w:rPr>
        <w:t>三、部门预算单位构成</w:t>
      </w:r>
    </w:p>
    <w:p w14:paraId="4CDEFDB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 xml:space="preserve">纳入盘锦市兴隆台区司法局2025年度部门预算编制范围的二级预算单位包括： </w:t>
      </w:r>
    </w:p>
    <w:p w14:paraId="1A12972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default"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1.盘锦市兴隆台区司法局（本级）。</w:t>
      </w:r>
    </w:p>
    <w:p w14:paraId="49A5ACB7">
      <w:pPr>
        <w:numPr>
          <w:ilvl w:val="0"/>
          <w:numId w:val="0"/>
        </w:numPr>
        <w:ind w:firstLine="640" w:firstLineChars="200"/>
        <w:jc w:val="left"/>
        <w:rPr>
          <w:rFonts w:hint="eastAsia" w:ascii="仿宋" w:hAnsi="仿宋" w:eastAsia="仿宋" w:cs="仿宋"/>
          <w:color w:val="000000"/>
          <w:sz w:val="32"/>
          <w:szCs w:val="32"/>
          <w:lang w:val="en-US" w:eastAsia="zh-CN"/>
        </w:rPr>
      </w:pPr>
      <w:r>
        <w:rPr>
          <w:rFonts w:hint="eastAsia" w:ascii="仿宋_GB2312" w:hAnsi="仿宋_GB2312" w:eastAsia="仿宋_GB2312" w:cs="仿宋_GB2312"/>
          <w:sz w:val="32"/>
          <w:lang w:val="en-US" w:eastAsia="zh-CN"/>
        </w:rPr>
        <w:t>2.</w:t>
      </w:r>
      <w:r>
        <w:rPr>
          <w:rFonts w:hint="eastAsia" w:ascii="仿宋" w:hAnsi="仿宋" w:eastAsia="仿宋" w:cs="仿宋"/>
          <w:color w:val="000000"/>
          <w:sz w:val="32"/>
          <w:szCs w:val="32"/>
          <w:lang w:val="en-US" w:eastAsia="zh-CN"/>
        </w:rPr>
        <w:t>盘锦市兴隆台区法律援助中心。</w:t>
      </w:r>
    </w:p>
    <w:p w14:paraId="312A4BB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lang w:val="en-US" w:eastAsia="zh-CN"/>
        </w:rPr>
      </w:pPr>
    </w:p>
    <w:p w14:paraId="661370F0">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outlineLvl w:val="9"/>
        <w:rPr>
          <w:rFonts w:hint="eastAsia" w:ascii="方正小标宋_GBK" w:hAnsi="方正小标宋_GBK" w:eastAsia="方正小标宋_GBK" w:cs="方正小标宋_GBK"/>
          <w:b w:val="0"/>
          <w:bCs/>
          <w:sz w:val="44"/>
          <w:szCs w:val="44"/>
          <w:lang w:eastAsia="zh-CN"/>
        </w:rPr>
      </w:pPr>
      <w:r>
        <w:rPr>
          <w:rFonts w:hint="eastAsia" w:ascii="方正小标宋_GBK" w:hAnsi="方正小标宋_GBK" w:eastAsia="方正小标宋_GBK" w:cs="方正小标宋_GBK"/>
          <w:b w:val="0"/>
          <w:bCs/>
          <w:sz w:val="44"/>
          <w:szCs w:val="44"/>
          <w:lang w:eastAsia="zh-CN"/>
        </w:rPr>
        <w:t>第二部分</w:t>
      </w:r>
    </w:p>
    <w:p w14:paraId="5E4E9D16">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outlineLvl w:val="9"/>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盘锦</w:t>
      </w:r>
      <w:r>
        <w:rPr>
          <w:rFonts w:hint="eastAsia" w:ascii="方正小标宋_GBK" w:hAnsi="方正小标宋_GBK" w:eastAsia="方正小标宋_GBK" w:cs="方正小标宋_GBK"/>
          <w:b w:val="0"/>
          <w:bCs/>
          <w:sz w:val="44"/>
          <w:szCs w:val="44"/>
          <w:lang w:eastAsia="zh-CN"/>
        </w:rPr>
        <w:t>市</w:t>
      </w:r>
      <w:r>
        <w:rPr>
          <w:rFonts w:hint="eastAsia" w:ascii="方正小标宋_GBK" w:hAnsi="方正小标宋_GBK" w:eastAsia="方正小标宋_GBK" w:cs="方正小标宋_GBK"/>
          <w:b w:val="0"/>
          <w:bCs/>
          <w:sz w:val="44"/>
          <w:szCs w:val="44"/>
          <w:lang w:val="en-US" w:eastAsia="zh-CN"/>
        </w:rPr>
        <w:t>兴隆台区司法局</w:t>
      </w:r>
      <w:r>
        <w:rPr>
          <w:rFonts w:hint="eastAsia" w:ascii="方正小标宋_GBK" w:hAnsi="方正小标宋_GBK" w:eastAsia="方正小标宋_GBK" w:cs="方正小标宋_GBK"/>
          <w:b w:val="0"/>
          <w:bCs/>
          <w:sz w:val="44"/>
          <w:szCs w:val="44"/>
          <w:lang w:eastAsia="zh-CN"/>
        </w:rPr>
        <w:t>2025</w:t>
      </w:r>
      <w:r>
        <w:rPr>
          <w:rFonts w:hint="eastAsia" w:ascii="方正小标宋_GBK" w:hAnsi="方正小标宋_GBK" w:eastAsia="方正小标宋_GBK" w:cs="方正小标宋_GBK"/>
          <w:b w:val="0"/>
          <w:bCs/>
          <w:sz w:val="44"/>
          <w:szCs w:val="44"/>
        </w:rPr>
        <w:t>年度部门预算公开表</w:t>
      </w:r>
    </w:p>
    <w:p w14:paraId="75DC5498">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_GBK" w:hAnsi="方正小标宋_GBK" w:eastAsia="方正小标宋_GBK" w:cs="方正小标宋_GBK"/>
          <w:b w:val="0"/>
          <w:bCs/>
          <w:sz w:val="32"/>
          <w:szCs w:val="32"/>
          <w:lang w:eastAsia="zh-CN"/>
        </w:rPr>
      </w:pPr>
      <w:r>
        <w:rPr>
          <w:rFonts w:hint="eastAsia" w:ascii="方正小标宋_GBK" w:hAnsi="方正小标宋_GBK" w:eastAsia="方正小标宋_GBK" w:cs="方正小标宋_GBK"/>
          <w:b w:val="0"/>
          <w:bCs/>
          <w:sz w:val="32"/>
          <w:szCs w:val="32"/>
          <w:lang w:eastAsia="zh-CN"/>
        </w:rPr>
        <w:t>（该部分内容详见附件）</w:t>
      </w:r>
    </w:p>
    <w:p w14:paraId="66D9DC3F">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宋体" w:hAnsi="宋体"/>
          <w:b/>
          <w:sz w:val="44"/>
          <w:szCs w:val="44"/>
        </w:rPr>
      </w:pPr>
    </w:p>
    <w:p w14:paraId="2D73FFA0">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_GBK" w:hAnsi="方正小标宋_GBK" w:eastAsia="方正小标宋_GBK" w:cs="方正小标宋_GBK"/>
          <w:b w:val="0"/>
          <w:bCs/>
          <w:sz w:val="44"/>
          <w:szCs w:val="44"/>
        </w:rPr>
      </w:pPr>
    </w:p>
    <w:p w14:paraId="091663A9">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第三部分</w:t>
      </w:r>
    </w:p>
    <w:p w14:paraId="64B268A6">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盘锦市</w:t>
      </w:r>
      <w:r>
        <w:rPr>
          <w:rFonts w:hint="eastAsia" w:ascii="方正小标宋_GBK" w:hAnsi="方正小标宋_GBK" w:eastAsia="方正小标宋_GBK" w:cs="方正小标宋_GBK"/>
          <w:b w:val="0"/>
          <w:bCs/>
          <w:sz w:val="44"/>
          <w:szCs w:val="44"/>
          <w:lang w:val="en-US" w:eastAsia="zh-CN"/>
        </w:rPr>
        <w:t>兴隆台区司法局</w:t>
      </w:r>
      <w:r>
        <w:rPr>
          <w:rFonts w:hint="eastAsia" w:ascii="方正小标宋_GBK" w:hAnsi="方正小标宋_GBK" w:eastAsia="方正小标宋_GBK" w:cs="方正小标宋_GBK"/>
          <w:b w:val="0"/>
          <w:bCs/>
          <w:sz w:val="44"/>
          <w:szCs w:val="44"/>
          <w:lang w:eastAsia="zh-CN"/>
        </w:rPr>
        <w:t>2025</w:t>
      </w:r>
      <w:r>
        <w:rPr>
          <w:rFonts w:hint="eastAsia" w:ascii="方正小标宋_GBK" w:hAnsi="方正小标宋_GBK" w:eastAsia="方正小标宋_GBK" w:cs="方正小标宋_GBK"/>
          <w:b w:val="0"/>
          <w:bCs/>
          <w:sz w:val="44"/>
          <w:szCs w:val="44"/>
        </w:rPr>
        <w:t>年度部门预算情况说明</w:t>
      </w:r>
    </w:p>
    <w:p w14:paraId="43030F69">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方正小标宋_GBK" w:hAnsi="方正小标宋_GBK" w:eastAsia="方正小标宋_GBK" w:cs="方正小标宋_GBK"/>
          <w:b w:val="0"/>
          <w:bCs/>
          <w:sz w:val="44"/>
          <w:szCs w:val="44"/>
        </w:rPr>
      </w:pPr>
    </w:p>
    <w:p w14:paraId="3E72C65A">
      <w:pPr>
        <w:keepNext w:val="0"/>
        <w:keepLines w:val="0"/>
        <w:pageBreakBefore w:val="0"/>
        <w:widowControl w:val="0"/>
        <w:kinsoku/>
        <w:wordWrap/>
        <w:overflowPunct/>
        <w:topLinePunct w:val="0"/>
        <w:autoSpaceDE/>
        <w:autoSpaceDN/>
        <w:bidi w:val="0"/>
        <w:adjustRightInd/>
        <w:snapToGrid/>
        <w:spacing w:line="600" w:lineRule="exact"/>
        <w:ind w:firstLine="660"/>
        <w:textAlignment w:val="auto"/>
        <w:outlineLvl w:val="9"/>
        <w:rPr>
          <w:rFonts w:hint="eastAsia" w:ascii="黑体" w:hAnsi="黑体" w:eastAsia="黑体"/>
          <w:sz w:val="32"/>
          <w:szCs w:val="32"/>
          <w:lang w:eastAsia="zh-CN"/>
        </w:rPr>
      </w:pPr>
      <w:r>
        <w:rPr>
          <w:rFonts w:hint="eastAsia" w:ascii="黑体" w:hAnsi="黑体" w:eastAsia="黑体"/>
          <w:sz w:val="32"/>
          <w:szCs w:val="32"/>
        </w:rPr>
        <w:t>一、</w:t>
      </w:r>
      <w:r>
        <w:rPr>
          <w:rFonts w:hint="eastAsia" w:ascii="黑体" w:hAnsi="黑体" w:eastAsia="黑体"/>
          <w:sz w:val="32"/>
          <w:szCs w:val="32"/>
          <w:lang w:eastAsia="zh-CN"/>
        </w:rPr>
        <w:t>收支</w:t>
      </w:r>
      <w:r>
        <w:rPr>
          <w:rFonts w:hint="eastAsia" w:ascii="黑体" w:hAnsi="黑体" w:eastAsia="黑体"/>
          <w:sz w:val="32"/>
          <w:szCs w:val="32"/>
        </w:rPr>
        <w:t>预算</w:t>
      </w:r>
      <w:r>
        <w:rPr>
          <w:rFonts w:hint="eastAsia" w:ascii="黑体" w:hAnsi="黑体" w:eastAsia="黑体"/>
          <w:sz w:val="32"/>
          <w:szCs w:val="32"/>
          <w:lang w:eastAsia="zh-CN"/>
        </w:rPr>
        <w:t>的</w:t>
      </w:r>
      <w:r>
        <w:rPr>
          <w:rFonts w:hint="eastAsia" w:ascii="黑体" w:hAnsi="黑体" w:eastAsia="黑体"/>
          <w:sz w:val="32"/>
          <w:szCs w:val="32"/>
        </w:rPr>
        <w:t>总体</w:t>
      </w:r>
      <w:r>
        <w:rPr>
          <w:rFonts w:hint="eastAsia" w:ascii="黑体" w:hAnsi="黑体" w:eastAsia="黑体"/>
          <w:sz w:val="32"/>
          <w:szCs w:val="32"/>
          <w:lang w:eastAsia="zh-CN"/>
        </w:rPr>
        <w:t>情况说明</w:t>
      </w:r>
    </w:p>
    <w:p w14:paraId="047E43C9">
      <w:pPr>
        <w:keepNext w:val="0"/>
        <w:keepLines w:val="0"/>
        <w:pageBreakBefore w:val="0"/>
        <w:widowControl w:val="0"/>
        <w:kinsoku/>
        <w:wordWrap/>
        <w:overflowPunct/>
        <w:topLinePunct w:val="0"/>
        <w:autoSpaceDE/>
        <w:autoSpaceDN/>
        <w:bidi w:val="0"/>
        <w:adjustRightInd/>
        <w:snapToGrid/>
        <w:spacing w:line="600" w:lineRule="exact"/>
        <w:ind w:firstLine="624" w:firstLineChars="195"/>
        <w:textAlignment w:val="auto"/>
        <w:outlineLvl w:val="9"/>
        <w:rPr>
          <w:rFonts w:hint="eastAsia" w:ascii="仿宋" w:hAnsi="仿宋" w:eastAsia="仿宋" w:cs="仿宋"/>
          <w:sz w:val="32"/>
        </w:rPr>
      </w:pPr>
      <w:r>
        <w:rPr>
          <w:rFonts w:hint="eastAsia" w:ascii="仿宋" w:hAnsi="仿宋" w:eastAsia="仿宋" w:cs="仿宋"/>
          <w:sz w:val="32"/>
          <w:lang w:eastAsia="zh-CN"/>
        </w:rPr>
        <w:t>按照综合预算的原则，</w:t>
      </w:r>
      <w:r>
        <w:rPr>
          <w:rFonts w:hint="eastAsia" w:ascii="仿宋" w:hAnsi="仿宋" w:eastAsia="仿宋" w:cs="仿宋"/>
          <w:sz w:val="32"/>
          <w:lang w:val="en-US" w:eastAsia="zh-CN"/>
        </w:rPr>
        <w:t>2025年盘锦市兴隆台区司法局所有收入和支出均纳入部门预算管理。其中</w:t>
      </w:r>
      <w:r>
        <w:rPr>
          <w:rFonts w:hint="eastAsia" w:ascii="仿宋" w:hAnsi="仿宋" w:eastAsia="仿宋" w:cs="仿宋"/>
          <w:sz w:val="32"/>
        </w:rPr>
        <w:t>：</w:t>
      </w:r>
    </w:p>
    <w:p w14:paraId="16794ABE">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firstLine="624" w:firstLineChars="195"/>
        <w:textAlignment w:val="auto"/>
        <w:outlineLvl w:val="9"/>
        <w:rPr>
          <w:rFonts w:hint="eastAsia" w:ascii="楷体" w:hAnsi="楷体" w:eastAsia="楷体" w:cs="楷体"/>
          <w:sz w:val="32"/>
          <w:lang w:eastAsia="zh-CN"/>
        </w:rPr>
      </w:pPr>
      <w:r>
        <w:rPr>
          <w:rFonts w:hint="eastAsia" w:ascii="楷体" w:hAnsi="楷体" w:eastAsia="楷体" w:cs="楷体"/>
          <w:sz w:val="32"/>
        </w:rPr>
        <w:t>收入预算</w:t>
      </w:r>
      <w:r>
        <w:rPr>
          <w:rFonts w:hint="eastAsia" w:ascii="楷体" w:hAnsi="楷体" w:eastAsia="楷体" w:cs="楷体"/>
          <w:sz w:val="32"/>
          <w:lang w:val="en-US" w:eastAsia="zh-CN"/>
        </w:rPr>
        <w:t>873.29</w:t>
      </w:r>
      <w:r>
        <w:rPr>
          <w:rFonts w:hint="eastAsia" w:ascii="楷体" w:hAnsi="楷体" w:eastAsia="楷体" w:cs="楷体"/>
          <w:sz w:val="32"/>
        </w:rPr>
        <w:t>万元</w:t>
      </w:r>
      <w:r>
        <w:rPr>
          <w:rFonts w:hint="eastAsia" w:ascii="楷体" w:hAnsi="楷体" w:eastAsia="楷体" w:cs="楷体"/>
          <w:sz w:val="32"/>
          <w:lang w:eastAsia="zh-CN"/>
        </w:rPr>
        <w:t>，包括：</w:t>
      </w:r>
    </w:p>
    <w:p w14:paraId="6092FAA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1.一般公共预算收入873.29万元；</w:t>
      </w:r>
    </w:p>
    <w:p w14:paraId="388B622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2.政府性基金预算收入0万元；</w:t>
      </w:r>
    </w:p>
    <w:p w14:paraId="49CE21D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3.国有资本经营预算收入0万元；</w:t>
      </w:r>
    </w:p>
    <w:p w14:paraId="48F0D3C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4.财政专户管理资金收入0万元；</w:t>
      </w:r>
    </w:p>
    <w:p w14:paraId="3A10D0B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5.事业收入0万元；</w:t>
      </w:r>
    </w:p>
    <w:p w14:paraId="6985044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6.事业单位经营收入0万元；</w:t>
      </w:r>
    </w:p>
    <w:p w14:paraId="0589D63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7.上级补助收入0万元；</w:t>
      </w:r>
    </w:p>
    <w:p w14:paraId="4FBA58B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8.附属单位上缴收入0万元；</w:t>
      </w:r>
    </w:p>
    <w:p w14:paraId="2831187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9.其他收入0万元；</w:t>
      </w:r>
    </w:p>
    <w:p w14:paraId="1ECAE14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10.上年结转0万元。</w:t>
      </w:r>
    </w:p>
    <w:p w14:paraId="3C16F214">
      <w:pPr>
        <w:keepNext w:val="0"/>
        <w:keepLines w:val="0"/>
        <w:pageBreakBefore w:val="0"/>
        <w:widowControl w:val="0"/>
        <w:kinsoku/>
        <w:wordWrap/>
        <w:overflowPunct/>
        <w:topLinePunct w:val="0"/>
        <w:autoSpaceDE/>
        <w:autoSpaceDN/>
        <w:bidi w:val="0"/>
        <w:adjustRightInd/>
        <w:snapToGrid/>
        <w:spacing w:line="600" w:lineRule="exact"/>
        <w:ind w:firstLine="624" w:firstLineChars="195"/>
        <w:textAlignment w:val="auto"/>
        <w:outlineLvl w:val="9"/>
        <w:rPr>
          <w:rFonts w:hint="eastAsia" w:ascii="楷体" w:hAnsi="楷体" w:eastAsia="楷体" w:cs="楷体"/>
          <w:sz w:val="32"/>
          <w:lang w:eastAsia="zh-CN"/>
        </w:rPr>
      </w:pPr>
      <w:r>
        <w:rPr>
          <w:rFonts w:hint="eastAsia" w:ascii="楷体" w:hAnsi="楷体" w:eastAsia="楷体" w:cs="楷体"/>
          <w:sz w:val="32"/>
          <w:lang w:eastAsia="zh-CN"/>
        </w:rPr>
        <w:t>（二）支出预算</w:t>
      </w:r>
      <w:r>
        <w:rPr>
          <w:rFonts w:hint="eastAsia" w:ascii="楷体" w:hAnsi="楷体" w:eastAsia="楷体" w:cs="楷体"/>
          <w:sz w:val="32"/>
          <w:lang w:val="en-US" w:eastAsia="zh-CN"/>
        </w:rPr>
        <w:t>873.29</w:t>
      </w:r>
      <w:r>
        <w:rPr>
          <w:rFonts w:hint="eastAsia" w:ascii="楷体" w:hAnsi="楷体" w:eastAsia="楷体" w:cs="楷体"/>
          <w:sz w:val="32"/>
        </w:rPr>
        <w:t>万元</w:t>
      </w:r>
      <w:r>
        <w:rPr>
          <w:rFonts w:hint="eastAsia" w:ascii="楷体" w:hAnsi="楷体" w:eastAsia="楷体" w:cs="楷体"/>
          <w:sz w:val="32"/>
          <w:lang w:eastAsia="zh-CN"/>
        </w:rPr>
        <w:t>，包括：</w:t>
      </w:r>
    </w:p>
    <w:p w14:paraId="285EF8AC">
      <w:pPr>
        <w:keepNext w:val="0"/>
        <w:keepLines w:val="0"/>
        <w:pageBreakBefore w:val="0"/>
        <w:widowControl w:val="0"/>
        <w:kinsoku/>
        <w:wordWrap/>
        <w:overflowPunct/>
        <w:topLinePunct w:val="0"/>
        <w:autoSpaceDE/>
        <w:autoSpaceDN/>
        <w:bidi w:val="0"/>
        <w:adjustRightInd/>
        <w:snapToGrid/>
        <w:spacing w:line="600" w:lineRule="exact"/>
        <w:ind w:firstLine="624" w:firstLineChars="195"/>
        <w:textAlignment w:val="auto"/>
        <w:outlineLvl w:val="9"/>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1.基本支出654.39万元；</w:t>
      </w:r>
    </w:p>
    <w:p w14:paraId="3F3E854F">
      <w:pPr>
        <w:keepNext w:val="0"/>
        <w:keepLines w:val="0"/>
        <w:pageBreakBefore w:val="0"/>
        <w:widowControl w:val="0"/>
        <w:kinsoku/>
        <w:wordWrap/>
        <w:overflowPunct/>
        <w:topLinePunct w:val="0"/>
        <w:autoSpaceDE/>
        <w:autoSpaceDN/>
        <w:bidi w:val="0"/>
        <w:adjustRightInd/>
        <w:snapToGrid/>
        <w:spacing w:line="600" w:lineRule="exact"/>
        <w:ind w:firstLine="624" w:firstLineChars="195"/>
        <w:textAlignment w:val="auto"/>
        <w:outlineLvl w:val="9"/>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2.项目支出218.9万元。</w:t>
      </w:r>
    </w:p>
    <w:p w14:paraId="778093B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eastAsia="zh-CN"/>
        </w:rPr>
        <w:t>支出预算</w:t>
      </w:r>
      <w:r>
        <w:rPr>
          <w:rFonts w:hint="eastAsia" w:ascii="仿宋_GB2312" w:hAnsi="仿宋_GB2312" w:eastAsia="仿宋_GB2312" w:cs="仿宋_GB2312"/>
          <w:sz w:val="32"/>
          <w:lang w:val="en-US" w:eastAsia="zh-CN"/>
        </w:rPr>
        <w:t>中，政府采购支出0万元，债务支出0万元，政府购买服务支出0万元。</w:t>
      </w:r>
    </w:p>
    <w:p w14:paraId="546C550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ascii="仿宋" w:hAnsi="仿宋" w:eastAsia="仿宋" w:cs="仿宋"/>
          <w:sz w:val="32"/>
        </w:rPr>
      </w:pPr>
      <w:r>
        <w:rPr>
          <w:rFonts w:hint="eastAsia" w:ascii="仿宋_GB2312" w:hAnsi="仿宋_GB2312" w:eastAsia="仿宋_GB2312" w:cs="仿宋_GB2312"/>
          <w:sz w:val="32"/>
          <w:lang w:val="en-US" w:eastAsia="zh-CN"/>
        </w:rPr>
        <w:t>2025年预算同</w:t>
      </w:r>
      <w:r>
        <w:rPr>
          <w:rFonts w:hint="eastAsia" w:ascii="仿宋_GB2312" w:hAnsi="仿宋_GB2312" w:eastAsia="仿宋_GB2312" w:cs="仿宋_GB2312"/>
          <w:sz w:val="32"/>
          <w:lang w:eastAsia="zh-CN"/>
        </w:rPr>
        <w:t>上</w:t>
      </w:r>
      <w:r>
        <w:rPr>
          <w:rFonts w:hint="eastAsia" w:ascii="仿宋_GB2312" w:hAnsi="仿宋_GB2312" w:eastAsia="仿宋_GB2312" w:cs="仿宋_GB2312"/>
          <w:sz w:val="32"/>
        </w:rPr>
        <w:t>年</w:t>
      </w:r>
      <w:r>
        <w:rPr>
          <w:rFonts w:hint="eastAsia" w:ascii="仿宋_GB2312" w:hAnsi="仿宋_GB2312" w:eastAsia="仿宋_GB2312" w:cs="仿宋_GB2312"/>
          <w:sz w:val="32"/>
          <w:lang w:eastAsia="zh-CN"/>
        </w:rPr>
        <w:t>比较</w:t>
      </w:r>
      <w:r>
        <w:rPr>
          <w:rFonts w:hint="eastAsia" w:ascii="仿宋_GB2312" w:hAnsi="仿宋_GB2312" w:eastAsia="仿宋_GB2312" w:cs="仿宋_GB2312"/>
          <w:sz w:val="32"/>
        </w:rPr>
        <w:t>，收入</w:t>
      </w:r>
      <w:r>
        <w:rPr>
          <w:rFonts w:hint="eastAsia" w:ascii="仿宋_GB2312" w:hAnsi="仿宋_GB2312" w:eastAsia="仿宋_GB2312" w:cs="仿宋_GB2312"/>
          <w:sz w:val="32"/>
          <w:lang w:eastAsia="zh-CN"/>
        </w:rPr>
        <w:t>增加</w:t>
      </w:r>
      <w:r>
        <w:rPr>
          <w:rFonts w:hint="eastAsia" w:ascii="仿宋_GB2312" w:hAnsi="仿宋_GB2312" w:eastAsia="仿宋_GB2312" w:cs="仿宋_GB2312"/>
          <w:sz w:val="32"/>
          <w:lang w:val="en-US" w:eastAsia="zh-CN"/>
        </w:rPr>
        <w:t>57.46</w:t>
      </w:r>
      <w:r>
        <w:rPr>
          <w:rFonts w:hint="eastAsia" w:ascii="仿宋_GB2312" w:hAnsi="仿宋_GB2312" w:eastAsia="仿宋_GB2312" w:cs="仿宋_GB2312"/>
          <w:sz w:val="32"/>
        </w:rPr>
        <w:t>万元，</w:t>
      </w:r>
      <w:r>
        <w:rPr>
          <w:rFonts w:hint="eastAsia" w:ascii="仿宋_GB2312" w:hAnsi="仿宋_GB2312" w:eastAsia="仿宋_GB2312" w:cs="仿宋_GB2312"/>
          <w:sz w:val="32"/>
          <w:lang w:eastAsia="zh-CN"/>
        </w:rPr>
        <w:t>上升</w:t>
      </w:r>
      <w:r>
        <w:rPr>
          <w:rFonts w:hint="eastAsia" w:ascii="仿宋_GB2312" w:hAnsi="仿宋_GB2312" w:eastAsia="仿宋_GB2312" w:cs="仿宋_GB2312"/>
          <w:sz w:val="32"/>
          <w:lang w:val="en-US" w:eastAsia="zh-CN"/>
        </w:rPr>
        <w:t>7.04</w:t>
      </w:r>
      <w:r>
        <w:rPr>
          <w:rFonts w:hint="eastAsia" w:ascii="仿宋_GB2312" w:hAnsi="仿宋_GB2312" w:eastAsia="仿宋_GB2312" w:cs="仿宋_GB2312"/>
          <w:sz w:val="32"/>
        </w:rPr>
        <w:t>%；</w:t>
      </w:r>
      <w:r>
        <w:rPr>
          <w:rFonts w:hint="eastAsia" w:ascii="仿宋_GB2312" w:hAnsi="仿宋_GB2312" w:eastAsia="仿宋_GB2312" w:cs="仿宋_GB2312"/>
          <w:sz w:val="32"/>
          <w:lang w:eastAsia="zh-CN"/>
        </w:rPr>
        <w:t>支出增加</w:t>
      </w:r>
      <w:r>
        <w:rPr>
          <w:rFonts w:hint="eastAsia" w:ascii="仿宋_GB2312" w:hAnsi="仿宋_GB2312" w:eastAsia="仿宋_GB2312" w:cs="仿宋_GB2312"/>
          <w:sz w:val="32"/>
          <w:lang w:val="en-US" w:eastAsia="zh-CN"/>
        </w:rPr>
        <w:t>57.46</w:t>
      </w:r>
      <w:r>
        <w:rPr>
          <w:rFonts w:hint="eastAsia" w:ascii="仿宋_GB2312" w:hAnsi="仿宋_GB2312" w:eastAsia="仿宋_GB2312" w:cs="仿宋_GB2312"/>
          <w:sz w:val="32"/>
        </w:rPr>
        <w:t>万元，</w:t>
      </w:r>
      <w:r>
        <w:rPr>
          <w:rFonts w:hint="eastAsia" w:ascii="仿宋_GB2312" w:hAnsi="仿宋_GB2312" w:eastAsia="仿宋_GB2312" w:cs="仿宋_GB2312"/>
          <w:sz w:val="32"/>
          <w:lang w:eastAsia="zh-CN"/>
        </w:rPr>
        <w:t>上升</w:t>
      </w:r>
      <w:r>
        <w:rPr>
          <w:rFonts w:hint="eastAsia" w:ascii="仿宋_GB2312" w:hAnsi="仿宋_GB2312" w:eastAsia="仿宋_GB2312" w:cs="仿宋_GB2312"/>
          <w:sz w:val="32"/>
          <w:lang w:val="en-US" w:eastAsia="zh-CN"/>
        </w:rPr>
        <w:t>7.04</w:t>
      </w:r>
      <w:r>
        <w:rPr>
          <w:rFonts w:hint="eastAsia" w:ascii="仿宋_GB2312" w:hAnsi="仿宋_GB2312" w:eastAsia="仿宋_GB2312" w:cs="仿宋_GB2312"/>
          <w:sz w:val="32"/>
        </w:rPr>
        <w:t>%。</w:t>
      </w:r>
      <w:r>
        <w:rPr>
          <w:rFonts w:hint="eastAsia" w:ascii="仿宋_GB2312" w:hAnsi="仿宋_GB2312" w:eastAsia="仿宋_GB2312" w:cs="仿宋_GB2312"/>
          <w:sz w:val="32"/>
          <w:lang w:eastAsia="zh-CN"/>
        </w:rPr>
        <w:t>增减变化的主要</w:t>
      </w:r>
      <w:r>
        <w:rPr>
          <w:rFonts w:hint="eastAsia" w:ascii="仿宋_GB2312" w:hAnsi="仿宋_GB2312" w:eastAsia="仿宋_GB2312" w:cs="仿宋_GB2312"/>
          <w:sz w:val="32"/>
        </w:rPr>
        <w:t>原因是</w:t>
      </w:r>
      <w:r>
        <w:rPr>
          <w:rFonts w:hint="eastAsia" w:ascii="仿宋_GB2312" w:hAnsi="仿宋_GB2312" w:eastAsia="仿宋_GB2312" w:cs="仿宋_GB2312"/>
          <w:sz w:val="32"/>
          <w:lang w:val="en-US" w:eastAsia="zh-CN"/>
        </w:rPr>
        <w:t>人员经费增加</w:t>
      </w:r>
      <w:r>
        <w:rPr>
          <w:rFonts w:hint="eastAsia" w:ascii="仿宋_GB2312" w:hAnsi="仿宋_GB2312" w:eastAsia="仿宋_GB2312" w:cs="仿宋_GB2312"/>
          <w:sz w:val="32"/>
        </w:rPr>
        <w:t>。</w:t>
      </w:r>
    </w:p>
    <w:p w14:paraId="3DA35D71">
      <w:pPr>
        <w:keepNext w:val="0"/>
        <w:keepLines w:val="0"/>
        <w:pageBreakBefore w:val="0"/>
        <w:widowControl w:val="0"/>
        <w:kinsoku/>
        <w:wordWrap/>
        <w:overflowPunct/>
        <w:topLinePunct w:val="0"/>
        <w:autoSpaceDE/>
        <w:autoSpaceDN/>
        <w:bidi w:val="0"/>
        <w:adjustRightInd/>
        <w:snapToGrid/>
        <w:spacing w:line="600" w:lineRule="exact"/>
        <w:ind w:firstLine="660"/>
        <w:textAlignment w:val="auto"/>
        <w:outlineLvl w:val="9"/>
        <w:rPr>
          <w:rFonts w:hint="eastAsia" w:ascii="黑体" w:hAnsi="黑体" w:eastAsia="黑体"/>
          <w:sz w:val="32"/>
          <w:szCs w:val="32"/>
        </w:rPr>
      </w:pPr>
      <w:r>
        <w:rPr>
          <w:rFonts w:hint="eastAsia" w:ascii="黑体" w:hAnsi="黑体" w:eastAsia="黑体"/>
          <w:sz w:val="32"/>
          <w:szCs w:val="32"/>
        </w:rPr>
        <w:t>二、“三公”经费预算安排使用情况说明</w:t>
      </w:r>
    </w:p>
    <w:p w14:paraId="445CCDC3">
      <w:pPr>
        <w:keepNext w:val="0"/>
        <w:keepLines w:val="0"/>
        <w:pageBreakBefore w:val="0"/>
        <w:widowControl w:val="0"/>
        <w:kinsoku/>
        <w:wordWrap/>
        <w:overflowPunct/>
        <w:topLinePunct w:val="0"/>
        <w:autoSpaceDE/>
        <w:autoSpaceDN/>
        <w:bidi w:val="0"/>
        <w:adjustRightInd/>
        <w:snapToGrid/>
        <w:spacing w:line="600" w:lineRule="exact"/>
        <w:ind w:firstLine="624" w:firstLineChars="195"/>
        <w:textAlignment w:val="auto"/>
        <w:outlineLvl w:val="9"/>
        <w:rPr>
          <w:rFonts w:hint="eastAsia" w:ascii="仿宋_GB2312" w:hAnsi="仿宋_GB2312" w:eastAsia="仿宋_GB2312" w:cs="仿宋_GB2312"/>
          <w:sz w:val="32"/>
          <w:lang w:eastAsia="zh-CN"/>
        </w:rPr>
      </w:pPr>
      <w:r>
        <w:rPr>
          <w:rFonts w:hint="eastAsia" w:ascii="仿宋_GB2312" w:hAnsi="仿宋_GB2312" w:eastAsia="仿宋_GB2312" w:cs="仿宋_GB2312"/>
          <w:sz w:val="32"/>
          <w:lang w:eastAsia="zh-CN"/>
        </w:rPr>
        <w:t>2025</w:t>
      </w:r>
      <w:r>
        <w:rPr>
          <w:rFonts w:hint="eastAsia" w:ascii="仿宋_GB2312" w:hAnsi="仿宋_GB2312" w:eastAsia="仿宋_GB2312" w:cs="仿宋_GB2312"/>
          <w:sz w:val="32"/>
        </w:rPr>
        <w:t>年度“三公”经费预算支出</w:t>
      </w:r>
      <w:r>
        <w:rPr>
          <w:rFonts w:hint="eastAsia" w:ascii="仿宋_GB2312" w:hAnsi="仿宋_GB2312" w:eastAsia="仿宋_GB2312" w:cs="仿宋_GB2312"/>
          <w:sz w:val="32"/>
          <w:lang w:eastAsia="zh-CN"/>
        </w:rPr>
        <w:t>安排</w:t>
      </w:r>
      <w:r>
        <w:rPr>
          <w:rFonts w:hint="eastAsia" w:ascii="仿宋_GB2312" w:hAnsi="仿宋_GB2312" w:eastAsia="仿宋_GB2312" w:cs="仿宋_GB2312"/>
          <w:sz w:val="32"/>
          <w:lang w:val="en-US" w:eastAsia="zh-CN"/>
        </w:rPr>
        <w:t>0</w:t>
      </w:r>
      <w:r>
        <w:rPr>
          <w:rFonts w:hint="eastAsia" w:ascii="仿宋_GB2312" w:hAnsi="仿宋_GB2312" w:eastAsia="仿宋_GB2312" w:cs="仿宋_GB2312"/>
          <w:sz w:val="32"/>
        </w:rPr>
        <w:t>万元</w:t>
      </w:r>
      <w:r>
        <w:rPr>
          <w:rFonts w:hint="eastAsia" w:ascii="仿宋_GB2312" w:hAnsi="仿宋_GB2312" w:eastAsia="仿宋_GB2312" w:cs="仿宋_GB2312"/>
          <w:sz w:val="32"/>
          <w:lang w:eastAsia="zh-CN"/>
        </w:rPr>
        <w:t>。</w:t>
      </w:r>
    </w:p>
    <w:p w14:paraId="073C2D43">
      <w:pPr>
        <w:keepNext w:val="0"/>
        <w:keepLines w:val="0"/>
        <w:pageBreakBefore w:val="0"/>
        <w:widowControl w:val="0"/>
        <w:kinsoku/>
        <w:wordWrap/>
        <w:overflowPunct/>
        <w:topLinePunct w:val="0"/>
        <w:autoSpaceDE/>
        <w:autoSpaceDN/>
        <w:bidi w:val="0"/>
        <w:adjustRightInd/>
        <w:snapToGrid/>
        <w:spacing w:line="600" w:lineRule="exact"/>
        <w:ind w:firstLine="624" w:firstLineChars="195"/>
        <w:textAlignment w:val="auto"/>
        <w:outlineLvl w:val="9"/>
        <w:rPr>
          <w:rFonts w:hint="eastAsia" w:ascii="仿宋_GB2312" w:hAnsi="仿宋_GB2312" w:eastAsia="仿宋_GB2312" w:cs="仿宋_GB2312"/>
          <w:sz w:val="32"/>
          <w:lang w:eastAsia="zh-CN"/>
        </w:rPr>
      </w:pPr>
      <w:r>
        <w:rPr>
          <w:rFonts w:hint="eastAsia" w:ascii="仿宋_GB2312" w:hAnsi="仿宋_GB2312" w:eastAsia="仿宋_GB2312" w:cs="仿宋_GB2312"/>
          <w:sz w:val="32"/>
        </w:rPr>
        <w:t>其中</w:t>
      </w:r>
      <w:r>
        <w:rPr>
          <w:rFonts w:hint="eastAsia" w:ascii="仿宋_GB2312" w:hAnsi="仿宋_GB2312" w:eastAsia="仿宋_GB2312" w:cs="仿宋_GB2312"/>
          <w:sz w:val="32"/>
          <w:lang w:eastAsia="zh-CN"/>
        </w:rPr>
        <w:t>：</w:t>
      </w:r>
    </w:p>
    <w:p w14:paraId="66FA196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1.</w:t>
      </w:r>
      <w:r>
        <w:rPr>
          <w:rFonts w:hint="eastAsia" w:ascii="仿宋_GB2312" w:hAnsi="仿宋_GB2312" w:eastAsia="仿宋_GB2312" w:cs="仿宋_GB2312"/>
          <w:sz w:val="32"/>
        </w:rPr>
        <w:t>因公出国（境）费</w:t>
      </w:r>
      <w:r>
        <w:rPr>
          <w:rFonts w:hint="eastAsia" w:ascii="仿宋_GB2312" w:hAnsi="仿宋_GB2312" w:eastAsia="仿宋_GB2312" w:cs="仿宋_GB2312"/>
          <w:sz w:val="32"/>
          <w:lang w:val="en-US" w:eastAsia="zh-CN"/>
        </w:rPr>
        <w:t>0</w:t>
      </w:r>
      <w:r>
        <w:rPr>
          <w:rFonts w:hint="eastAsia" w:ascii="仿宋_GB2312" w:hAnsi="仿宋_GB2312" w:eastAsia="仿宋_GB2312" w:cs="仿宋_GB2312"/>
          <w:sz w:val="32"/>
        </w:rPr>
        <w:t>万元</w:t>
      </w:r>
      <w:r>
        <w:rPr>
          <w:rFonts w:hint="eastAsia" w:ascii="仿宋_GB2312" w:hAnsi="仿宋_GB2312" w:eastAsia="仿宋_GB2312" w:cs="仿宋_GB2312"/>
          <w:sz w:val="32"/>
          <w:lang w:val="en-US" w:eastAsia="zh-CN"/>
        </w:rPr>
        <w:t>。</w:t>
      </w:r>
    </w:p>
    <w:p w14:paraId="3D949C6F">
      <w:pPr>
        <w:keepNext w:val="0"/>
        <w:keepLines w:val="0"/>
        <w:pageBreakBefore w:val="0"/>
        <w:widowControl w:val="0"/>
        <w:kinsoku/>
        <w:wordWrap/>
        <w:overflowPunct/>
        <w:topLinePunct w:val="0"/>
        <w:autoSpaceDE/>
        <w:autoSpaceDN/>
        <w:bidi w:val="0"/>
        <w:adjustRightInd/>
        <w:snapToGrid/>
        <w:spacing w:line="600" w:lineRule="exact"/>
        <w:ind w:firstLine="624" w:firstLineChars="195"/>
        <w:textAlignment w:val="auto"/>
        <w:outlineLvl w:val="9"/>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2.</w:t>
      </w:r>
      <w:r>
        <w:rPr>
          <w:rFonts w:hint="eastAsia" w:ascii="仿宋_GB2312" w:hAnsi="仿宋_GB2312" w:eastAsia="仿宋_GB2312" w:cs="仿宋_GB2312"/>
          <w:sz w:val="32"/>
        </w:rPr>
        <w:t>公务接待费</w:t>
      </w:r>
      <w:r>
        <w:rPr>
          <w:rFonts w:hint="eastAsia" w:ascii="仿宋_GB2312" w:hAnsi="仿宋_GB2312" w:eastAsia="仿宋_GB2312" w:cs="仿宋_GB2312"/>
          <w:sz w:val="32"/>
          <w:lang w:val="en-US" w:eastAsia="zh-CN"/>
        </w:rPr>
        <w:t>0</w:t>
      </w:r>
      <w:r>
        <w:rPr>
          <w:rFonts w:hint="eastAsia" w:ascii="仿宋_GB2312" w:hAnsi="仿宋_GB2312" w:eastAsia="仿宋_GB2312" w:cs="仿宋_GB2312"/>
          <w:sz w:val="32"/>
        </w:rPr>
        <w:t>万元</w:t>
      </w:r>
      <w:r>
        <w:rPr>
          <w:rFonts w:hint="eastAsia" w:ascii="仿宋_GB2312" w:hAnsi="仿宋_GB2312" w:eastAsia="仿宋_GB2312" w:cs="仿宋_GB2312"/>
          <w:sz w:val="32"/>
          <w:lang w:val="en-US" w:eastAsia="zh-CN"/>
        </w:rPr>
        <w:t>。</w:t>
      </w:r>
    </w:p>
    <w:p w14:paraId="21B041FC">
      <w:pPr>
        <w:keepNext w:val="0"/>
        <w:keepLines w:val="0"/>
        <w:pageBreakBefore w:val="0"/>
        <w:widowControl w:val="0"/>
        <w:kinsoku/>
        <w:wordWrap/>
        <w:overflowPunct/>
        <w:topLinePunct w:val="0"/>
        <w:autoSpaceDE/>
        <w:autoSpaceDN/>
        <w:bidi w:val="0"/>
        <w:adjustRightInd/>
        <w:snapToGrid/>
        <w:spacing w:line="600" w:lineRule="exact"/>
        <w:ind w:firstLine="624" w:firstLineChars="195"/>
        <w:textAlignment w:val="auto"/>
        <w:outlineLvl w:val="9"/>
        <w:rPr>
          <w:rFonts w:hint="eastAsia" w:ascii="仿宋_GB2312" w:hAnsi="仿宋_GB2312" w:eastAsia="仿宋_GB2312" w:cs="仿宋_GB2312"/>
          <w:sz w:val="32"/>
        </w:rPr>
      </w:pPr>
      <w:r>
        <w:rPr>
          <w:rFonts w:hint="eastAsia" w:ascii="仿宋_GB2312" w:hAnsi="仿宋_GB2312" w:eastAsia="仿宋_GB2312" w:cs="仿宋_GB2312"/>
          <w:sz w:val="32"/>
          <w:lang w:val="en-US" w:eastAsia="zh-CN"/>
        </w:rPr>
        <w:t>3.</w:t>
      </w:r>
      <w:r>
        <w:rPr>
          <w:rFonts w:hint="eastAsia" w:ascii="仿宋_GB2312" w:hAnsi="仿宋_GB2312" w:eastAsia="仿宋_GB2312" w:cs="仿宋_GB2312"/>
          <w:sz w:val="32"/>
        </w:rPr>
        <w:t>公务用车购置及运行费</w:t>
      </w:r>
      <w:r>
        <w:rPr>
          <w:rFonts w:hint="eastAsia" w:ascii="仿宋_GB2312" w:hAnsi="仿宋_GB2312" w:eastAsia="仿宋_GB2312" w:cs="仿宋_GB2312"/>
          <w:sz w:val="32"/>
          <w:lang w:val="en-US" w:eastAsia="zh-CN"/>
        </w:rPr>
        <w:t>0</w:t>
      </w:r>
      <w:r>
        <w:rPr>
          <w:rFonts w:hint="eastAsia" w:ascii="仿宋_GB2312" w:hAnsi="仿宋_GB2312" w:eastAsia="仿宋_GB2312" w:cs="仿宋_GB2312"/>
          <w:sz w:val="32"/>
        </w:rPr>
        <w:t>万元</w:t>
      </w:r>
      <w:r>
        <w:rPr>
          <w:rFonts w:hint="eastAsia" w:ascii="仿宋_GB2312" w:hAnsi="仿宋_GB2312" w:eastAsia="仿宋_GB2312" w:cs="仿宋_GB2312"/>
          <w:sz w:val="32"/>
          <w:lang w:val="en-US" w:eastAsia="zh-CN"/>
        </w:rPr>
        <w:t>。</w:t>
      </w:r>
    </w:p>
    <w:p w14:paraId="1667418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黑体" w:hAnsi="黑体" w:eastAsia="黑体"/>
          <w:sz w:val="32"/>
          <w:szCs w:val="32"/>
        </w:rPr>
      </w:pPr>
      <w:r>
        <w:rPr>
          <w:rFonts w:hint="eastAsia" w:ascii="黑体" w:hAnsi="黑体" w:eastAsia="黑体"/>
          <w:sz w:val="32"/>
          <w:szCs w:val="32"/>
        </w:rPr>
        <w:t>三、机关运行经费预算安排使用情况说明</w:t>
      </w:r>
    </w:p>
    <w:p w14:paraId="22E6BA0A">
      <w:pPr>
        <w:keepNext w:val="0"/>
        <w:keepLines w:val="0"/>
        <w:pageBreakBefore w:val="0"/>
        <w:widowControl w:val="0"/>
        <w:kinsoku/>
        <w:wordWrap/>
        <w:overflowPunct/>
        <w:topLinePunct w:val="0"/>
        <w:autoSpaceDE/>
        <w:autoSpaceDN/>
        <w:bidi w:val="0"/>
        <w:adjustRightInd/>
        <w:snapToGrid/>
        <w:spacing w:line="600" w:lineRule="exact"/>
        <w:ind w:firstLine="624" w:firstLineChars="195"/>
        <w:textAlignment w:val="auto"/>
        <w:outlineLvl w:val="9"/>
        <w:rPr>
          <w:rFonts w:hint="eastAsia" w:ascii="仿宋_GB2312" w:hAnsi="仿宋_GB2312" w:eastAsia="仿宋_GB2312" w:cs="仿宋_GB2312"/>
          <w:sz w:val="32"/>
        </w:rPr>
      </w:pPr>
      <w:r>
        <w:rPr>
          <w:rFonts w:hint="eastAsia" w:ascii="仿宋_GB2312" w:hAnsi="仿宋_GB2312" w:eastAsia="仿宋_GB2312" w:cs="仿宋_GB2312"/>
          <w:sz w:val="32"/>
          <w:lang w:eastAsia="zh-CN"/>
        </w:rPr>
        <w:t>2025</w:t>
      </w:r>
      <w:r>
        <w:rPr>
          <w:rFonts w:hint="eastAsia" w:ascii="仿宋_GB2312" w:hAnsi="仿宋_GB2312" w:eastAsia="仿宋_GB2312" w:cs="仿宋_GB2312"/>
          <w:sz w:val="32"/>
        </w:rPr>
        <w:t>年机关运行经费预算安排</w:t>
      </w:r>
      <w:r>
        <w:rPr>
          <w:rFonts w:hint="eastAsia" w:ascii="仿宋_GB2312" w:hAnsi="仿宋_GB2312" w:eastAsia="仿宋_GB2312" w:cs="仿宋_GB2312"/>
          <w:sz w:val="32"/>
          <w:lang w:val="en-US" w:eastAsia="zh-CN"/>
        </w:rPr>
        <w:t>47.6</w:t>
      </w:r>
      <w:r>
        <w:rPr>
          <w:rFonts w:hint="eastAsia" w:ascii="仿宋_GB2312" w:hAnsi="仿宋_GB2312" w:eastAsia="仿宋_GB2312" w:cs="仿宋_GB2312"/>
          <w:sz w:val="32"/>
        </w:rPr>
        <w:t>万元，比</w:t>
      </w:r>
      <w:r>
        <w:rPr>
          <w:rFonts w:hint="eastAsia" w:ascii="仿宋_GB2312" w:hAnsi="仿宋_GB2312" w:eastAsia="仿宋_GB2312" w:cs="仿宋_GB2312"/>
          <w:sz w:val="32"/>
          <w:lang w:eastAsia="zh-CN"/>
        </w:rPr>
        <w:t>上</w:t>
      </w:r>
      <w:r>
        <w:rPr>
          <w:rFonts w:hint="eastAsia" w:ascii="仿宋_GB2312" w:hAnsi="仿宋_GB2312" w:eastAsia="仿宋_GB2312" w:cs="仿宋_GB2312"/>
          <w:sz w:val="32"/>
        </w:rPr>
        <w:t>预算</w:t>
      </w:r>
      <w:r>
        <w:rPr>
          <w:rFonts w:hint="eastAsia" w:ascii="仿宋_GB2312" w:hAnsi="仿宋_GB2312" w:eastAsia="仿宋_GB2312" w:cs="仿宋_GB2312"/>
          <w:sz w:val="32"/>
          <w:lang w:eastAsia="zh-CN"/>
        </w:rPr>
        <w:t>增加</w:t>
      </w:r>
      <w:r>
        <w:rPr>
          <w:rFonts w:hint="eastAsia" w:ascii="仿宋_GB2312" w:hAnsi="仿宋_GB2312" w:eastAsia="仿宋_GB2312" w:cs="仿宋_GB2312"/>
          <w:sz w:val="32"/>
          <w:lang w:val="en-US" w:eastAsia="zh-CN"/>
        </w:rPr>
        <w:t>3.48</w:t>
      </w:r>
      <w:r>
        <w:rPr>
          <w:rFonts w:hint="eastAsia" w:ascii="仿宋_GB2312" w:hAnsi="仿宋_GB2312" w:eastAsia="仿宋_GB2312" w:cs="仿宋_GB2312"/>
          <w:sz w:val="32"/>
        </w:rPr>
        <w:t>万元，</w:t>
      </w:r>
      <w:r>
        <w:rPr>
          <w:rFonts w:hint="eastAsia" w:ascii="仿宋_GB2312" w:hAnsi="仿宋_GB2312" w:eastAsia="仿宋_GB2312" w:cs="仿宋_GB2312"/>
          <w:sz w:val="32"/>
          <w:lang w:eastAsia="zh-CN"/>
        </w:rPr>
        <w:t>上升</w:t>
      </w:r>
      <w:r>
        <w:rPr>
          <w:rFonts w:hint="eastAsia" w:ascii="仿宋_GB2312" w:hAnsi="仿宋_GB2312" w:eastAsia="仿宋_GB2312" w:cs="仿宋_GB2312"/>
          <w:sz w:val="32"/>
          <w:lang w:val="en-US" w:eastAsia="zh-CN"/>
        </w:rPr>
        <w:t>7.89</w:t>
      </w:r>
      <w:r>
        <w:rPr>
          <w:rFonts w:hint="eastAsia" w:ascii="仿宋_GB2312" w:hAnsi="仿宋_GB2312" w:eastAsia="仿宋_GB2312" w:cs="仿宋_GB2312"/>
          <w:sz w:val="32"/>
        </w:rPr>
        <w:t>%，主要原因是</w:t>
      </w:r>
      <w:r>
        <w:rPr>
          <w:rFonts w:hint="eastAsia" w:ascii="仿宋_GB2312" w:hAnsi="仿宋_GB2312" w:eastAsia="仿宋_GB2312" w:cs="仿宋_GB2312"/>
          <w:sz w:val="32"/>
          <w:lang w:eastAsia="zh-CN"/>
        </w:rPr>
        <w:t>人员增加。</w:t>
      </w:r>
    </w:p>
    <w:p w14:paraId="155E91E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黑体" w:hAnsi="黑体" w:eastAsia="黑体"/>
          <w:sz w:val="32"/>
          <w:szCs w:val="32"/>
        </w:rPr>
      </w:pPr>
      <w:r>
        <w:rPr>
          <w:rFonts w:hint="eastAsia" w:ascii="黑体" w:hAnsi="黑体" w:eastAsia="黑体"/>
          <w:sz w:val="32"/>
          <w:szCs w:val="32"/>
        </w:rPr>
        <w:t>四、政府采购安排情况说明</w:t>
      </w:r>
    </w:p>
    <w:p w14:paraId="4FC01F73">
      <w:pPr>
        <w:keepNext w:val="0"/>
        <w:keepLines w:val="0"/>
        <w:pageBreakBefore w:val="0"/>
        <w:widowControl w:val="0"/>
        <w:kinsoku/>
        <w:wordWrap/>
        <w:overflowPunct/>
        <w:topLinePunct w:val="0"/>
        <w:autoSpaceDE/>
        <w:autoSpaceDN/>
        <w:bidi w:val="0"/>
        <w:adjustRightInd/>
        <w:snapToGrid/>
        <w:spacing w:line="600" w:lineRule="atLeast"/>
        <w:ind w:firstLine="624" w:firstLineChars="195"/>
        <w:textAlignment w:val="auto"/>
        <w:rPr>
          <w:rFonts w:hint="eastAsia" w:ascii="仿宋_GB2312" w:hAnsi="仿宋_GB2312" w:eastAsia="仿宋_GB2312" w:cs="仿宋_GB2312"/>
          <w:sz w:val="32"/>
        </w:rPr>
      </w:pPr>
      <w:r>
        <w:rPr>
          <w:rFonts w:hint="eastAsia" w:ascii="仿宋_GB2312" w:hAnsi="仿宋_GB2312" w:eastAsia="仿宋_GB2312" w:cs="仿宋_GB2312"/>
          <w:sz w:val="32"/>
          <w:lang w:eastAsia="zh-CN"/>
        </w:rPr>
        <w:t>2025</w:t>
      </w:r>
      <w:r>
        <w:rPr>
          <w:rFonts w:hint="eastAsia" w:ascii="仿宋_GB2312" w:hAnsi="仿宋_GB2312" w:eastAsia="仿宋_GB2312" w:cs="仿宋_GB2312"/>
          <w:sz w:val="32"/>
        </w:rPr>
        <w:t>年</w:t>
      </w:r>
      <w:r>
        <w:rPr>
          <w:rFonts w:hint="eastAsia" w:ascii="仿宋_GB2312" w:hAnsi="仿宋_GB2312" w:eastAsia="仿宋_GB2312" w:cs="仿宋_GB2312"/>
          <w:sz w:val="32"/>
          <w:lang w:eastAsia="zh-CN"/>
        </w:rPr>
        <w:t>安排</w:t>
      </w:r>
      <w:r>
        <w:rPr>
          <w:rFonts w:hint="eastAsia" w:ascii="仿宋_GB2312" w:hAnsi="仿宋_GB2312" w:eastAsia="仿宋_GB2312" w:cs="仿宋_GB2312"/>
          <w:sz w:val="32"/>
        </w:rPr>
        <w:t>政府采购预算</w:t>
      </w:r>
      <w:r>
        <w:rPr>
          <w:rFonts w:hint="eastAsia" w:ascii="仿宋" w:hAnsi="仿宋" w:eastAsia="仿宋" w:cs="仿宋"/>
          <w:sz w:val="32"/>
          <w:lang w:val="en-US" w:eastAsia="zh-CN"/>
        </w:rPr>
        <w:t>0</w:t>
      </w:r>
      <w:r>
        <w:rPr>
          <w:rFonts w:hint="eastAsia" w:ascii="仿宋" w:hAnsi="仿宋" w:eastAsia="仿宋" w:cs="仿宋"/>
          <w:sz w:val="32"/>
        </w:rPr>
        <w:t>万元，政府购买服务预算</w:t>
      </w:r>
      <w:r>
        <w:rPr>
          <w:rFonts w:hint="eastAsia" w:ascii="仿宋" w:hAnsi="仿宋" w:eastAsia="仿宋" w:cs="仿宋"/>
          <w:sz w:val="32"/>
          <w:lang w:val="en-US" w:eastAsia="zh-CN"/>
        </w:rPr>
        <w:t>0</w:t>
      </w:r>
      <w:r>
        <w:rPr>
          <w:rFonts w:hint="eastAsia" w:ascii="仿宋" w:hAnsi="仿宋" w:eastAsia="仿宋" w:cs="仿宋"/>
          <w:sz w:val="32"/>
        </w:rPr>
        <w:t>万元。</w:t>
      </w:r>
    </w:p>
    <w:tbl>
      <w:tblPr>
        <w:tblStyle w:val="3"/>
        <w:tblpPr w:leftFromText="180" w:rightFromText="180" w:vertAnchor="text" w:horzAnchor="page" w:tblpX="1579" w:tblpY="647"/>
        <w:tblOverlap w:val="never"/>
        <w:tblW w:w="8877" w:type="dxa"/>
        <w:tblInd w:w="0" w:type="dxa"/>
        <w:tblLayout w:type="autofit"/>
        <w:tblCellMar>
          <w:top w:w="0" w:type="dxa"/>
          <w:left w:w="108" w:type="dxa"/>
          <w:bottom w:w="0" w:type="dxa"/>
          <w:right w:w="108" w:type="dxa"/>
        </w:tblCellMar>
      </w:tblPr>
      <w:tblGrid>
        <w:gridCol w:w="730"/>
        <w:gridCol w:w="1416"/>
        <w:gridCol w:w="2559"/>
        <w:gridCol w:w="2940"/>
        <w:gridCol w:w="1232"/>
      </w:tblGrid>
      <w:tr w14:paraId="46E38BEF">
        <w:tblPrEx>
          <w:tblCellMar>
            <w:top w:w="0" w:type="dxa"/>
            <w:left w:w="108" w:type="dxa"/>
            <w:bottom w:w="0" w:type="dxa"/>
            <w:right w:w="108" w:type="dxa"/>
          </w:tblCellMar>
        </w:tblPrEx>
        <w:trPr>
          <w:trHeight w:val="659"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14:paraId="6EDBB80D">
            <w:pPr>
              <w:keepNext w:val="0"/>
              <w:keepLines w:val="0"/>
              <w:widowControl/>
              <w:suppressLineNumbers w:val="0"/>
              <w:jc w:val="center"/>
              <w:textAlignment w:val="center"/>
              <w:rPr>
                <w:rFonts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支出类型</w:t>
            </w:r>
          </w:p>
        </w:tc>
        <w:tc>
          <w:tcPr>
            <w:tcW w:w="1416" w:type="dxa"/>
            <w:tcBorders>
              <w:top w:val="single" w:color="000000" w:sz="4" w:space="0"/>
              <w:left w:val="single" w:color="000000" w:sz="4" w:space="0"/>
              <w:bottom w:val="nil"/>
              <w:right w:val="single" w:color="000000" w:sz="4" w:space="0"/>
            </w:tcBorders>
            <w:noWrap w:val="0"/>
            <w:vAlign w:val="center"/>
          </w:tcPr>
          <w:p w14:paraId="18422F76">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部门经济分类</w:t>
            </w:r>
          </w:p>
        </w:tc>
        <w:tc>
          <w:tcPr>
            <w:tcW w:w="2559" w:type="dxa"/>
            <w:tcBorders>
              <w:top w:val="single" w:color="000000" w:sz="4" w:space="0"/>
              <w:left w:val="single" w:color="000000" w:sz="4" w:space="0"/>
              <w:bottom w:val="nil"/>
              <w:right w:val="single" w:color="000000" w:sz="4" w:space="0"/>
            </w:tcBorders>
            <w:noWrap w:val="0"/>
            <w:vAlign w:val="center"/>
          </w:tcPr>
          <w:p w14:paraId="4C4CE461">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采购项目</w:t>
            </w:r>
          </w:p>
        </w:tc>
        <w:tc>
          <w:tcPr>
            <w:tcW w:w="2940" w:type="dxa"/>
            <w:tcBorders>
              <w:top w:val="single" w:color="000000" w:sz="4" w:space="0"/>
              <w:left w:val="single" w:color="000000" w:sz="4" w:space="0"/>
              <w:bottom w:val="nil"/>
              <w:right w:val="single" w:color="000000" w:sz="4" w:space="0"/>
            </w:tcBorders>
            <w:noWrap w:val="0"/>
            <w:vAlign w:val="center"/>
          </w:tcPr>
          <w:p w14:paraId="17ECAA4C">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采购型号</w:t>
            </w:r>
          </w:p>
        </w:tc>
        <w:tc>
          <w:tcPr>
            <w:tcW w:w="1232" w:type="dxa"/>
            <w:tcBorders>
              <w:top w:val="single" w:color="000000" w:sz="4" w:space="0"/>
              <w:left w:val="single" w:color="000000" w:sz="4" w:space="0"/>
              <w:bottom w:val="nil"/>
              <w:right w:val="single" w:color="000000" w:sz="4" w:space="0"/>
            </w:tcBorders>
            <w:noWrap w:val="0"/>
            <w:vAlign w:val="center"/>
          </w:tcPr>
          <w:p w14:paraId="2E4A4A7B">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报审金额</w:t>
            </w:r>
          </w:p>
        </w:tc>
      </w:tr>
      <w:tr w14:paraId="726D04EE">
        <w:tblPrEx>
          <w:tblCellMar>
            <w:top w:w="0" w:type="dxa"/>
            <w:left w:w="108" w:type="dxa"/>
            <w:bottom w:w="0" w:type="dxa"/>
            <w:right w:w="108" w:type="dxa"/>
          </w:tblCellMar>
        </w:tblPrEx>
        <w:trPr>
          <w:trHeight w:val="983"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14:paraId="25089E1D">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一、基本支出</w:t>
            </w:r>
          </w:p>
        </w:tc>
        <w:tc>
          <w:tcPr>
            <w:tcW w:w="1416" w:type="dxa"/>
            <w:tcBorders>
              <w:top w:val="single" w:color="000000" w:sz="4" w:space="0"/>
              <w:left w:val="single" w:color="000000" w:sz="4" w:space="0"/>
              <w:bottom w:val="single" w:color="000000" w:sz="4" w:space="0"/>
              <w:right w:val="single" w:color="000000" w:sz="4" w:space="0"/>
            </w:tcBorders>
            <w:noWrap/>
            <w:vAlign w:val="center"/>
          </w:tcPr>
          <w:p w14:paraId="7912C2AE">
            <w:pPr>
              <w:jc w:val="center"/>
              <w:rPr>
                <w:rFonts w:hint="eastAsia" w:ascii="黑体" w:hAnsi="宋体" w:eastAsia="黑体" w:cs="黑体"/>
                <w:i w:val="0"/>
                <w:iCs w:val="0"/>
                <w:color w:val="000000"/>
                <w:sz w:val="24"/>
                <w:szCs w:val="24"/>
                <w:u w:val="none"/>
              </w:rPr>
            </w:pPr>
          </w:p>
        </w:tc>
        <w:tc>
          <w:tcPr>
            <w:tcW w:w="2559" w:type="dxa"/>
            <w:tcBorders>
              <w:top w:val="single" w:color="000000" w:sz="4" w:space="0"/>
              <w:left w:val="single" w:color="000000" w:sz="4" w:space="0"/>
              <w:bottom w:val="single" w:color="000000" w:sz="4" w:space="0"/>
              <w:right w:val="single" w:color="000000" w:sz="4" w:space="0"/>
            </w:tcBorders>
            <w:noWrap w:val="0"/>
            <w:vAlign w:val="center"/>
          </w:tcPr>
          <w:p w14:paraId="4493E89A">
            <w:pPr>
              <w:jc w:val="center"/>
              <w:rPr>
                <w:rFonts w:hint="eastAsia" w:ascii="宋体" w:hAnsi="宋体" w:eastAsia="宋体" w:cs="宋体"/>
                <w:i w:val="0"/>
                <w:iCs w:val="0"/>
                <w:color w:val="000000"/>
                <w:sz w:val="24"/>
                <w:szCs w:val="24"/>
                <w:u w:val="none"/>
              </w:rPr>
            </w:pPr>
          </w:p>
        </w:tc>
        <w:tc>
          <w:tcPr>
            <w:tcW w:w="2940" w:type="dxa"/>
            <w:tcBorders>
              <w:top w:val="single" w:color="000000" w:sz="4" w:space="0"/>
              <w:left w:val="single" w:color="000000" w:sz="4" w:space="0"/>
              <w:bottom w:val="single" w:color="000000" w:sz="4" w:space="0"/>
              <w:right w:val="single" w:color="000000" w:sz="4" w:space="0"/>
            </w:tcBorders>
            <w:noWrap w:val="0"/>
            <w:vAlign w:val="center"/>
          </w:tcPr>
          <w:p w14:paraId="1D56BB21">
            <w:pPr>
              <w:rPr>
                <w:rFonts w:hint="eastAsia" w:ascii="宋体" w:hAnsi="宋体" w:eastAsia="宋体" w:cs="宋体"/>
                <w:i w:val="0"/>
                <w:iCs w:val="0"/>
                <w:color w:val="000000"/>
                <w:sz w:val="24"/>
                <w:szCs w:val="24"/>
                <w:u w:val="none"/>
              </w:rPr>
            </w:pPr>
          </w:p>
        </w:tc>
        <w:tc>
          <w:tcPr>
            <w:tcW w:w="1232" w:type="dxa"/>
            <w:tcBorders>
              <w:top w:val="single" w:color="000000" w:sz="4" w:space="0"/>
              <w:left w:val="single" w:color="000000" w:sz="4" w:space="0"/>
              <w:bottom w:val="single" w:color="000000" w:sz="4" w:space="0"/>
              <w:right w:val="single" w:color="000000" w:sz="4" w:space="0"/>
            </w:tcBorders>
            <w:noWrap w:val="0"/>
            <w:vAlign w:val="center"/>
          </w:tcPr>
          <w:p w14:paraId="7ADDD1CD">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r>
      <w:tr w14:paraId="1B0B090F">
        <w:tblPrEx>
          <w:tblCellMar>
            <w:top w:w="0" w:type="dxa"/>
            <w:left w:w="108" w:type="dxa"/>
            <w:bottom w:w="0" w:type="dxa"/>
            <w:right w:w="108" w:type="dxa"/>
          </w:tblCellMar>
        </w:tblPrEx>
        <w:trPr>
          <w:trHeight w:val="457"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14:paraId="091D8F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416" w:type="dxa"/>
            <w:tcBorders>
              <w:top w:val="single" w:color="000000" w:sz="4" w:space="0"/>
              <w:left w:val="single" w:color="000000" w:sz="4" w:space="0"/>
              <w:bottom w:val="single" w:color="000000" w:sz="4" w:space="0"/>
              <w:right w:val="single" w:color="000000" w:sz="4" w:space="0"/>
            </w:tcBorders>
            <w:noWrap/>
            <w:vAlign w:val="center"/>
          </w:tcPr>
          <w:p w14:paraId="6F394EA5">
            <w:pPr>
              <w:jc w:val="center"/>
              <w:rPr>
                <w:rFonts w:hint="eastAsia" w:ascii="宋体" w:hAnsi="宋体" w:eastAsia="宋体" w:cs="宋体"/>
                <w:i w:val="0"/>
                <w:iCs w:val="0"/>
                <w:color w:val="000000"/>
                <w:sz w:val="24"/>
                <w:szCs w:val="24"/>
                <w:u w:val="none"/>
              </w:rPr>
            </w:pPr>
          </w:p>
        </w:tc>
        <w:tc>
          <w:tcPr>
            <w:tcW w:w="2559" w:type="dxa"/>
            <w:tcBorders>
              <w:top w:val="single" w:color="000000" w:sz="4" w:space="0"/>
              <w:left w:val="single" w:color="000000" w:sz="4" w:space="0"/>
              <w:bottom w:val="single" w:color="000000" w:sz="4" w:space="0"/>
              <w:right w:val="single" w:color="000000" w:sz="4" w:space="0"/>
            </w:tcBorders>
            <w:noWrap w:val="0"/>
            <w:vAlign w:val="center"/>
          </w:tcPr>
          <w:p w14:paraId="3BD1E2C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c>
          <w:tcPr>
            <w:tcW w:w="2940" w:type="dxa"/>
            <w:tcBorders>
              <w:top w:val="single" w:color="000000" w:sz="4" w:space="0"/>
              <w:left w:val="single" w:color="000000" w:sz="4" w:space="0"/>
              <w:bottom w:val="single" w:color="000000" w:sz="4" w:space="0"/>
              <w:right w:val="single" w:color="000000" w:sz="4" w:space="0"/>
            </w:tcBorders>
            <w:noWrap w:val="0"/>
            <w:vAlign w:val="center"/>
          </w:tcPr>
          <w:p w14:paraId="395CA7F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c>
          <w:tcPr>
            <w:tcW w:w="1232" w:type="dxa"/>
            <w:tcBorders>
              <w:top w:val="single" w:color="000000" w:sz="4" w:space="0"/>
              <w:left w:val="single" w:color="000000" w:sz="4" w:space="0"/>
              <w:bottom w:val="single" w:color="000000" w:sz="4" w:space="0"/>
              <w:right w:val="single" w:color="000000" w:sz="4" w:space="0"/>
            </w:tcBorders>
            <w:noWrap w:val="0"/>
            <w:vAlign w:val="center"/>
          </w:tcPr>
          <w:p w14:paraId="3CECBE4F">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r>
      <w:tr w14:paraId="78091E5D">
        <w:tblPrEx>
          <w:tblCellMar>
            <w:top w:w="0" w:type="dxa"/>
            <w:left w:w="108" w:type="dxa"/>
            <w:bottom w:w="0" w:type="dxa"/>
            <w:right w:w="108" w:type="dxa"/>
          </w:tblCellMar>
        </w:tblPrEx>
        <w:trPr>
          <w:trHeight w:val="457"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14:paraId="53DC47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416" w:type="dxa"/>
            <w:tcBorders>
              <w:top w:val="single" w:color="000000" w:sz="4" w:space="0"/>
              <w:left w:val="single" w:color="000000" w:sz="4" w:space="0"/>
              <w:bottom w:val="single" w:color="000000" w:sz="4" w:space="0"/>
              <w:right w:val="single" w:color="000000" w:sz="4" w:space="0"/>
            </w:tcBorders>
            <w:noWrap/>
            <w:vAlign w:val="center"/>
          </w:tcPr>
          <w:p w14:paraId="7620DDD0">
            <w:pPr>
              <w:jc w:val="center"/>
              <w:rPr>
                <w:rFonts w:hint="eastAsia" w:ascii="宋体" w:hAnsi="宋体" w:eastAsia="宋体" w:cs="宋体"/>
                <w:i w:val="0"/>
                <w:iCs w:val="0"/>
                <w:color w:val="000000"/>
                <w:sz w:val="24"/>
                <w:szCs w:val="24"/>
                <w:u w:val="none"/>
              </w:rPr>
            </w:pPr>
          </w:p>
        </w:tc>
        <w:tc>
          <w:tcPr>
            <w:tcW w:w="2559" w:type="dxa"/>
            <w:tcBorders>
              <w:top w:val="single" w:color="000000" w:sz="4" w:space="0"/>
              <w:left w:val="single" w:color="000000" w:sz="4" w:space="0"/>
              <w:bottom w:val="single" w:color="000000" w:sz="4" w:space="0"/>
              <w:right w:val="single" w:color="000000" w:sz="4" w:space="0"/>
            </w:tcBorders>
            <w:noWrap w:val="0"/>
            <w:vAlign w:val="center"/>
          </w:tcPr>
          <w:p w14:paraId="772883AD">
            <w:pPr>
              <w:rPr>
                <w:rFonts w:hint="eastAsia" w:ascii="宋体" w:hAnsi="宋体" w:eastAsia="宋体" w:cs="宋体"/>
                <w:i w:val="0"/>
                <w:iCs w:val="0"/>
                <w:color w:val="000000"/>
                <w:sz w:val="24"/>
                <w:szCs w:val="24"/>
                <w:u w:val="none"/>
              </w:rPr>
            </w:pPr>
          </w:p>
        </w:tc>
        <w:tc>
          <w:tcPr>
            <w:tcW w:w="2940" w:type="dxa"/>
            <w:tcBorders>
              <w:top w:val="single" w:color="000000" w:sz="4" w:space="0"/>
              <w:left w:val="single" w:color="000000" w:sz="4" w:space="0"/>
              <w:bottom w:val="single" w:color="000000" w:sz="4" w:space="0"/>
              <w:right w:val="single" w:color="000000" w:sz="4" w:space="0"/>
            </w:tcBorders>
            <w:noWrap w:val="0"/>
            <w:vAlign w:val="center"/>
          </w:tcPr>
          <w:p w14:paraId="6891D68B">
            <w:pPr>
              <w:rPr>
                <w:rFonts w:hint="eastAsia" w:ascii="宋体" w:hAnsi="宋体" w:eastAsia="宋体" w:cs="宋体"/>
                <w:i w:val="0"/>
                <w:iCs w:val="0"/>
                <w:color w:val="000000"/>
                <w:sz w:val="24"/>
                <w:szCs w:val="24"/>
                <w:u w:val="none"/>
              </w:rPr>
            </w:pPr>
          </w:p>
        </w:tc>
        <w:tc>
          <w:tcPr>
            <w:tcW w:w="1232" w:type="dxa"/>
            <w:tcBorders>
              <w:top w:val="single" w:color="000000" w:sz="4" w:space="0"/>
              <w:left w:val="single" w:color="000000" w:sz="4" w:space="0"/>
              <w:bottom w:val="single" w:color="000000" w:sz="4" w:space="0"/>
              <w:right w:val="single" w:color="000000" w:sz="4" w:space="0"/>
            </w:tcBorders>
            <w:noWrap w:val="0"/>
            <w:vAlign w:val="center"/>
          </w:tcPr>
          <w:p w14:paraId="2550E419">
            <w:pPr>
              <w:rPr>
                <w:rFonts w:hint="eastAsia" w:ascii="宋体" w:hAnsi="宋体" w:eastAsia="宋体" w:cs="宋体"/>
                <w:i w:val="0"/>
                <w:iCs w:val="0"/>
                <w:color w:val="000000"/>
                <w:sz w:val="24"/>
                <w:szCs w:val="24"/>
                <w:u w:val="none"/>
              </w:rPr>
            </w:pPr>
          </w:p>
        </w:tc>
      </w:tr>
      <w:tr w14:paraId="304FE9D5">
        <w:tblPrEx>
          <w:tblCellMar>
            <w:top w:w="0" w:type="dxa"/>
            <w:left w:w="108" w:type="dxa"/>
            <w:bottom w:w="0" w:type="dxa"/>
            <w:right w:w="108" w:type="dxa"/>
          </w:tblCellMar>
        </w:tblPrEx>
        <w:trPr>
          <w:trHeight w:val="457"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14:paraId="13E4D6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416" w:type="dxa"/>
            <w:tcBorders>
              <w:top w:val="single" w:color="000000" w:sz="4" w:space="0"/>
              <w:left w:val="single" w:color="000000" w:sz="4" w:space="0"/>
              <w:bottom w:val="single" w:color="000000" w:sz="4" w:space="0"/>
              <w:right w:val="single" w:color="000000" w:sz="4" w:space="0"/>
            </w:tcBorders>
            <w:noWrap/>
            <w:vAlign w:val="center"/>
          </w:tcPr>
          <w:p w14:paraId="3F6377E6">
            <w:pPr>
              <w:jc w:val="center"/>
              <w:rPr>
                <w:rFonts w:hint="eastAsia" w:ascii="宋体" w:hAnsi="宋体" w:eastAsia="宋体" w:cs="宋体"/>
                <w:i w:val="0"/>
                <w:iCs w:val="0"/>
                <w:color w:val="000000"/>
                <w:sz w:val="24"/>
                <w:szCs w:val="24"/>
                <w:u w:val="none"/>
              </w:rPr>
            </w:pPr>
          </w:p>
        </w:tc>
        <w:tc>
          <w:tcPr>
            <w:tcW w:w="2559" w:type="dxa"/>
            <w:tcBorders>
              <w:top w:val="single" w:color="000000" w:sz="4" w:space="0"/>
              <w:left w:val="single" w:color="000000" w:sz="4" w:space="0"/>
              <w:bottom w:val="single" w:color="000000" w:sz="4" w:space="0"/>
              <w:right w:val="single" w:color="000000" w:sz="4" w:space="0"/>
            </w:tcBorders>
            <w:noWrap w:val="0"/>
            <w:vAlign w:val="center"/>
          </w:tcPr>
          <w:p w14:paraId="44CDF9BF">
            <w:pPr>
              <w:rPr>
                <w:rFonts w:hint="eastAsia" w:ascii="宋体" w:hAnsi="宋体" w:eastAsia="宋体" w:cs="宋体"/>
                <w:i w:val="0"/>
                <w:iCs w:val="0"/>
                <w:color w:val="000000"/>
                <w:sz w:val="24"/>
                <w:szCs w:val="24"/>
                <w:u w:val="none"/>
              </w:rPr>
            </w:pPr>
          </w:p>
        </w:tc>
        <w:tc>
          <w:tcPr>
            <w:tcW w:w="2940" w:type="dxa"/>
            <w:tcBorders>
              <w:top w:val="single" w:color="000000" w:sz="4" w:space="0"/>
              <w:left w:val="single" w:color="000000" w:sz="4" w:space="0"/>
              <w:bottom w:val="single" w:color="000000" w:sz="4" w:space="0"/>
              <w:right w:val="single" w:color="000000" w:sz="4" w:space="0"/>
            </w:tcBorders>
            <w:noWrap w:val="0"/>
            <w:vAlign w:val="center"/>
          </w:tcPr>
          <w:p w14:paraId="033F7C4F">
            <w:pPr>
              <w:rPr>
                <w:rFonts w:hint="eastAsia" w:ascii="宋体" w:hAnsi="宋体" w:eastAsia="宋体" w:cs="宋体"/>
                <w:i w:val="0"/>
                <w:iCs w:val="0"/>
                <w:color w:val="000000"/>
                <w:sz w:val="24"/>
                <w:szCs w:val="24"/>
                <w:u w:val="none"/>
              </w:rPr>
            </w:pPr>
          </w:p>
        </w:tc>
        <w:tc>
          <w:tcPr>
            <w:tcW w:w="1232" w:type="dxa"/>
            <w:tcBorders>
              <w:top w:val="single" w:color="000000" w:sz="4" w:space="0"/>
              <w:left w:val="single" w:color="000000" w:sz="4" w:space="0"/>
              <w:bottom w:val="single" w:color="000000" w:sz="4" w:space="0"/>
              <w:right w:val="single" w:color="000000" w:sz="4" w:space="0"/>
            </w:tcBorders>
            <w:noWrap w:val="0"/>
            <w:vAlign w:val="center"/>
          </w:tcPr>
          <w:p w14:paraId="58A48616">
            <w:pPr>
              <w:rPr>
                <w:rFonts w:hint="eastAsia" w:ascii="宋体" w:hAnsi="宋体" w:eastAsia="宋体" w:cs="宋体"/>
                <w:i w:val="0"/>
                <w:iCs w:val="0"/>
                <w:color w:val="000000"/>
                <w:sz w:val="24"/>
                <w:szCs w:val="24"/>
                <w:u w:val="none"/>
              </w:rPr>
            </w:pPr>
          </w:p>
        </w:tc>
      </w:tr>
      <w:tr w14:paraId="350A1327">
        <w:tblPrEx>
          <w:tblCellMar>
            <w:top w:w="0" w:type="dxa"/>
            <w:left w:w="108" w:type="dxa"/>
            <w:bottom w:w="0" w:type="dxa"/>
            <w:right w:w="108" w:type="dxa"/>
          </w:tblCellMar>
        </w:tblPrEx>
        <w:trPr>
          <w:trHeight w:val="983"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14:paraId="1B281834">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二、项目支出</w:t>
            </w:r>
          </w:p>
        </w:tc>
        <w:tc>
          <w:tcPr>
            <w:tcW w:w="1416" w:type="dxa"/>
            <w:tcBorders>
              <w:top w:val="single" w:color="000000" w:sz="4" w:space="0"/>
              <w:left w:val="single" w:color="000000" w:sz="4" w:space="0"/>
              <w:bottom w:val="single" w:color="000000" w:sz="4" w:space="0"/>
              <w:right w:val="single" w:color="000000" w:sz="4" w:space="0"/>
            </w:tcBorders>
            <w:noWrap/>
            <w:vAlign w:val="center"/>
          </w:tcPr>
          <w:p w14:paraId="64FE7AC2">
            <w:pPr>
              <w:jc w:val="center"/>
              <w:rPr>
                <w:rFonts w:hint="eastAsia" w:ascii="黑体" w:hAnsi="宋体" w:eastAsia="黑体" w:cs="黑体"/>
                <w:i w:val="0"/>
                <w:iCs w:val="0"/>
                <w:color w:val="000000"/>
                <w:sz w:val="24"/>
                <w:szCs w:val="24"/>
                <w:u w:val="none"/>
              </w:rPr>
            </w:pPr>
          </w:p>
        </w:tc>
        <w:tc>
          <w:tcPr>
            <w:tcW w:w="2559" w:type="dxa"/>
            <w:tcBorders>
              <w:top w:val="single" w:color="000000" w:sz="4" w:space="0"/>
              <w:left w:val="single" w:color="000000" w:sz="4" w:space="0"/>
              <w:bottom w:val="single" w:color="000000" w:sz="4" w:space="0"/>
              <w:right w:val="single" w:color="000000" w:sz="4" w:space="0"/>
            </w:tcBorders>
            <w:noWrap w:val="0"/>
            <w:vAlign w:val="center"/>
          </w:tcPr>
          <w:p w14:paraId="43D681D4">
            <w:pPr>
              <w:rPr>
                <w:rFonts w:hint="eastAsia" w:ascii="宋体" w:hAnsi="宋体" w:eastAsia="宋体" w:cs="宋体"/>
                <w:i w:val="0"/>
                <w:iCs w:val="0"/>
                <w:color w:val="000000"/>
                <w:sz w:val="24"/>
                <w:szCs w:val="24"/>
                <w:u w:val="none"/>
              </w:rPr>
            </w:pPr>
          </w:p>
        </w:tc>
        <w:tc>
          <w:tcPr>
            <w:tcW w:w="2940" w:type="dxa"/>
            <w:tcBorders>
              <w:top w:val="single" w:color="000000" w:sz="4" w:space="0"/>
              <w:left w:val="single" w:color="000000" w:sz="4" w:space="0"/>
              <w:bottom w:val="single" w:color="000000" w:sz="4" w:space="0"/>
              <w:right w:val="single" w:color="000000" w:sz="4" w:space="0"/>
            </w:tcBorders>
            <w:noWrap w:val="0"/>
            <w:vAlign w:val="center"/>
          </w:tcPr>
          <w:p w14:paraId="34E06A5D">
            <w:pPr>
              <w:rPr>
                <w:rFonts w:hint="eastAsia" w:ascii="宋体" w:hAnsi="宋体" w:eastAsia="宋体" w:cs="宋体"/>
                <w:i w:val="0"/>
                <w:iCs w:val="0"/>
                <w:color w:val="000000"/>
                <w:sz w:val="24"/>
                <w:szCs w:val="24"/>
                <w:u w:val="none"/>
              </w:rPr>
            </w:pPr>
          </w:p>
        </w:tc>
        <w:tc>
          <w:tcPr>
            <w:tcW w:w="1232" w:type="dxa"/>
            <w:tcBorders>
              <w:top w:val="single" w:color="000000" w:sz="4" w:space="0"/>
              <w:left w:val="single" w:color="000000" w:sz="4" w:space="0"/>
              <w:bottom w:val="single" w:color="000000" w:sz="4" w:space="0"/>
              <w:right w:val="single" w:color="000000" w:sz="4" w:space="0"/>
            </w:tcBorders>
            <w:noWrap w:val="0"/>
            <w:vAlign w:val="center"/>
          </w:tcPr>
          <w:p w14:paraId="08E332B1">
            <w:pPr>
              <w:keepNext w:val="0"/>
              <w:keepLines w:val="0"/>
              <w:widowControl/>
              <w:suppressLineNumbers w:val="0"/>
              <w:jc w:val="right"/>
              <w:textAlignment w:val="center"/>
              <w:rPr>
                <w:rFonts w:hint="default" w:ascii="宋体" w:hAnsi="宋体" w:eastAsia="宋体" w:cs="宋体"/>
                <w:i w:val="0"/>
                <w:iCs w:val="0"/>
                <w:color w:val="000000"/>
                <w:sz w:val="24"/>
                <w:szCs w:val="24"/>
                <w:u w:val="none"/>
                <w:lang w:val="en-US" w:eastAsia="zh-CN"/>
              </w:rPr>
            </w:pPr>
          </w:p>
        </w:tc>
      </w:tr>
      <w:tr w14:paraId="5F3618C6">
        <w:tblPrEx>
          <w:tblCellMar>
            <w:top w:w="0" w:type="dxa"/>
            <w:left w:w="108" w:type="dxa"/>
            <w:bottom w:w="0" w:type="dxa"/>
            <w:right w:w="108" w:type="dxa"/>
          </w:tblCellMar>
        </w:tblPrEx>
        <w:trPr>
          <w:trHeight w:val="457"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14:paraId="2F14D3AA">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w:t>
            </w:r>
          </w:p>
        </w:tc>
        <w:tc>
          <w:tcPr>
            <w:tcW w:w="1416" w:type="dxa"/>
            <w:tcBorders>
              <w:top w:val="single" w:color="000000" w:sz="4" w:space="0"/>
              <w:left w:val="single" w:color="000000" w:sz="4" w:space="0"/>
              <w:bottom w:val="single" w:color="000000" w:sz="4" w:space="0"/>
              <w:right w:val="single" w:color="000000" w:sz="4" w:space="0"/>
            </w:tcBorders>
            <w:noWrap/>
            <w:vAlign w:val="center"/>
          </w:tcPr>
          <w:p w14:paraId="16166002">
            <w:pPr>
              <w:jc w:val="center"/>
              <w:rPr>
                <w:rFonts w:hint="eastAsia" w:ascii="黑体" w:hAnsi="宋体" w:eastAsia="黑体" w:cs="黑体"/>
                <w:i w:val="0"/>
                <w:iCs w:val="0"/>
                <w:color w:val="000000"/>
                <w:sz w:val="24"/>
                <w:szCs w:val="24"/>
                <w:u w:val="none"/>
              </w:rPr>
            </w:pPr>
          </w:p>
        </w:tc>
        <w:tc>
          <w:tcPr>
            <w:tcW w:w="2559" w:type="dxa"/>
            <w:tcBorders>
              <w:top w:val="single" w:color="000000" w:sz="4" w:space="0"/>
              <w:left w:val="single" w:color="000000" w:sz="4" w:space="0"/>
              <w:bottom w:val="single" w:color="000000" w:sz="4" w:space="0"/>
              <w:right w:val="single" w:color="000000" w:sz="4" w:space="0"/>
            </w:tcBorders>
            <w:noWrap w:val="0"/>
            <w:vAlign w:val="center"/>
          </w:tcPr>
          <w:p w14:paraId="0854C5CD">
            <w:pPr>
              <w:keepNext w:val="0"/>
              <w:keepLines w:val="0"/>
              <w:widowControl/>
              <w:suppressLineNumbers w:val="0"/>
              <w:jc w:val="left"/>
              <w:textAlignment w:val="center"/>
              <w:rPr>
                <w:rFonts w:hint="eastAsia" w:ascii="宋体" w:hAnsi="宋体" w:eastAsia="宋体" w:cs="宋体"/>
                <w:i w:val="0"/>
                <w:iCs w:val="0"/>
                <w:color w:val="000000"/>
                <w:sz w:val="24"/>
                <w:szCs w:val="24"/>
                <w:u w:val="none"/>
                <w:lang w:eastAsia="zh-CN"/>
              </w:rPr>
            </w:pPr>
          </w:p>
        </w:tc>
        <w:tc>
          <w:tcPr>
            <w:tcW w:w="2940" w:type="dxa"/>
            <w:tcBorders>
              <w:top w:val="single" w:color="000000" w:sz="4" w:space="0"/>
              <w:left w:val="single" w:color="000000" w:sz="4" w:space="0"/>
              <w:bottom w:val="single" w:color="000000" w:sz="4" w:space="0"/>
              <w:right w:val="single" w:color="000000" w:sz="4" w:space="0"/>
            </w:tcBorders>
            <w:noWrap w:val="0"/>
            <w:vAlign w:val="center"/>
          </w:tcPr>
          <w:p w14:paraId="2F6A566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c>
          <w:tcPr>
            <w:tcW w:w="1232" w:type="dxa"/>
            <w:tcBorders>
              <w:top w:val="single" w:color="000000" w:sz="4" w:space="0"/>
              <w:left w:val="single" w:color="000000" w:sz="4" w:space="0"/>
              <w:bottom w:val="single" w:color="000000" w:sz="4" w:space="0"/>
              <w:right w:val="single" w:color="000000" w:sz="4" w:space="0"/>
            </w:tcBorders>
            <w:noWrap w:val="0"/>
            <w:vAlign w:val="center"/>
          </w:tcPr>
          <w:p w14:paraId="3B832126">
            <w:pPr>
              <w:keepNext w:val="0"/>
              <w:keepLines w:val="0"/>
              <w:widowControl/>
              <w:suppressLineNumbers w:val="0"/>
              <w:jc w:val="right"/>
              <w:textAlignment w:val="center"/>
              <w:rPr>
                <w:rFonts w:hint="default" w:ascii="宋体" w:hAnsi="宋体" w:eastAsia="宋体" w:cs="宋体"/>
                <w:i w:val="0"/>
                <w:iCs w:val="0"/>
                <w:color w:val="000000"/>
                <w:sz w:val="24"/>
                <w:szCs w:val="24"/>
                <w:u w:val="none"/>
                <w:lang w:val="en-US" w:eastAsia="zh-CN"/>
              </w:rPr>
            </w:pPr>
          </w:p>
        </w:tc>
      </w:tr>
      <w:tr w14:paraId="480F020B">
        <w:tblPrEx>
          <w:tblCellMar>
            <w:top w:w="0" w:type="dxa"/>
            <w:left w:w="108" w:type="dxa"/>
            <w:bottom w:w="0" w:type="dxa"/>
            <w:right w:w="108" w:type="dxa"/>
          </w:tblCellMar>
        </w:tblPrEx>
        <w:trPr>
          <w:trHeight w:val="457"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14:paraId="375B38BF">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w:t>
            </w:r>
          </w:p>
        </w:tc>
        <w:tc>
          <w:tcPr>
            <w:tcW w:w="1416" w:type="dxa"/>
            <w:tcBorders>
              <w:top w:val="single" w:color="000000" w:sz="4" w:space="0"/>
              <w:left w:val="single" w:color="000000" w:sz="4" w:space="0"/>
              <w:bottom w:val="single" w:color="000000" w:sz="4" w:space="0"/>
              <w:right w:val="single" w:color="000000" w:sz="4" w:space="0"/>
            </w:tcBorders>
            <w:noWrap/>
            <w:vAlign w:val="center"/>
          </w:tcPr>
          <w:p w14:paraId="55298D50">
            <w:pPr>
              <w:jc w:val="center"/>
              <w:rPr>
                <w:rFonts w:hint="eastAsia" w:ascii="黑体" w:hAnsi="宋体" w:eastAsia="黑体" w:cs="黑体"/>
                <w:i w:val="0"/>
                <w:iCs w:val="0"/>
                <w:color w:val="000000"/>
                <w:sz w:val="24"/>
                <w:szCs w:val="24"/>
                <w:u w:val="none"/>
              </w:rPr>
            </w:pPr>
          </w:p>
        </w:tc>
        <w:tc>
          <w:tcPr>
            <w:tcW w:w="2559" w:type="dxa"/>
            <w:tcBorders>
              <w:top w:val="single" w:color="000000" w:sz="4" w:space="0"/>
              <w:left w:val="single" w:color="000000" w:sz="4" w:space="0"/>
              <w:bottom w:val="single" w:color="000000" w:sz="4" w:space="0"/>
              <w:right w:val="single" w:color="000000" w:sz="4" w:space="0"/>
            </w:tcBorders>
            <w:noWrap w:val="0"/>
            <w:vAlign w:val="center"/>
          </w:tcPr>
          <w:p w14:paraId="40A95BF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c>
          <w:tcPr>
            <w:tcW w:w="2940" w:type="dxa"/>
            <w:tcBorders>
              <w:top w:val="single" w:color="000000" w:sz="4" w:space="0"/>
              <w:left w:val="single" w:color="000000" w:sz="4" w:space="0"/>
              <w:bottom w:val="single" w:color="000000" w:sz="4" w:space="0"/>
              <w:right w:val="single" w:color="000000" w:sz="4" w:space="0"/>
            </w:tcBorders>
            <w:noWrap w:val="0"/>
            <w:vAlign w:val="center"/>
          </w:tcPr>
          <w:p w14:paraId="0D9BA6E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c>
          <w:tcPr>
            <w:tcW w:w="1232" w:type="dxa"/>
            <w:tcBorders>
              <w:top w:val="single" w:color="000000" w:sz="4" w:space="0"/>
              <w:left w:val="single" w:color="000000" w:sz="4" w:space="0"/>
              <w:bottom w:val="single" w:color="000000" w:sz="4" w:space="0"/>
              <w:right w:val="single" w:color="000000" w:sz="4" w:space="0"/>
            </w:tcBorders>
            <w:noWrap w:val="0"/>
            <w:vAlign w:val="center"/>
          </w:tcPr>
          <w:p w14:paraId="15A38DC2">
            <w:pPr>
              <w:keepNext w:val="0"/>
              <w:keepLines w:val="0"/>
              <w:widowControl/>
              <w:suppressLineNumbers w:val="0"/>
              <w:jc w:val="right"/>
              <w:textAlignment w:val="center"/>
              <w:rPr>
                <w:rFonts w:hint="default" w:ascii="宋体" w:hAnsi="宋体" w:eastAsia="宋体" w:cs="宋体"/>
                <w:i w:val="0"/>
                <w:iCs w:val="0"/>
                <w:color w:val="000000"/>
                <w:sz w:val="24"/>
                <w:szCs w:val="24"/>
                <w:u w:val="none"/>
                <w:lang w:val="en-US" w:eastAsia="zh-CN"/>
              </w:rPr>
            </w:pPr>
          </w:p>
        </w:tc>
      </w:tr>
      <w:tr w14:paraId="6D3693D5">
        <w:tblPrEx>
          <w:tblCellMar>
            <w:top w:w="0" w:type="dxa"/>
            <w:left w:w="108" w:type="dxa"/>
            <w:bottom w:w="0" w:type="dxa"/>
            <w:right w:w="108" w:type="dxa"/>
          </w:tblCellMar>
        </w:tblPrEx>
        <w:trPr>
          <w:trHeight w:val="457"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14:paraId="292170B9">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w:t>
            </w:r>
          </w:p>
        </w:tc>
        <w:tc>
          <w:tcPr>
            <w:tcW w:w="1416" w:type="dxa"/>
            <w:tcBorders>
              <w:top w:val="single" w:color="000000" w:sz="4" w:space="0"/>
              <w:left w:val="single" w:color="000000" w:sz="4" w:space="0"/>
              <w:bottom w:val="single" w:color="000000" w:sz="4" w:space="0"/>
              <w:right w:val="single" w:color="000000" w:sz="4" w:space="0"/>
            </w:tcBorders>
            <w:noWrap/>
            <w:vAlign w:val="center"/>
          </w:tcPr>
          <w:p w14:paraId="24D8C277">
            <w:pPr>
              <w:jc w:val="center"/>
              <w:rPr>
                <w:rFonts w:hint="eastAsia" w:ascii="黑体" w:hAnsi="宋体" w:eastAsia="黑体" w:cs="黑体"/>
                <w:i w:val="0"/>
                <w:iCs w:val="0"/>
                <w:color w:val="000000"/>
                <w:sz w:val="24"/>
                <w:szCs w:val="24"/>
                <w:u w:val="none"/>
              </w:rPr>
            </w:pPr>
          </w:p>
        </w:tc>
        <w:tc>
          <w:tcPr>
            <w:tcW w:w="2559" w:type="dxa"/>
            <w:tcBorders>
              <w:top w:val="single" w:color="000000" w:sz="4" w:space="0"/>
              <w:left w:val="single" w:color="000000" w:sz="4" w:space="0"/>
              <w:bottom w:val="single" w:color="000000" w:sz="4" w:space="0"/>
              <w:right w:val="single" w:color="000000" w:sz="4" w:space="0"/>
            </w:tcBorders>
            <w:noWrap w:val="0"/>
            <w:vAlign w:val="center"/>
          </w:tcPr>
          <w:p w14:paraId="5744B45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c>
          <w:tcPr>
            <w:tcW w:w="2940" w:type="dxa"/>
            <w:tcBorders>
              <w:top w:val="single" w:color="000000" w:sz="4" w:space="0"/>
              <w:left w:val="single" w:color="000000" w:sz="4" w:space="0"/>
              <w:bottom w:val="single" w:color="000000" w:sz="4" w:space="0"/>
              <w:right w:val="single" w:color="000000" w:sz="4" w:space="0"/>
            </w:tcBorders>
            <w:noWrap w:val="0"/>
            <w:vAlign w:val="center"/>
          </w:tcPr>
          <w:p w14:paraId="2A4C442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c>
          <w:tcPr>
            <w:tcW w:w="1232" w:type="dxa"/>
            <w:tcBorders>
              <w:top w:val="single" w:color="000000" w:sz="4" w:space="0"/>
              <w:left w:val="single" w:color="000000" w:sz="4" w:space="0"/>
              <w:bottom w:val="single" w:color="000000" w:sz="4" w:space="0"/>
              <w:right w:val="single" w:color="000000" w:sz="4" w:space="0"/>
            </w:tcBorders>
            <w:noWrap w:val="0"/>
            <w:vAlign w:val="center"/>
          </w:tcPr>
          <w:p w14:paraId="1F948FDB">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r>
      <w:tr w14:paraId="7B5833DF">
        <w:tblPrEx>
          <w:tblCellMar>
            <w:top w:w="0" w:type="dxa"/>
            <w:left w:w="108" w:type="dxa"/>
            <w:bottom w:w="0" w:type="dxa"/>
            <w:right w:w="108" w:type="dxa"/>
          </w:tblCellMar>
        </w:tblPrEx>
        <w:trPr>
          <w:trHeight w:val="457"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14:paraId="48AE6058">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w:t>
            </w:r>
          </w:p>
        </w:tc>
        <w:tc>
          <w:tcPr>
            <w:tcW w:w="1416" w:type="dxa"/>
            <w:tcBorders>
              <w:top w:val="single" w:color="000000" w:sz="4" w:space="0"/>
              <w:left w:val="single" w:color="000000" w:sz="4" w:space="0"/>
              <w:bottom w:val="single" w:color="000000" w:sz="4" w:space="0"/>
              <w:right w:val="single" w:color="000000" w:sz="4" w:space="0"/>
            </w:tcBorders>
            <w:noWrap/>
            <w:vAlign w:val="center"/>
          </w:tcPr>
          <w:p w14:paraId="083F52C8">
            <w:pPr>
              <w:jc w:val="center"/>
              <w:rPr>
                <w:rFonts w:hint="eastAsia" w:ascii="黑体" w:hAnsi="宋体" w:eastAsia="黑体" w:cs="黑体"/>
                <w:i w:val="0"/>
                <w:iCs w:val="0"/>
                <w:color w:val="000000"/>
                <w:sz w:val="24"/>
                <w:szCs w:val="24"/>
                <w:u w:val="none"/>
              </w:rPr>
            </w:pPr>
          </w:p>
        </w:tc>
        <w:tc>
          <w:tcPr>
            <w:tcW w:w="2559" w:type="dxa"/>
            <w:tcBorders>
              <w:top w:val="single" w:color="000000" w:sz="4" w:space="0"/>
              <w:left w:val="single" w:color="000000" w:sz="4" w:space="0"/>
              <w:bottom w:val="single" w:color="000000" w:sz="4" w:space="0"/>
              <w:right w:val="single" w:color="000000" w:sz="4" w:space="0"/>
            </w:tcBorders>
            <w:noWrap w:val="0"/>
            <w:vAlign w:val="center"/>
          </w:tcPr>
          <w:p w14:paraId="15199870">
            <w:pPr>
              <w:rPr>
                <w:rFonts w:hint="eastAsia" w:ascii="宋体" w:hAnsi="宋体" w:eastAsia="宋体" w:cs="宋体"/>
                <w:i w:val="0"/>
                <w:iCs w:val="0"/>
                <w:color w:val="000000"/>
                <w:sz w:val="24"/>
                <w:szCs w:val="24"/>
                <w:u w:val="none"/>
              </w:rPr>
            </w:pPr>
          </w:p>
        </w:tc>
        <w:tc>
          <w:tcPr>
            <w:tcW w:w="2940" w:type="dxa"/>
            <w:tcBorders>
              <w:top w:val="single" w:color="000000" w:sz="4" w:space="0"/>
              <w:left w:val="single" w:color="000000" w:sz="4" w:space="0"/>
              <w:bottom w:val="single" w:color="000000" w:sz="4" w:space="0"/>
              <w:right w:val="single" w:color="000000" w:sz="4" w:space="0"/>
            </w:tcBorders>
            <w:noWrap w:val="0"/>
            <w:vAlign w:val="center"/>
          </w:tcPr>
          <w:p w14:paraId="4BB2EFF2">
            <w:pPr>
              <w:rPr>
                <w:rFonts w:hint="eastAsia" w:ascii="宋体" w:hAnsi="宋体" w:eastAsia="宋体" w:cs="宋体"/>
                <w:i w:val="0"/>
                <w:iCs w:val="0"/>
                <w:color w:val="000000"/>
                <w:sz w:val="24"/>
                <w:szCs w:val="24"/>
                <w:u w:val="none"/>
              </w:rPr>
            </w:pPr>
          </w:p>
        </w:tc>
        <w:tc>
          <w:tcPr>
            <w:tcW w:w="1232" w:type="dxa"/>
            <w:tcBorders>
              <w:top w:val="single" w:color="000000" w:sz="4" w:space="0"/>
              <w:left w:val="single" w:color="000000" w:sz="4" w:space="0"/>
              <w:bottom w:val="single" w:color="000000" w:sz="4" w:space="0"/>
              <w:right w:val="single" w:color="000000" w:sz="4" w:space="0"/>
            </w:tcBorders>
            <w:noWrap w:val="0"/>
            <w:vAlign w:val="center"/>
          </w:tcPr>
          <w:p w14:paraId="012E1192">
            <w:pPr>
              <w:rPr>
                <w:rFonts w:hint="eastAsia" w:ascii="宋体" w:hAnsi="宋体" w:eastAsia="宋体" w:cs="宋体"/>
                <w:i w:val="0"/>
                <w:iCs w:val="0"/>
                <w:color w:val="000000"/>
                <w:sz w:val="24"/>
                <w:szCs w:val="24"/>
                <w:u w:val="none"/>
              </w:rPr>
            </w:pPr>
          </w:p>
        </w:tc>
      </w:tr>
      <w:tr w14:paraId="62C4AA23">
        <w:tblPrEx>
          <w:tblCellMar>
            <w:top w:w="0" w:type="dxa"/>
            <w:left w:w="108" w:type="dxa"/>
            <w:bottom w:w="0" w:type="dxa"/>
            <w:right w:w="108" w:type="dxa"/>
          </w:tblCellMar>
        </w:tblPrEx>
        <w:trPr>
          <w:trHeight w:val="492"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14:paraId="5C4D4AE2">
            <w:pPr>
              <w:jc w:val="center"/>
              <w:rPr>
                <w:rFonts w:hint="eastAsia" w:ascii="宋体" w:hAnsi="宋体" w:eastAsia="宋体" w:cs="宋体"/>
                <w:i w:val="0"/>
                <w:iCs w:val="0"/>
                <w:color w:val="000000"/>
                <w:sz w:val="24"/>
                <w:szCs w:val="24"/>
                <w:u w:val="none"/>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14:paraId="72DD8E0B">
            <w:pPr>
              <w:jc w:val="center"/>
              <w:rPr>
                <w:rFonts w:hint="eastAsia" w:ascii="宋体" w:hAnsi="宋体" w:eastAsia="宋体" w:cs="宋体"/>
                <w:i w:val="0"/>
                <w:iCs w:val="0"/>
                <w:color w:val="000000"/>
                <w:sz w:val="24"/>
                <w:szCs w:val="24"/>
                <w:u w:val="none"/>
              </w:rPr>
            </w:pPr>
          </w:p>
        </w:tc>
        <w:tc>
          <w:tcPr>
            <w:tcW w:w="2559" w:type="dxa"/>
            <w:tcBorders>
              <w:top w:val="single" w:color="000000" w:sz="4" w:space="0"/>
              <w:left w:val="single" w:color="000000" w:sz="4" w:space="0"/>
              <w:bottom w:val="single" w:color="000000" w:sz="4" w:space="0"/>
              <w:right w:val="single" w:color="000000" w:sz="4" w:space="0"/>
            </w:tcBorders>
            <w:noWrap w:val="0"/>
            <w:vAlign w:val="center"/>
          </w:tcPr>
          <w:p w14:paraId="0AA2FE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合计</w:t>
            </w:r>
          </w:p>
        </w:tc>
        <w:tc>
          <w:tcPr>
            <w:tcW w:w="2940" w:type="dxa"/>
            <w:tcBorders>
              <w:top w:val="single" w:color="000000" w:sz="4" w:space="0"/>
              <w:left w:val="single" w:color="000000" w:sz="4" w:space="0"/>
              <w:bottom w:val="single" w:color="000000" w:sz="4" w:space="0"/>
              <w:right w:val="single" w:color="000000" w:sz="4" w:space="0"/>
            </w:tcBorders>
            <w:noWrap w:val="0"/>
            <w:vAlign w:val="center"/>
          </w:tcPr>
          <w:p w14:paraId="2C584A45">
            <w:pPr>
              <w:rPr>
                <w:rFonts w:hint="eastAsia" w:ascii="宋体" w:hAnsi="宋体" w:eastAsia="宋体" w:cs="宋体"/>
                <w:i w:val="0"/>
                <w:iCs w:val="0"/>
                <w:color w:val="000000"/>
                <w:sz w:val="24"/>
                <w:szCs w:val="24"/>
                <w:u w:val="none"/>
              </w:rPr>
            </w:pPr>
          </w:p>
        </w:tc>
        <w:tc>
          <w:tcPr>
            <w:tcW w:w="1232" w:type="dxa"/>
            <w:tcBorders>
              <w:top w:val="single" w:color="000000" w:sz="4" w:space="0"/>
              <w:left w:val="single" w:color="000000" w:sz="4" w:space="0"/>
              <w:bottom w:val="single" w:color="000000" w:sz="4" w:space="0"/>
              <w:right w:val="single" w:color="000000" w:sz="4" w:space="0"/>
            </w:tcBorders>
            <w:noWrap w:val="0"/>
            <w:vAlign w:val="center"/>
          </w:tcPr>
          <w:p w14:paraId="399C963F">
            <w:pPr>
              <w:keepNext w:val="0"/>
              <w:keepLines w:val="0"/>
              <w:widowControl/>
              <w:suppressLineNumbers w:val="0"/>
              <w:jc w:val="right"/>
              <w:textAlignment w:val="center"/>
              <w:rPr>
                <w:rFonts w:hint="default" w:ascii="宋体" w:hAnsi="宋体" w:eastAsia="宋体" w:cs="宋体"/>
                <w:i w:val="0"/>
                <w:iCs w:val="0"/>
                <w:color w:val="000000"/>
                <w:sz w:val="24"/>
                <w:szCs w:val="24"/>
                <w:u w:val="none"/>
                <w:lang w:val="en-US"/>
              </w:rPr>
            </w:pPr>
          </w:p>
        </w:tc>
      </w:tr>
    </w:tbl>
    <w:p w14:paraId="4478DFE7">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sz w:val="32"/>
          <w:lang w:eastAsia="zh-CN"/>
        </w:rPr>
      </w:pPr>
    </w:p>
    <w:p w14:paraId="4F60434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黑体" w:hAnsi="黑体" w:eastAsia="黑体"/>
          <w:sz w:val="32"/>
          <w:szCs w:val="32"/>
        </w:rPr>
      </w:pPr>
      <w:r>
        <w:rPr>
          <w:rFonts w:hint="eastAsia" w:ascii="黑体" w:hAnsi="黑体" w:eastAsia="黑体"/>
          <w:sz w:val="32"/>
          <w:szCs w:val="32"/>
        </w:rPr>
        <w:t>五、国有资产占用情况说明</w:t>
      </w:r>
    </w:p>
    <w:p w14:paraId="1A3D39A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rPr>
      </w:pPr>
      <w:r>
        <w:rPr>
          <w:rFonts w:hint="eastAsia" w:ascii="仿宋_GB2312" w:hAnsi="仿宋_GB2312" w:eastAsia="仿宋_GB2312" w:cs="仿宋_GB2312"/>
          <w:sz w:val="32"/>
        </w:rPr>
        <w:t>截至20</w:t>
      </w:r>
      <w:r>
        <w:rPr>
          <w:rFonts w:hint="eastAsia" w:ascii="仿宋_GB2312" w:hAnsi="仿宋_GB2312" w:eastAsia="仿宋_GB2312" w:cs="仿宋_GB2312"/>
          <w:sz w:val="32"/>
          <w:lang w:val="en-US" w:eastAsia="zh-CN"/>
        </w:rPr>
        <w:t>24</w:t>
      </w:r>
      <w:r>
        <w:rPr>
          <w:rFonts w:hint="eastAsia" w:ascii="仿宋_GB2312" w:hAnsi="仿宋_GB2312" w:eastAsia="仿宋_GB2312" w:cs="仿宋_GB2312"/>
          <w:sz w:val="32"/>
        </w:rPr>
        <w:t>年12月31日，盘锦市</w:t>
      </w:r>
      <w:r>
        <w:rPr>
          <w:rFonts w:hint="eastAsia" w:ascii="仿宋_GB2312" w:hAnsi="仿宋_GB2312" w:eastAsia="仿宋_GB2312" w:cs="仿宋_GB2312"/>
          <w:sz w:val="32"/>
          <w:lang w:val="en-US" w:eastAsia="zh-CN"/>
        </w:rPr>
        <w:t>兴隆台区司法局</w:t>
      </w:r>
      <w:r>
        <w:rPr>
          <w:rFonts w:hint="eastAsia" w:ascii="仿宋_GB2312" w:hAnsi="仿宋_GB2312" w:eastAsia="仿宋_GB2312" w:cs="仿宋_GB2312"/>
          <w:sz w:val="32"/>
        </w:rPr>
        <w:t>部门资产总额</w:t>
      </w:r>
      <w:r>
        <w:rPr>
          <w:rFonts w:hint="eastAsia" w:ascii="仿宋_GB2312" w:hAnsi="仿宋_GB2312" w:eastAsia="仿宋_GB2312" w:cs="仿宋_GB2312"/>
          <w:sz w:val="32"/>
          <w:lang w:val="en-US" w:eastAsia="zh-CN"/>
        </w:rPr>
        <w:t>1004030.02</w:t>
      </w:r>
      <w:r>
        <w:rPr>
          <w:rFonts w:hint="eastAsia" w:ascii="仿宋_GB2312" w:hAnsi="仿宋_GB2312" w:eastAsia="仿宋_GB2312" w:cs="仿宋_GB2312"/>
          <w:sz w:val="32"/>
        </w:rPr>
        <w:t>元，其中，流动资产</w:t>
      </w:r>
      <w:r>
        <w:rPr>
          <w:rFonts w:hint="eastAsia" w:ascii="仿宋_GB2312" w:hAnsi="仿宋_GB2312" w:eastAsia="仿宋_GB2312" w:cs="仿宋_GB2312"/>
          <w:sz w:val="32"/>
          <w:lang w:val="en-US" w:eastAsia="zh-CN"/>
        </w:rPr>
        <w:t>94162</w:t>
      </w:r>
      <w:r>
        <w:rPr>
          <w:rFonts w:hint="eastAsia" w:ascii="仿宋_GB2312" w:hAnsi="仿宋_GB2312" w:eastAsia="仿宋_GB2312" w:cs="仿宋_GB2312"/>
          <w:sz w:val="32"/>
        </w:rPr>
        <w:t>元，固定资产</w:t>
      </w:r>
      <w:r>
        <w:rPr>
          <w:rFonts w:hint="eastAsia" w:ascii="仿宋_GB2312" w:hAnsi="仿宋_GB2312" w:eastAsia="仿宋_GB2312" w:cs="仿宋_GB2312"/>
          <w:sz w:val="32"/>
          <w:lang w:val="en-US" w:eastAsia="zh-CN"/>
        </w:rPr>
        <w:t>909868.02</w:t>
      </w:r>
      <w:r>
        <w:rPr>
          <w:rFonts w:hint="eastAsia" w:ascii="仿宋_GB2312" w:hAnsi="仿宋_GB2312" w:eastAsia="仿宋_GB2312" w:cs="仿宋_GB2312"/>
          <w:sz w:val="32"/>
        </w:rPr>
        <w:t>元。</w:t>
      </w:r>
    </w:p>
    <w:p w14:paraId="7A016CD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黑体" w:hAnsi="黑体" w:eastAsia="黑体" w:cs="黑体"/>
          <w:sz w:val="32"/>
        </w:rPr>
      </w:pPr>
      <w:r>
        <w:rPr>
          <w:rFonts w:hint="eastAsia" w:ascii="黑体" w:hAnsi="黑体" w:eastAsia="黑体" w:cs="黑体"/>
          <w:sz w:val="32"/>
        </w:rPr>
        <w:t>六、项目预算绩效目标情况</w:t>
      </w:r>
      <w:bookmarkStart w:id="0" w:name="_GoBack"/>
      <w:bookmarkEnd w:id="0"/>
      <w:r>
        <w:rPr>
          <w:rFonts w:hint="eastAsia" w:ascii="黑体" w:hAnsi="黑体" w:eastAsia="黑体" w:cs="黑体"/>
          <w:sz w:val="32"/>
        </w:rPr>
        <w:t>说明</w:t>
      </w:r>
    </w:p>
    <w:p w14:paraId="3F97D99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rPr>
      </w:pPr>
      <w:r>
        <w:rPr>
          <w:rFonts w:hint="eastAsia" w:ascii="仿宋_GB2312" w:hAnsi="仿宋_GB2312" w:eastAsia="仿宋_GB2312" w:cs="仿宋_GB2312"/>
          <w:sz w:val="32"/>
        </w:rPr>
        <w:t>根据预算绩效管理要求，盘锦</w:t>
      </w:r>
      <w:r>
        <w:rPr>
          <w:rFonts w:hint="eastAsia" w:ascii="仿宋_GB2312" w:hAnsi="仿宋_GB2312" w:eastAsia="仿宋_GB2312" w:cs="仿宋_GB2312"/>
          <w:sz w:val="32"/>
          <w:lang w:val="en-US" w:eastAsia="zh-CN"/>
        </w:rPr>
        <w:t>兴隆台区司法</w:t>
      </w:r>
      <w:r>
        <w:rPr>
          <w:rFonts w:hint="eastAsia" w:ascii="仿宋_GB2312" w:hAnsi="仿宋_GB2312" w:eastAsia="仿宋_GB2312" w:cs="仿宋_GB2312"/>
          <w:sz w:val="32"/>
        </w:rPr>
        <w:t>局</w:t>
      </w:r>
      <w:r>
        <w:rPr>
          <w:rFonts w:hint="eastAsia" w:ascii="仿宋_GB2312" w:hAnsi="仿宋_GB2312" w:eastAsia="仿宋_GB2312" w:cs="仿宋_GB2312"/>
          <w:sz w:val="32"/>
          <w:lang w:eastAsia="zh-CN"/>
        </w:rPr>
        <w:t>2025</w:t>
      </w:r>
      <w:r>
        <w:rPr>
          <w:rFonts w:hint="eastAsia" w:ascii="仿宋_GB2312" w:hAnsi="仿宋_GB2312" w:eastAsia="仿宋_GB2312" w:cs="仿宋_GB2312"/>
          <w:sz w:val="32"/>
        </w:rPr>
        <w:t>年应编制绩效目标共</w:t>
      </w:r>
      <w:r>
        <w:rPr>
          <w:rFonts w:hint="eastAsia" w:ascii="仿宋_GB2312" w:hAnsi="仿宋_GB2312" w:eastAsia="仿宋_GB2312" w:cs="仿宋_GB2312"/>
          <w:sz w:val="32"/>
          <w:lang w:val="en-US" w:eastAsia="zh-CN"/>
        </w:rPr>
        <w:t>1</w:t>
      </w:r>
      <w:r>
        <w:rPr>
          <w:rFonts w:hint="eastAsia" w:ascii="仿宋_GB2312" w:hAnsi="仿宋_GB2312" w:eastAsia="仿宋_GB2312" w:cs="仿宋_GB2312"/>
          <w:sz w:val="32"/>
        </w:rPr>
        <w:t>个，实际编制绩效目标共</w:t>
      </w:r>
      <w:r>
        <w:rPr>
          <w:rFonts w:hint="eastAsia" w:ascii="仿宋_GB2312" w:hAnsi="仿宋_GB2312" w:eastAsia="仿宋_GB2312" w:cs="仿宋_GB2312"/>
          <w:sz w:val="32"/>
          <w:lang w:val="en-US" w:eastAsia="zh-CN"/>
        </w:rPr>
        <w:t>1</w:t>
      </w:r>
      <w:r>
        <w:rPr>
          <w:rFonts w:hint="eastAsia" w:ascii="仿宋_GB2312" w:hAnsi="仿宋_GB2312" w:eastAsia="仿宋_GB2312" w:cs="仿宋_GB2312"/>
          <w:sz w:val="32"/>
        </w:rPr>
        <w:t>个，编制绩效目标覆盖率（实际编制绩效目标/应编制绩效目标）为100%。</w:t>
      </w:r>
    </w:p>
    <w:p w14:paraId="57EA5BE7">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仿宋_GB2312" w:hAnsi="仿宋_GB2312" w:eastAsia="仿宋_GB2312" w:cs="仿宋_GB2312"/>
          <w:sz w:val="32"/>
          <w:szCs w:val="32"/>
        </w:rPr>
      </w:pPr>
    </w:p>
    <w:p w14:paraId="61E64A6F">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宋体" w:hAnsi="宋体"/>
          <w:b/>
          <w:sz w:val="44"/>
          <w:szCs w:val="44"/>
        </w:rPr>
      </w:pPr>
      <w:r>
        <w:rPr>
          <w:rFonts w:hint="eastAsia" w:ascii="方正小标宋_GBK" w:hAnsi="方正小标宋_GBK" w:eastAsia="方正小标宋_GBK" w:cs="方正小标宋_GBK"/>
          <w:b w:val="0"/>
          <w:bCs/>
          <w:sz w:val="44"/>
          <w:szCs w:val="44"/>
        </w:rPr>
        <w:t>第四部分 名词解释</w:t>
      </w:r>
    </w:p>
    <w:p w14:paraId="0D02CDF5">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黑体" w:eastAsia="黑体"/>
          <w:sz w:val="36"/>
          <w:szCs w:val="36"/>
        </w:rPr>
      </w:pPr>
    </w:p>
    <w:p w14:paraId="6A7F1D2C">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b w:val="0"/>
          <w:bCs/>
          <w:sz w:val="32"/>
          <w:szCs w:val="32"/>
        </w:rPr>
      </w:pPr>
      <w:r>
        <w:rPr>
          <w:rFonts w:hint="eastAsia" w:ascii="仿宋" w:hAnsi="仿宋" w:eastAsia="仿宋"/>
          <w:b w:val="0"/>
          <w:bCs/>
          <w:sz w:val="32"/>
          <w:szCs w:val="32"/>
        </w:rPr>
        <w:t>　</w:t>
      </w:r>
      <w:r>
        <w:rPr>
          <w:rFonts w:hint="eastAsia" w:ascii="仿宋_GB2312" w:hAnsi="仿宋_GB2312" w:eastAsia="仿宋_GB2312" w:cs="仿宋_GB2312"/>
          <w:b w:val="0"/>
          <w:bCs/>
          <w:sz w:val="32"/>
          <w:szCs w:val="32"/>
        </w:rPr>
        <w:t>　1.财政拨款收入：指</w:t>
      </w:r>
      <w:r>
        <w:rPr>
          <w:rFonts w:hint="eastAsia" w:ascii="仿宋_GB2312" w:hAnsi="仿宋_GB2312" w:eastAsia="仿宋_GB2312" w:cs="仿宋_GB2312"/>
          <w:b w:val="0"/>
          <w:bCs/>
          <w:sz w:val="32"/>
          <w:szCs w:val="32"/>
          <w:lang w:eastAsia="zh-CN"/>
        </w:rPr>
        <w:t>市</w:t>
      </w:r>
      <w:r>
        <w:rPr>
          <w:rFonts w:hint="eastAsia" w:ascii="仿宋_GB2312" w:hAnsi="仿宋_GB2312" w:eastAsia="仿宋_GB2312" w:cs="仿宋_GB2312"/>
          <w:b w:val="0"/>
          <w:bCs/>
          <w:sz w:val="32"/>
          <w:szCs w:val="32"/>
        </w:rPr>
        <w:t>级财政当年拨付的资金。</w:t>
      </w:r>
    </w:p>
    <w:p w14:paraId="4F859D94">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2.基本支出：指保障机构正常运转、完成日常工作任务而发生的人员支出和公用支出。</w:t>
      </w:r>
    </w:p>
    <w:p w14:paraId="4DFAEF1C">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3.项目支出：指在基本支出之外为完成特定行政任务和事业发展目标所发生的支出。</w:t>
      </w:r>
    </w:p>
    <w:p w14:paraId="2F00560E">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4.机关运行经费：是指各部门的公用经费，包括办公及印刷费、邮电费、差旅费、会议费、福利费、日常维护费、专用材料及一般设备购置费、办公用房水电费、办公用房取暖费、办公用房物业管理费、办公用车运行维护费以及其他费用。</w:t>
      </w:r>
    </w:p>
    <w:p w14:paraId="2AB708D7">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5.行政事业性收费收入：指依据法律、行政法规、国务院有关规定、国务院财政部门会同价格主管部门共同发布的规章或者规定，省、自治区、直辖市人民政府财政部门会同价格主管部门共同发布的规定所收取的各项收费收入。</w:t>
      </w:r>
    </w:p>
    <w:p w14:paraId="1FA7CEF1">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6.政府性基金收入：反映各级政府及其所属部门根据法律、行政法规规定并经国务院或财政部批准，向公民、法人和其他组织征收的政府性基金，以及参照政府性基金管理或纳入基金预算、具有特定用途的财政资金。</w:t>
      </w:r>
    </w:p>
    <w:p w14:paraId="4FE153AB">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7.其他收入：指除上述“财政拨款收入”、“行政事业性收费收入”、“政府性基金收入”以外的收入。</w:t>
      </w:r>
    </w:p>
    <w:p w14:paraId="5DAFDFC6">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8.“三公”经费：指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14:paraId="3403BB3D">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9.社会保障和就业（类）行政事业单位离退休（款）归口管理的行政单位离退休（项）：反映实行归口管理的行政单位（包括实行公务员管理的事业单位）开支的离退休经费。</w:t>
      </w:r>
    </w:p>
    <w:p w14:paraId="564C8EC3">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1</w:t>
      </w:r>
      <w:r>
        <w:rPr>
          <w:rFonts w:hint="eastAsia" w:ascii="仿宋_GB2312" w:hAnsi="仿宋_GB2312" w:eastAsia="仿宋_GB2312" w:cs="仿宋_GB2312"/>
          <w:b w:val="0"/>
          <w:bCs/>
          <w:sz w:val="32"/>
          <w:szCs w:val="32"/>
          <w:lang w:val="en-US" w:eastAsia="zh-CN"/>
        </w:rPr>
        <w:t>0</w:t>
      </w:r>
      <w:r>
        <w:rPr>
          <w:rFonts w:hint="eastAsia" w:ascii="仿宋_GB2312" w:hAnsi="仿宋_GB2312" w:eastAsia="仿宋_GB2312" w:cs="仿宋_GB2312"/>
          <w:b w:val="0"/>
          <w:bCs/>
          <w:sz w:val="32"/>
          <w:szCs w:val="32"/>
        </w:rPr>
        <w:t>.社会保障和就业（类）行政事业单位离退休（款）事业单位离退休（项）：反映实行归口管理的事业单位开支的离退休经费。</w:t>
      </w:r>
    </w:p>
    <w:p w14:paraId="38D30ECF">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1</w:t>
      </w:r>
      <w:r>
        <w:rPr>
          <w:rFonts w:hint="eastAsia" w:ascii="仿宋_GB2312" w:hAnsi="仿宋_GB2312" w:eastAsia="仿宋_GB2312" w:cs="仿宋_GB2312"/>
          <w:b w:val="0"/>
          <w:bCs/>
          <w:sz w:val="32"/>
          <w:szCs w:val="32"/>
          <w:lang w:val="en-US" w:eastAsia="zh-CN"/>
        </w:rPr>
        <w:t>1</w:t>
      </w:r>
      <w:r>
        <w:rPr>
          <w:rFonts w:hint="eastAsia" w:ascii="仿宋_GB2312" w:hAnsi="仿宋_GB2312" w:eastAsia="仿宋_GB2312" w:cs="仿宋_GB2312"/>
          <w:b w:val="0"/>
          <w:bCs/>
          <w:sz w:val="32"/>
          <w:szCs w:val="32"/>
        </w:rPr>
        <w:t>.卫生健康类（类）行政事业单位医疗（款）行政单位医疗（项）：反映财政部门安排的行政单位（包括实行公务员管理的事业单位，下同）基本医疗保险缴费经费，未参加医疗保险的行政单位的公费医疗经费，按国家规定享受离休人员、红军老战士待遇人员的医疗经费。</w:t>
      </w:r>
    </w:p>
    <w:p w14:paraId="34B1ABA4">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1</w:t>
      </w:r>
      <w:r>
        <w:rPr>
          <w:rFonts w:hint="eastAsia" w:ascii="仿宋_GB2312" w:hAnsi="仿宋_GB2312" w:eastAsia="仿宋_GB2312" w:cs="仿宋_GB2312"/>
          <w:b w:val="0"/>
          <w:bCs/>
          <w:sz w:val="32"/>
          <w:szCs w:val="32"/>
          <w:lang w:val="en-US" w:eastAsia="zh-CN"/>
        </w:rPr>
        <w:t>2</w:t>
      </w:r>
      <w:r>
        <w:rPr>
          <w:rFonts w:hint="eastAsia" w:ascii="仿宋_GB2312" w:hAnsi="仿宋_GB2312" w:eastAsia="仿宋_GB2312" w:cs="仿宋_GB2312"/>
          <w:b w:val="0"/>
          <w:bCs/>
          <w:sz w:val="32"/>
          <w:szCs w:val="32"/>
        </w:rPr>
        <w:t>.卫生健康类（类）行政事业单位医疗（款）事业单位医疗（项）：反映财政部门安排的事业单位基本医疗保险缴费经费，未参加医疗保险的事业单位的公费医疗经费，按国家规定享受离休人员待遇人员的医疗经费。</w:t>
      </w:r>
    </w:p>
    <w:p w14:paraId="550B6C87">
      <w:pPr>
        <w:keepNext w:val="0"/>
        <w:keepLines w:val="0"/>
        <w:pageBreakBefore w:val="0"/>
        <w:widowControl w:val="0"/>
        <w:kinsoku/>
        <w:wordWrap/>
        <w:overflowPunct/>
        <w:topLinePunct w:val="0"/>
        <w:autoSpaceDE/>
        <w:autoSpaceDN/>
        <w:bidi w:val="0"/>
        <w:adjustRightInd/>
        <w:snapToGrid/>
        <w:spacing w:line="600" w:lineRule="exact"/>
        <w:ind w:firstLine="64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1</w:t>
      </w:r>
      <w:r>
        <w:rPr>
          <w:rFonts w:hint="eastAsia" w:ascii="仿宋_GB2312" w:hAnsi="仿宋_GB2312" w:eastAsia="仿宋_GB2312" w:cs="仿宋_GB2312"/>
          <w:b w:val="0"/>
          <w:bCs/>
          <w:sz w:val="32"/>
          <w:szCs w:val="32"/>
          <w:lang w:val="en-US" w:eastAsia="zh-CN"/>
        </w:rPr>
        <w:t>3</w:t>
      </w:r>
      <w:r>
        <w:rPr>
          <w:rFonts w:hint="eastAsia" w:ascii="仿宋_GB2312" w:hAnsi="仿宋_GB2312" w:eastAsia="仿宋_GB2312" w:cs="仿宋_GB2312"/>
          <w:b w:val="0"/>
          <w:bCs/>
          <w:sz w:val="32"/>
          <w:szCs w:val="32"/>
        </w:rPr>
        <w:t>.住房保障（类）住房改革（款）住房公积金（项）：反映行政事业单位按人力资源和社会保障部、财政部规定的基本工资和津贴补贴以及规定比例为职工缴纳的住房公积金。</w:t>
      </w:r>
    </w:p>
    <w:p w14:paraId="582E885B">
      <w:pPr>
        <w:keepNext w:val="0"/>
        <w:keepLines w:val="0"/>
        <w:pageBreakBefore w:val="0"/>
        <w:widowControl w:val="0"/>
        <w:kinsoku/>
        <w:wordWrap/>
        <w:overflowPunct/>
        <w:topLinePunct w:val="0"/>
        <w:autoSpaceDE/>
        <w:autoSpaceDN/>
        <w:bidi w:val="0"/>
        <w:adjustRightInd/>
        <w:snapToGrid/>
        <w:spacing w:line="600" w:lineRule="exact"/>
        <w:ind w:firstLine="640"/>
        <w:textAlignment w:val="auto"/>
        <w:outlineLvl w:val="9"/>
        <w:rPr>
          <w:rFonts w:hint="eastAsia" w:ascii="仿宋_GB2312" w:hAnsi="仿宋_GB2312" w:eastAsia="仿宋_GB2312" w:cs="仿宋_GB2312"/>
          <w:b w:val="0"/>
          <w:bCs/>
          <w:sz w:val="32"/>
          <w:szCs w:val="32"/>
        </w:rPr>
      </w:pPr>
    </w:p>
    <w:p w14:paraId="3CAC9A6A"/>
    <w:p w14:paraId="61BAF407"/>
    <w:p w14:paraId="64C92F18"/>
    <w:p w14:paraId="106E554A"/>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D76381">
    <w:pPr>
      <w:pStyle w:val="2"/>
      <w:framePr w:wrap="around" w:vAnchor="text" w:hAnchor="margin" w:xAlign="center" w:y="1"/>
      <w:rPr>
        <w:rStyle w:val="5"/>
      </w:rPr>
    </w:pPr>
    <w:r>
      <w:fldChar w:fldCharType="begin"/>
    </w:r>
    <w:r>
      <w:rPr>
        <w:rStyle w:val="5"/>
      </w:rPr>
      <w:instrText xml:space="preserve">PAGE  </w:instrText>
    </w:r>
    <w:r>
      <w:fldChar w:fldCharType="separate"/>
    </w:r>
    <w:r>
      <w:rPr>
        <w:rStyle w:val="5"/>
      </w:rPr>
      <w:t>9</w:t>
    </w:r>
    <w:r>
      <w:fldChar w:fldCharType="end"/>
    </w:r>
  </w:p>
  <w:p w14:paraId="461DC56E">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B50C7D">
    <w:pPr>
      <w:pStyle w:val="2"/>
      <w:framePr w:wrap="around" w:vAnchor="text" w:hAnchor="margin" w:xAlign="center" w:y="1"/>
      <w:rPr>
        <w:rStyle w:val="5"/>
      </w:rPr>
    </w:pPr>
    <w:r>
      <w:fldChar w:fldCharType="begin"/>
    </w:r>
    <w:r>
      <w:rPr>
        <w:rStyle w:val="5"/>
      </w:rPr>
      <w:instrText xml:space="preserve">PAGE  </w:instrText>
    </w:r>
    <w:r>
      <w:fldChar w:fldCharType="end"/>
    </w:r>
  </w:p>
  <w:p w14:paraId="401FC767">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F1A0A8"/>
    <w:multiLevelType w:val="singleLevel"/>
    <w:tmpl w:val="88F1A0A8"/>
    <w:lvl w:ilvl="0" w:tentative="0">
      <w:start w:val="2"/>
      <w:numFmt w:val="chineseCounting"/>
      <w:suff w:val="nothing"/>
      <w:lvlText w:val="%1、"/>
      <w:lvlJc w:val="left"/>
      <w:rPr>
        <w:rFonts w:hint="eastAsia"/>
      </w:rPr>
    </w:lvl>
  </w:abstractNum>
  <w:abstractNum w:abstractNumId="1">
    <w:nsid w:val="0926DA53"/>
    <w:multiLevelType w:val="singleLevel"/>
    <w:tmpl w:val="0926DA53"/>
    <w:lvl w:ilvl="0" w:tentative="0">
      <w:start w:val="1"/>
      <w:numFmt w:val="chineseCounting"/>
      <w:suff w:val="nothing"/>
      <w:lvlText w:val="（%1）"/>
      <w:lvlJc w:val="left"/>
      <w:rPr>
        <w:rFonts w:hint="eastAsia"/>
      </w:rPr>
    </w:lvl>
  </w:abstractNum>
  <w:abstractNum w:abstractNumId="2">
    <w:nsid w:val="5D611DEB"/>
    <w:multiLevelType w:val="multilevel"/>
    <w:tmpl w:val="5D611DEB"/>
    <w:lvl w:ilvl="0" w:tentative="0">
      <w:start w:val="1"/>
      <w:numFmt w:val="japaneseCounting"/>
      <w:lvlText w:val="%1、"/>
      <w:lvlJc w:val="left"/>
      <w:pPr>
        <w:ind w:left="1460" w:hanging="720"/>
      </w:pPr>
      <w:rPr>
        <w:rFonts w:hint="default"/>
      </w:rPr>
    </w:lvl>
    <w:lvl w:ilvl="1" w:tentative="0">
      <w:start w:val="1"/>
      <w:numFmt w:val="lowerLetter"/>
      <w:lvlText w:val="%2)"/>
      <w:lvlJc w:val="left"/>
      <w:pPr>
        <w:ind w:left="1580" w:hanging="420"/>
      </w:pPr>
    </w:lvl>
    <w:lvl w:ilvl="2" w:tentative="0">
      <w:start w:val="1"/>
      <w:numFmt w:val="lowerRoman"/>
      <w:lvlText w:val="%3."/>
      <w:lvlJc w:val="right"/>
      <w:pPr>
        <w:ind w:left="2000" w:hanging="420"/>
      </w:pPr>
    </w:lvl>
    <w:lvl w:ilvl="3" w:tentative="0">
      <w:start w:val="1"/>
      <w:numFmt w:val="decimal"/>
      <w:lvlText w:val="%4."/>
      <w:lvlJc w:val="left"/>
      <w:pPr>
        <w:ind w:left="2420" w:hanging="420"/>
      </w:pPr>
    </w:lvl>
    <w:lvl w:ilvl="4" w:tentative="0">
      <w:start w:val="1"/>
      <w:numFmt w:val="lowerLetter"/>
      <w:lvlText w:val="%5)"/>
      <w:lvlJc w:val="left"/>
      <w:pPr>
        <w:ind w:left="2840" w:hanging="420"/>
      </w:pPr>
    </w:lvl>
    <w:lvl w:ilvl="5" w:tentative="0">
      <w:start w:val="1"/>
      <w:numFmt w:val="lowerRoman"/>
      <w:lvlText w:val="%6."/>
      <w:lvlJc w:val="right"/>
      <w:pPr>
        <w:ind w:left="3260" w:hanging="420"/>
      </w:pPr>
    </w:lvl>
    <w:lvl w:ilvl="6" w:tentative="0">
      <w:start w:val="1"/>
      <w:numFmt w:val="decimal"/>
      <w:lvlText w:val="%7."/>
      <w:lvlJc w:val="left"/>
      <w:pPr>
        <w:ind w:left="3680" w:hanging="420"/>
      </w:pPr>
    </w:lvl>
    <w:lvl w:ilvl="7" w:tentative="0">
      <w:start w:val="1"/>
      <w:numFmt w:val="lowerLetter"/>
      <w:lvlText w:val="%8)"/>
      <w:lvlJc w:val="left"/>
      <w:pPr>
        <w:ind w:left="4100" w:hanging="420"/>
      </w:pPr>
    </w:lvl>
    <w:lvl w:ilvl="8" w:tentative="0">
      <w:start w:val="1"/>
      <w:numFmt w:val="lowerRoman"/>
      <w:lvlText w:val="%9."/>
      <w:lvlJc w:val="right"/>
      <w:pPr>
        <w:ind w:left="452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2B62AC"/>
    <w:rsid w:val="022257E5"/>
    <w:rsid w:val="20852D5E"/>
    <w:rsid w:val="39040498"/>
    <w:rsid w:val="3E0E0C7E"/>
    <w:rsid w:val="5F2B62AC"/>
    <w:rsid w:val="770042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3463</Words>
  <Characters>3650</Characters>
  <Lines>0</Lines>
  <Paragraphs>0</Paragraphs>
  <TotalTime>18</TotalTime>
  <ScaleCrop>false</ScaleCrop>
  <LinksUpToDate>false</LinksUpToDate>
  <CharactersWithSpaces>3692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2025-01-17T01:49:00Z</dcterms:created>
  <dc:creator>WPS_1524491911</dc:creator>
  <cp:lastModifiedBy>WPS_1524491911</cp:lastModifiedBy>
  <dcterms:modified xsi:type="dcterms:W3CDTF">2025-01-17T06:21:53Z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A35FAFA39C61499B89BC46C691B78F52_11</vt:lpwstr>
  </property>
  <property fmtid="{D5CDD505-2E9C-101B-9397-08002B2CF9AE}" pid="4" name="KSOTemplateDocerSaveRecord">
    <vt:lpwstr>eyJoZGlkIjoiYTRjMjM2MzY1MGRhMmE3ODM4OTY2OGJmZGM4YjE4YzMiLCJ1c2VySWQiOiIzNjQ3MjE1NjAifQ==</vt:lpwstr>
  </property>
</Properties>
</file>