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80A69">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FF0000"/>
          <w:spacing w:val="-6"/>
          <w:kern w:val="0"/>
          <w:sz w:val="40"/>
          <w:szCs w:val="40"/>
          <w:shd w:val="clear" w:color="auto" w:fill="FFFFFF"/>
          <w:lang w:val="en-US" w:eastAsia="zh-CN"/>
        </w:rPr>
      </w:pPr>
      <w:r>
        <w:rPr>
          <w:rFonts w:hint="default" w:ascii="方正小标宋_GBK" w:hAnsi="方正小标宋_GBK" w:eastAsia="方正小标宋_GBK" w:cs="方正小标宋_GBK"/>
          <w:color w:val="FF0000"/>
          <w:spacing w:val="-6"/>
          <w:kern w:val="0"/>
          <w:sz w:val="40"/>
          <w:szCs w:val="40"/>
          <w:shd w:val="clear" w:color="auto" w:fill="FFFFFF"/>
          <w:lang w:val="en-US" w:eastAsia="zh-CN"/>
        </w:rPr>
        <w:t>关于</w:t>
      </w:r>
      <w:r>
        <w:rPr>
          <w:rFonts w:hint="eastAsia" w:ascii="方正小标宋_GBK" w:hAnsi="方正小标宋_GBK" w:eastAsia="方正小标宋_GBK" w:cs="方正小标宋_GBK"/>
          <w:color w:val="FF0000"/>
          <w:spacing w:val="-6"/>
          <w:kern w:val="0"/>
          <w:sz w:val="40"/>
          <w:szCs w:val="40"/>
          <w:shd w:val="clear" w:color="auto" w:fill="FFFFFF"/>
          <w:lang w:val="en-US" w:eastAsia="zh-CN"/>
        </w:rPr>
        <w:t>盘锦北方沥青股</w:t>
      </w:r>
      <w:bookmarkStart w:id="1" w:name="_GoBack"/>
      <w:bookmarkEnd w:id="1"/>
      <w:r>
        <w:rPr>
          <w:rFonts w:hint="eastAsia" w:ascii="方正小标宋_GBK" w:hAnsi="方正小标宋_GBK" w:eastAsia="方正小标宋_GBK" w:cs="方正小标宋_GBK"/>
          <w:color w:val="FF0000"/>
          <w:spacing w:val="-6"/>
          <w:kern w:val="0"/>
          <w:sz w:val="40"/>
          <w:szCs w:val="40"/>
          <w:shd w:val="clear" w:color="auto" w:fill="FFFFFF"/>
          <w:lang w:val="en-US" w:eastAsia="zh-CN"/>
        </w:rPr>
        <w:t>份有限公司</w:t>
      </w:r>
    </w:p>
    <w:p w14:paraId="751940A9">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FF0000"/>
          <w:spacing w:val="-6"/>
          <w:kern w:val="0"/>
          <w:sz w:val="40"/>
          <w:szCs w:val="40"/>
          <w:shd w:val="clear" w:color="auto" w:fill="FFFFFF"/>
          <w:lang w:val="en-US" w:eastAsia="zh-CN"/>
        </w:rPr>
      </w:pPr>
      <w:r>
        <w:rPr>
          <w:rFonts w:hint="eastAsia" w:ascii="方正小标宋_GBK" w:hAnsi="方正小标宋_GBK" w:eastAsia="方正小标宋_GBK" w:cs="方正小标宋_GBK"/>
          <w:color w:val="FF0000"/>
          <w:spacing w:val="-6"/>
          <w:kern w:val="0"/>
          <w:sz w:val="40"/>
          <w:szCs w:val="40"/>
          <w:shd w:val="clear" w:color="auto" w:fill="FFFFFF"/>
          <w:lang w:val="en-US" w:eastAsia="zh-CN"/>
        </w:rPr>
        <w:t>20万吨/年环烷基馏分油加氢装置工艺优化改造项目</w:t>
      </w:r>
    </w:p>
    <w:p w14:paraId="0FDBB272">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FF0000"/>
          <w:spacing w:val="-6"/>
          <w:kern w:val="0"/>
          <w:sz w:val="40"/>
          <w:szCs w:val="40"/>
          <w:shd w:val="clear" w:color="auto" w:fill="FFFFFF"/>
        </w:rPr>
      </w:pPr>
      <w:r>
        <w:rPr>
          <w:rFonts w:hint="eastAsia" w:ascii="方正小标宋_GBK" w:hAnsi="方正小标宋_GBK" w:eastAsia="方正小标宋_GBK" w:cs="方正小标宋_GBK"/>
          <w:color w:val="FF0000"/>
          <w:spacing w:val="-6"/>
          <w:kern w:val="0"/>
          <w:sz w:val="40"/>
          <w:szCs w:val="40"/>
          <w:shd w:val="clear" w:color="auto" w:fill="FFFFFF"/>
          <w:lang w:val="en-US" w:eastAsia="zh-CN"/>
        </w:rPr>
        <w:t>环境影响报告书</w:t>
      </w:r>
      <w:r>
        <w:rPr>
          <w:rFonts w:hint="default" w:ascii="方正小标宋_GBK" w:hAnsi="方正小标宋_GBK" w:eastAsia="方正小标宋_GBK" w:cs="方正小标宋_GBK"/>
          <w:color w:val="FF0000"/>
          <w:spacing w:val="-6"/>
          <w:kern w:val="0"/>
          <w:sz w:val="40"/>
          <w:szCs w:val="40"/>
          <w:shd w:val="clear" w:color="auto" w:fill="FFFFFF"/>
        </w:rPr>
        <w:t>的批复</w:t>
      </w:r>
    </w:p>
    <w:p w14:paraId="7C1F0FBE">
      <w:pPr>
        <w:pStyle w:val="8"/>
        <w:rPr>
          <w:rFonts w:hint="eastAsia"/>
          <w:sz w:val="32"/>
          <w:szCs w:val="32"/>
        </w:rPr>
      </w:pPr>
    </w:p>
    <w:p w14:paraId="038AED66">
      <w:pPr>
        <w:pStyle w:val="15"/>
        <w:rPr>
          <w:rFonts w:ascii="楷体_GB2312" w:eastAsia="楷体_GB2312"/>
          <w:b w:val="0"/>
        </w:rPr>
      </w:pPr>
      <w:r>
        <w:rPr>
          <w:rFonts w:hint="eastAsia" w:ascii="仿宋_GB2312" w:eastAsia="仿宋_GB2312"/>
          <w:b w:val="0"/>
        </w:rPr>
        <w:t>盘环审〔202</w:t>
      </w:r>
      <w:r>
        <w:rPr>
          <w:rFonts w:hint="eastAsia" w:ascii="仿宋_GB2312" w:eastAsia="仿宋_GB2312"/>
          <w:b w:val="0"/>
          <w:lang w:val="en-US" w:eastAsia="zh-CN"/>
        </w:rPr>
        <w:t>4</w:t>
      </w:r>
      <w:r>
        <w:rPr>
          <w:rFonts w:hint="eastAsia" w:ascii="仿宋_GB2312" w:eastAsia="仿宋_GB2312"/>
          <w:b w:val="0"/>
        </w:rPr>
        <w:t>〕</w:t>
      </w:r>
      <w:r>
        <w:rPr>
          <w:rFonts w:hint="eastAsia" w:ascii="仿宋_GB2312" w:eastAsia="仿宋_GB2312"/>
          <w:b w:val="0"/>
          <w:lang w:val="en-US" w:eastAsia="zh-CN"/>
        </w:rPr>
        <w:t>9</w:t>
      </w:r>
      <w:r>
        <w:rPr>
          <w:rFonts w:hint="eastAsia" w:ascii="仿宋_GB2312" w:eastAsia="仿宋_GB2312"/>
          <w:b w:val="0"/>
        </w:rPr>
        <w:t>号</w:t>
      </w:r>
    </w:p>
    <w:p w14:paraId="04FC516B">
      <w:pPr>
        <w:pStyle w:val="8"/>
        <w:rPr>
          <w:rFonts w:hint="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14:paraId="04F86BB5">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outlineLvl w:val="0"/>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盘锦北方沥青股份有限公司：</w:t>
      </w:r>
    </w:p>
    <w:p w14:paraId="588299DA">
      <w:pPr>
        <w:pStyle w:val="44"/>
        <w:keepNext w:val="0"/>
        <w:keepLines w:val="0"/>
        <w:pageBreakBefore w:val="0"/>
        <w:widowControl w:val="0"/>
        <w:kinsoku/>
        <w:wordWrap/>
        <w:overflowPunct/>
        <w:topLinePunct w:val="0"/>
        <w:bidi w:val="0"/>
        <w:snapToGrid/>
        <w:spacing w:before="0" w:after="0" w:line="600" w:lineRule="exact"/>
        <w:ind w:firstLine="680" w:firstLineChars="200"/>
        <w:jc w:val="both"/>
        <w:textAlignment w:val="auto"/>
        <w:rPr>
          <w:rFonts w:hint="eastAsia" w:ascii="仿宋_GB2312" w:hAnsi="仿宋_GB2312" w:eastAsia="仿宋_GB2312" w:cs="仿宋_GB2312"/>
          <w:b w:val="0"/>
          <w:bCs w:val="0"/>
          <w:color w:val="auto"/>
          <w:kern w:val="2"/>
          <w:sz w:val="34"/>
          <w:szCs w:val="34"/>
          <w:highlight w:val="none"/>
          <w:lang w:val="zh-CN" w:eastAsia="zh-CN" w:bidi="ar-SA"/>
        </w:rPr>
      </w:pPr>
      <w:r>
        <w:rPr>
          <w:rFonts w:hint="eastAsia" w:ascii="仿宋_GB2312" w:hAnsi="仿宋_GB2312" w:eastAsia="仿宋_GB2312" w:cs="仿宋_GB2312"/>
          <w:b w:val="0"/>
          <w:bCs w:val="0"/>
          <w:color w:val="auto"/>
          <w:kern w:val="2"/>
          <w:sz w:val="34"/>
          <w:szCs w:val="34"/>
          <w:highlight w:val="none"/>
          <w:lang w:val="zh-CN" w:eastAsia="zh-CN" w:bidi="ar-SA"/>
        </w:rPr>
        <w:t>你公司报送的《</w:t>
      </w:r>
      <w:r>
        <w:rPr>
          <w:rFonts w:hint="eastAsia" w:ascii="仿宋_GB2312" w:hAnsi="仿宋_GB2312" w:eastAsia="仿宋_GB2312" w:cs="仿宋_GB2312"/>
          <w:b w:val="0"/>
          <w:bCs w:val="0"/>
          <w:color w:val="auto"/>
          <w:kern w:val="2"/>
          <w:sz w:val="34"/>
          <w:szCs w:val="34"/>
          <w:highlight w:val="none"/>
          <w:lang w:val="en-US" w:eastAsia="zh-CN" w:bidi="ar-SA"/>
        </w:rPr>
        <w:t>盘锦北方沥青股份有限公司20万吨/年环烷基馏分油加氢装置工艺优化改造项目环境影响报告书</w:t>
      </w:r>
      <w:r>
        <w:rPr>
          <w:rFonts w:hint="eastAsia" w:ascii="仿宋_GB2312" w:hAnsi="仿宋_GB2312" w:eastAsia="仿宋_GB2312" w:cs="仿宋_GB2312"/>
          <w:b w:val="0"/>
          <w:bCs w:val="0"/>
          <w:color w:val="auto"/>
          <w:kern w:val="2"/>
          <w:sz w:val="34"/>
          <w:szCs w:val="34"/>
          <w:highlight w:val="none"/>
          <w:lang w:val="zh-CN" w:eastAsia="zh-CN" w:bidi="ar-SA"/>
        </w:rPr>
        <w:t>》（以下简称“报告</w:t>
      </w:r>
      <w:r>
        <w:rPr>
          <w:rFonts w:hint="eastAsia" w:ascii="仿宋_GB2312" w:hAnsi="仿宋_GB2312" w:eastAsia="仿宋_GB2312" w:cs="仿宋_GB2312"/>
          <w:b w:val="0"/>
          <w:bCs w:val="0"/>
          <w:color w:val="auto"/>
          <w:kern w:val="2"/>
          <w:sz w:val="34"/>
          <w:szCs w:val="34"/>
          <w:highlight w:val="none"/>
          <w:lang w:val="en-US" w:eastAsia="zh-CN" w:bidi="ar-SA"/>
        </w:rPr>
        <w:t>书</w:t>
      </w:r>
      <w:r>
        <w:rPr>
          <w:rFonts w:hint="eastAsia" w:ascii="仿宋_GB2312" w:hAnsi="仿宋_GB2312" w:eastAsia="仿宋_GB2312" w:cs="仿宋_GB2312"/>
          <w:b w:val="0"/>
          <w:bCs w:val="0"/>
          <w:color w:val="auto"/>
          <w:kern w:val="2"/>
          <w:sz w:val="34"/>
          <w:szCs w:val="34"/>
          <w:highlight w:val="none"/>
          <w:lang w:val="zh-CN" w:eastAsia="zh-CN" w:bidi="ar-SA"/>
        </w:rPr>
        <w:t>”）收悉，</w:t>
      </w:r>
      <w:r>
        <w:rPr>
          <w:rFonts w:hint="eastAsia" w:ascii="仿宋_GB2312" w:hAnsi="仿宋_GB2312" w:eastAsia="仿宋_GB2312" w:cs="仿宋_GB2312"/>
          <w:b w:val="0"/>
          <w:bCs w:val="0"/>
          <w:color w:val="auto"/>
          <w:kern w:val="2"/>
          <w:sz w:val="34"/>
          <w:szCs w:val="34"/>
          <w:highlight w:val="none"/>
          <w:lang w:val="en-US" w:eastAsia="zh-CN" w:bidi="ar-SA"/>
        </w:rPr>
        <w:t>组织专家技术</w:t>
      </w:r>
      <w:r>
        <w:rPr>
          <w:rFonts w:hint="eastAsia" w:ascii="仿宋_GB2312" w:hAnsi="仿宋_GB2312" w:eastAsia="仿宋_GB2312" w:cs="仿宋_GB2312"/>
          <w:b w:val="0"/>
          <w:bCs w:val="0"/>
          <w:color w:val="auto"/>
          <w:kern w:val="2"/>
          <w:sz w:val="34"/>
          <w:szCs w:val="34"/>
          <w:highlight w:val="none"/>
          <w:lang w:val="zh-CN" w:eastAsia="zh-CN" w:bidi="ar-SA"/>
        </w:rPr>
        <w:t>评估审核</w:t>
      </w:r>
      <w:r>
        <w:rPr>
          <w:rFonts w:hint="eastAsia" w:ascii="仿宋_GB2312" w:hAnsi="仿宋_GB2312" w:eastAsia="仿宋_GB2312" w:cs="仿宋_GB2312"/>
          <w:b w:val="0"/>
          <w:bCs w:val="0"/>
          <w:color w:val="auto"/>
          <w:kern w:val="2"/>
          <w:sz w:val="34"/>
          <w:szCs w:val="34"/>
          <w:highlight w:val="none"/>
          <w:lang w:val="en-US" w:eastAsia="zh-CN" w:bidi="ar-SA"/>
        </w:rPr>
        <w:t>后，经</w:t>
      </w:r>
      <w:r>
        <w:rPr>
          <w:rFonts w:hint="eastAsia" w:ascii="仿宋_GB2312" w:hAnsi="仿宋_GB2312" w:eastAsia="仿宋_GB2312" w:cs="仿宋_GB2312"/>
          <w:b w:val="0"/>
          <w:bCs w:val="0"/>
          <w:color w:val="auto"/>
          <w:kern w:val="2"/>
          <w:sz w:val="34"/>
          <w:szCs w:val="34"/>
          <w:highlight w:val="none"/>
          <w:lang w:val="zh-CN" w:eastAsia="zh-CN" w:bidi="ar-SA"/>
        </w:rPr>
        <w:t>局务会研究通过，现批复如下：</w:t>
      </w:r>
    </w:p>
    <w:p w14:paraId="11D39673">
      <w:pPr>
        <w:keepNext w:val="0"/>
        <w:keepLines w:val="0"/>
        <w:pageBreakBefore w:val="0"/>
        <w:widowControl w:val="0"/>
        <w:kinsoku/>
        <w:wordWrap/>
        <w:overflowPunct/>
        <w:topLinePunct w:val="0"/>
        <w:autoSpaceDE w:val="0"/>
        <w:autoSpaceDN w:val="0"/>
        <w:bidi w:val="0"/>
        <w:adjustRightInd w:val="0"/>
        <w:snapToGrid/>
        <w:spacing w:line="600" w:lineRule="exact"/>
        <w:ind w:firstLine="680" w:firstLineChars="200"/>
        <w:jc w:val="both"/>
        <w:textAlignment w:val="auto"/>
        <w:outlineLvl w:val="0"/>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一、盘锦北方沥青股份有限公司</w:t>
      </w:r>
      <w:r>
        <w:rPr>
          <w:rFonts w:hint="eastAsia" w:ascii="仿宋_GB2312" w:hAnsi="仿宋_GB2312" w:eastAsia="仿宋_GB2312" w:cs="仿宋_GB2312"/>
          <w:color w:val="auto"/>
          <w:kern w:val="2"/>
          <w:sz w:val="34"/>
          <w:szCs w:val="34"/>
          <w:highlight w:val="none"/>
          <w:lang w:val="zh-CN" w:eastAsia="zh-CN" w:bidi="ar-SA"/>
        </w:rPr>
        <w:t>拟对现有20万吨/年环烷基馏分油加氢装置进行工艺优化改造，</w:t>
      </w:r>
      <w:r>
        <w:rPr>
          <w:rFonts w:hint="eastAsia" w:ascii="仿宋_GB2312" w:hAnsi="仿宋_GB2312" w:eastAsia="仿宋_GB2312" w:cs="仿宋_GB2312"/>
          <w:color w:val="auto"/>
          <w:kern w:val="2"/>
          <w:sz w:val="34"/>
          <w:szCs w:val="34"/>
          <w:highlight w:val="none"/>
          <w:lang w:val="en-US" w:eastAsia="zh-CN" w:bidi="ar-SA"/>
        </w:rPr>
        <w:t>项目总投资6159.01万元。</w:t>
      </w:r>
      <w:r>
        <w:rPr>
          <w:rFonts w:hint="eastAsia" w:ascii="仿宋_GB2312" w:hAnsi="仿宋_GB2312" w:eastAsia="仿宋_GB2312" w:cs="仿宋_GB2312"/>
          <w:color w:val="auto"/>
          <w:kern w:val="2"/>
          <w:sz w:val="34"/>
          <w:szCs w:val="34"/>
          <w:highlight w:val="none"/>
          <w:lang w:val="zh-CN" w:eastAsia="zh-CN" w:bidi="ar-SA"/>
        </w:rPr>
        <w:t>更换反应进料加热炉、常压塔加热炉、改造减压塔塔顶抽真空系统、更换新型加氢催化剂和加氢改质催化剂等，改造后的装置规模扩大到27万吨/年。通过本项目的实施，可将100 万吨/年重交沥青装置富余的7万吨基础料全部深加工为高品质润滑油，</w:t>
      </w:r>
      <w:r>
        <w:rPr>
          <w:rFonts w:hint="eastAsia" w:ascii="仿宋_GB2312" w:hAnsi="仿宋_GB2312" w:eastAsia="仿宋_GB2312" w:cs="仿宋_GB2312"/>
          <w:b w:val="0"/>
          <w:bCs w:val="0"/>
          <w:color w:val="auto"/>
          <w:kern w:val="2"/>
          <w:sz w:val="34"/>
          <w:szCs w:val="34"/>
          <w:highlight w:val="none"/>
          <w:lang w:val="zh-CN" w:eastAsia="zh-CN" w:bidi="ar-SA"/>
        </w:rPr>
        <w:t>有利于提高</w:t>
      </w:r>
      <w:r>
        <w:rPr>
          <w:rFonts w:hint="eastAsia" w:ascii="仿宋_GB2312" w:hAnsi="仿宋_GB2312" w:eastAsia="仿宋_GB2312" w:cs="仿宋_GB2312"/>
          <w:b w:val="0"/>
          <w:bCs w:val="0"/>
          <w:color w:val="auto"/>
          <w:kern w:val="2"/>
          <w:sz w:val="34"/>
          <w:szCs w:val="34"/>
          <w:highlight w:val="none"/>
          <w:lang w:val="en-US" w:eastAsia="zh-CN" w:bidi="ar-SA"/>
        </w:rPr>
        <w:t>产品</w:t>
      </w:r>
      <w:r>
        <w:rPr>
          <w:rFonts w:hint="eastAsia" w:ascii="仿宋_GB2312" w:hAnsi="仿宋_GB2312" w:eastAsia="仿宋_GB2312" w:cs="仿宋_GB2312"/>
          <w:b w:val="0"/>
          <w:bCs w:val="0"/>
          <w:color w:val="auto"/>
          <w:kern w:val="2"/>
          <w:sz w:val="34"/>
          <w:szCs w:val="34"/>
          <w:highlight w:val="none"/>
          <w:lang w:val="zh-CN" w:eastAsia="zh-CN" w:bidi="ar-SA"/>
        </w:rPr>
        <w:t>的竞争力及</w:t>
      </w:r>
      <w:r>
        <w:rPr>
          <w:rFonts w:hint="eastAsia" w:ascii="仿宋_GB2312" w:hAnsi="仿宋_GB2312" w:eastAsia="仿宋_GB2312" w:cs="仿宋_GB2312"/>
          <w:b w:val="0"/>
          <w:bCs w:val="0"/>
          <w:color w:val="auto"/>
          <w:kern w:val="2"/>
          <w:sz w:val="34"/>
          <w:szCs w:val="34"/>
          <w:highlight w:val="none"/>
          <w:lang w:val="en-US" w:eastAsia="zh-CN" w:bidi="ar-SA"/>
        </w:rPr>
        <w:t>企业</w:t>
      </w:r>
      <w:r>
        <w:rPr>
          <w:rFonts w:hint="eastAsia" w:ascii="仿宋_GB2312" w:hAnsi="仿宋_GB2312" w:eastAsia="仿宋_GB2312" w:cs="仿宋_GB2312"/>
          <w:b w:val="0"/>
          <w:bCs w:val="0"/>
          <w:color w:val="auto"/>
          <w:kern w:val="2"/>
          <w:sz w:val="34"/>
          <w:szCs w:val="34"/>
          <w:highlight w:val="none"/>
          <w:lang w:val="zh-CN" w:eastAsia="zh-CN" w:bidi="ar-SA"/>
        </w:rPr>
        <w:t>抗风险能力。</w:t>
      </w:r>
    </w:p>
    <w:p w14:paraId="14A9EC20">
      <w:pPr>
        <w:keepNext w:val="0"/>
        <w:keepLines w:val="0"/>
        <w:pageBreakBefore w:val="0"/>
        <w:kinsoku/>
        <w:wordWrap/>
        <w:overflowPunct/>
        <w:topLinePunct w:val="0"/>
        <w:bidi w:val="0"/>
        <w:spacing w:line="600" w:lineRule="exact"/>
        <w:ind w:firstLine="680" w:firstLineChars="200"/>
        <w:jc w:val="both"/>
        <w:textAlignment w:val="auto"/>
        <w:rPr>
          <w:rFonts w:hint="eastAsia" w:ascii="仿宋_GB2312" w:hAnsi="仿宋_GB2312" w:eastAsia="仿宋_GB2312" w:cs="仿宋_GB2312"/>
          <w:color w:val="auto"/>
          <w:sz w:val="34"/>
          <w:szCs w:val="34"/>
          <w:highlight w:val="none"/>
        </w:rPr>
      </w:pPr>
      <w:r>
        <w:rPr>
          <w:rFonts w:hint="eastAsia" w:ascii="仿宋_GB2312" w:hAnsi="仿宋_GB2312" w:eastAsia="仿宋_GB2312" w:cs="仿宋_GB2312"/>
          <w:color w:val="auto"/>
          <w:sz w:val="34"/>
          <w:szCs w:val="34"/>
          <w:highlight w:val="none"/>
        </w:rPr>
        <w:t>盘锦</w:t>
      </w:r>
      <w:r>
        <w:rPr>
          <w:rFonts w:hint="eastAsia" w:ascii="仿宋_GB2312" w:hAnsi="仿宋_GB2312" w:eastAsia="仿宋_GB2312" w:cs="仿宋_GB2312"/>
          <w:color w:val="auto"/>
          <w:sz w:val="34"/>
          <w:szCs w:val="34"/>
          <w:highlight w:val="none"/>
          <w:lang w:val="en-US" w:eastAsia="zh-CN"/>
        </w:rPr>
        <w:t>高新技术产业开发区</w:t>
      </w:r>
      <w:r>
        <w:rPr>
          <w:rFonts w:hint="eastAsia" w:ascii="仿宋_GB2312" w:hAnsi="仿宋_GB2312" w:eastAsia="仿宋_GB2312" w:cs="仿宋_GB2312"/>
          <w:color w:val="auto"/>
          <w:sz w:val="34"/>
          <w:szCs w:val="34"/>
          <w:highlight w:val="none"/>
        </w:rPr>
        <w:t>出具了项目备案文件（</w:t>
      </w:r>
      <w:r>
        <w:rPr>
          <w:rFonts w:hint="eastAsia" w:ascii="仿宋_GB2312" w:hAnsi="仿宋_GB2312" w:eastAsia="仿宋_GB2312" w:cs="仿宋_GB2312"/>
          <w:color w:val="auto"/>
          <w:sz w:val="34"/>
          <w:szCs w:val="34"/>
          <w:highlight w:val="none"/>
          <w:lang w:val="en-US" w:eastAsia="zh-CN"/>
        </w:rPr>
        <w:t>盘高经</w:t>
      </w:r>
      <w:r>
        <w:rPr>
          <w:rFonts w:hint="eastAsia" w:ascii="仿宋_GB2312" w:hAnsi="仿宋_GB2312" w:eastAsia="仿宋_GB2312" w:cs="仿宋_GB2312"/>
          <w:color w:val="auto"/>
          <w:sz w:val="34"/>
          <w:szCs w:val="34"/>
          <w:highlight w:val="none"/>
        </w:rPr>
        <w:t>备</w:t>
      </w:r>
      <w:r>
        <w:rPr>
          <w:rFonts w:hint="eastAsia" w:ascii="仿宋_GB2312" w:hAnsi="仿宋_GB2312" w:eastAsia="仿宋_GB2312" w:cs="仿宋_GB2312"/>
          <w:color w:val="000000"/>
          <w:kern w:val="0"/>
          <w:sz w:val="34"/>
          <w:szCs w:val="34"/>
          <w:lang w:val="en-US" w:eastAsia="zh-CN"/>
        </w:rPr>
        <w:t>〔2023〕</w:t>
      </w:r>
      <w:r>
        <w:rPr>
          <w:rFonts w:hint="eastAsia" w:ascii="仿宋_GB2312" w:hAnsi="仿宋_GB2312" w:eastAsia="仿宋_GB2312" w:cs="仿宋_GB2312"/>
          <w:color w:val="auto"/>
          <w:sz w:val="34"/>
          <w:szCs w:val="34"/>
          <w:highlight w:val="none"/>
          <w:lang w:val="en-US" w:eastAsia="zh-CN"/>
        </w:rPr>
        <w:t>8</w:t>
      </w:r>
      <w:r>
        <w:rPr>
          <w:rFonts w:hint="eastAsia" w:ascii="仿宋_GB2312" w:hAnsi="仿宋_GB2312" w:eastAsia="仿宋_GB2312" w:cs="仿宋_GB2312"/>
          <w:color w:val="auto"/>
          <w:sz w:val="34"/>
          <w:szCs w:val="34"/>
          <w:highlight w:val="none"/>
        </w:rPr>
        <w:t>号），项目符合</w:t>
      </w:r>
      <w:r>
        <w:rPr>
          <w:rFonts w:hint="eastAsia" w:ascii="仿宋_GB2312" w:hAnsi="仿宋_GB2312" w:eastAsia="仿宋_GB2312" w:cs="仿宋_GB2312"/>
          <w:color w:val="auto"/>
          <w:sz w:val="34"/>
          <w:szCs w:val="34"/>
          <w:highlight w:val="none"/>
          <w:lang w:val="en-US" w:eastAsia="zh-CN"/>
        </w:rPr>
        <w:t>国家产业政策</w:t>
      </w:r>
      <w:r>
        <w:rPr>
          <w:rFonts w:hint="eastAsia" w:ascii="仿宋_GB2312" w:hAnsi="仿宋_GB2312" w:eastAsia="仿宋_GB2312" w:cs="仿宋_GB2312"/>
          <w:color w:val="auto"/>
          <w:sz w:val="34"/>
          <w:szCs w:val="34"/>
          <w:highlight w:val="none"/>
        </w:rPr>
        <w:t>，在全面落实“报告</w:t>
      </w:r>
      <w:r>
        <w:rPr>
          <w:rFonts w:hint="eastAsia" w:ascii="仿宋_GB2312" w:hAnsi="仿宋_GB2312" w:eastAsia="仿宋_GB2312" w:cs="仿宋_GB2312"/>
          <w:color w:val="auto"/>
          <w:sz w:val="34"/>
          <w:szCs w:val="34"/>
          <w:highlight w:val="none"/>
          <w:lang w:val="en-US" w:eastAsia="zh-CN"/>
        </w:rPr>
        <w:t>书</w:t>
      </w:r>
      <w:r>
        <w:rPr>
          <w:rFonts w:hint="eastAsia" w:ascii="仿宋_GB2312" w:hAnsi="仿宋_GB2312" w:eastAsia="仿宋_GB2312" w:cs="仿宋_GB2312"/>
          <w:color w:val="auto"/>
          <w:sz w:val="34"/>
          <w:szCs w:val="34"/>
          <w:highlight w:val="none"/>
        </w:rPr>
        <w:t>”提出的各项污染防治及风险防范措施后，从环保角度分析，我局原则同意你公司</w:t>
      </w:r>
      <w:r>
        <w:rPr>
          <w:rFonts w:hint="eastAsia" w:ascii="仿宋_GB2312" w:hAnsi="仿宋_GB2312" w:eastAsia="仿宋_GB2312" w:cs="仿宋_GB2312"/>
          <w:color w:val="auto"/>
          <w:kern w:val="2"/>
          <w:sz w:val="34"/>
          <w:szCs w:val="34"/>
          <w:highlight w:val="none"/>
          <w:lang w:val="zh-CN" w:eastAsia="zh-CN" w:bidi="ar-SA"/>
        </w:rPr>
        <w:t>“报告</w:t>
      </w:r>
      <w:r>
        <w:rPr>
          <w:rFonts w:hint="eastAsia" w:ascii="仿宋_GB2312" w:hAnsi="仿宋_GB2312" w:eastAsia="仿宋_GB2312" w:cs="仿宋_GB2312"/>
          <w:color w:val="auto"/>
          <w:kern w:val="2"/>
          <w:sz w:val="34"/>
          <w:szCs w:val="34"/>
          <w:highlight w:val="none"/>
          <w:lang w:val="en-US" w:eastAsia="zh-CN" w:bidi="ar-SA"/>
        </w:rPr>
        <w:t>书</w:t>
      </w:r>
      <w:r>
        <w:rPr>
          <w:rFonts w:hint="eastAsia" w:ascii="仿宋_GB2312" w:hAnsi="仿宋_GB2312" w:eastAsia="仿宋_GB2312" w:cs="仿宋_GB2312"/>
          <w:color w:val="auto"/>
          <w:kern w:val="2"/>
          <w:sz w:val="34"/>
          <w:szCs w:val="34"/>
          <w:highlight w:val="none"/>
          <w:lang w:val="zh-CN" w:eastAsia="zh-CN" w:bidi="ar-SA"/>
        </w:rPr>
        <w:t>”</w:t>
      </w:r>
      <w:r>
        <w:rPr>
          <w:rFonts w:hint="eastAsia" w:ascii="仿宋_GB2312" w:hAnsi="仿宋_GB2312" w:eastAsia="仿宋_GB2312" w:cs="仿宋_GB2312"/>
          <w:color w:val="auto"/>
          <w:sz w:val="34"/>
          <w:szCs w:val="34"/>
          <w:highlight w:val="none"/>
        </w:rPr>
        <w:t>中所列建设项目的地点、性质、规模、生产工艺和采取的环境保护措施。</w:t>
      </w:r>
    </w:p>
    <w:p w14:paraId="0ECA8619">
      <w:pPr>
        <w:keepNext w:val="0"/>
        <w:keepLines w:val="0"/>
        <w:pageBreakBefore w:val="0"/>
        <w:kinsoku/>
        <w:wordWrap/>
        <w:overflowPunct/>
        <w:topLinePunct w:val="0"/>
        <w:bidi w:val="0"/>
        <w:spacing w:line="600" w:lineRule="exact"/>
        <w:ind w:firstLine="680" w:firstLineChars="200"/>
        <w:jc w:val="both"/>
        <w:textAlignment w:val="auto"/>
        <w:rPr>
          <w:rFonts w:hint="eastAsia" w:ascii="仿宋_GB2312" w:hAnsi="仿宋_GB2312" w:eastAsia="仿宋_GB2312" w:cs="仿宋_GB2312"/>
          <w:color w:val="auto"/>
          <w:sz w:val="34"/>
          <w:szCs w:val="34"/>
          <w:highlight w:val="none"/>
        </w:rPr>
      </w:pPr>
      <w:r>
        <w:rPr>
          <w:rFonts w:hint="eastAsia" w:ascii="仿宋_GB2312" w:hAnsi="仿宋_GB2312" w:eastAsia="仿宋_GB2312" w:cs="仿宋_GB2312"/>
          <w:color w:val="auto"/>
          <w:sz w:val="34"/>
          <w:szCs w:val="34"/>
          <w:highlight w:val="none"/>
        </w:rPr>
        <w:t>二、项目建设与运行管理中应重点做好以下工作：</w:t>
      </w:r>
    </w:p>
    <w:p w14:paraId="283EB115">
      <w:pPr>
        <w:pStyle w:val="38"/>
        <w:keepNext w:val="0"/>
        <w:keepLines w:val="0"/>
        <w:pageBreakBefore w:val="0"/>
        <w:kinsoku/>
        <w:wordWrap/>
        <w:overflowPunct/>
        <w:topLinePunct w:val="0"/>
        <w:autoSpaceDE/>
        <w:autoSpaceDN w:val="0"/>
        <w:bidi w:val="0"/>
        <w:spacing w:line="600" w:lineRule="exact"/>
        <w:ind w:firstLine="680" w:firstLineChars="200"/>
        <w:jc w:val="both"/>
        <w:textAlignment w:val="auto"/>
        <w:rPr>
          <w:rFonts w:hint="eastAsia" w:ascii="仿宋_GB2312" w:hAnsi="仿宋_GB2312" w:eastAsia="仿宋_GB2312" w:cs="仿宋_GB2312"/>
          <w:color w:val="auto"/>
          <w:sz w:val="34"/>
          <w:szCs w:val="34"/>
          <w:highlight w:val="none"/>
        </w:rPr>
      </w:pPr>
      <w:r>
        <w:rPr>
          <w:rFonts w:hint="eastAsia" w:ascii="仿宋_GB2312" w:hAnsi="仿宋_GB2312" w:eastAsia="仿宋_GB2312" w:cs="仿宋_GB2312"/>
          <w:color w:val="auto"/>
          <w:sz w:val="34"/>
          <w:szCs w:val="34"/>
          <w:highlight w:val="none"/>
        </w:rPr>
        <w:t>（一）严格落实大气污染防治措施</w:t>
      </w:r>
    </w:p>
    <w:p w14:paraId="5B23198A">
      <w:pPr>
        <w:pStyle w:val="45"/>
        <w:keepNext w:val="0"/>
        <w:keepLines w:val="0"/>
        <w:pageBreakBefore w:val="0"/>
        <w:kinsoku/>
        <w:wordWrap/>
        <w:overflowPunct/>
        <w:topLinePunct w:val="0"/>
        <w:autoSpaceDE/>
        <w:bidi w:val="0"/>
        <w:spacing w:beforeLines="0" w:line="600" w:lineRule="exact"/>
        <w:ind w:firstLine="480"/>
        <w:jc w:val="both"/>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1.装置3台加热炉共用1座50米高排气筒，改造后加热炉全部采用低氮燃烧器，使用来自企业燃料气管网的燃料气，含硫量≤20mg/m</w:t>
      </w:r>
      <w:r>
        <w:rPr>
          <w:rFonts w:hint="eastAsia" w:ascii="仿宋_GB2312" w:hAnsi="仿宋_GB2312" w:eastAsia="仿宋_GB2312" w:cs="仿宋_GB2312"/>
          <w:color w:val="auto"/>
          <w:kern w:val="2"/>
          <w:sz w:val="34"/>
          <w:szCs w:val="34"/>
          <w:highlight w:val="none"/>
          <w:vertAlign w:val="superscript"/>
          <w:lang w:val="en-US" w:eastAsia="zh-CN" w:bidi="ar-SA"/>
        </w:rPr>
        <w:t>3</w:t>
      </w:r>
      <w:r>
        <w:rPr>
          <w:rFonts w:hint="eastAsia" w:ascii="仿宋_GB2312" w:hAnsi="仿宋_GB2312" w:eastAsia="仿宋_GB2312" w:cs="仿宋_GB2312"/>
          <w:color w:val="auto"/>
          <w:kern w:val="2"/>
          <w:sz w:val="34"/>
          <w:szCs w:val="34"/>
          <w:highlight w:val="none"/>
          <w:lang w:val="en-US" w:eastAsia="zh-CN" w:bidi="ar-SA"/>
        </w:rPr>
        <w:t>，确保污染物排放满足《石油炼制工业污染物排放标准》（GB31570-2015）表4中大气污染物特别排放限值的要求。</w:t>
      </w:r>
    </w:p>
    <w:p w14:paraId="2DEA51A6">
      <w:pPr>
        <w:pStyle w:val="7"/>
        <w:keepNext w:val="0"/>
        <w:keepLines w:val="0"/>
        <w:pageBreakBefore w:val="0"/>
        <w:kinsoku/>
        <w:wordWrap/>
        <w:overflowPunct w:val="0"/>
        <w:topLinePunct w:val="0"/>
        <w:autoSpaceDE w:val="0"/>
        <w:autoSpaceDN w:val="0"/>
        <w:bidi w:val="0"/>
        <w:spacing w:line="600" w:lineRule="exact"/>
        <w:ind w:firstLine="680" w:firstLineChars="200"/>
        <w:jc w:val="both"/>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2.原料和产品均依托现有储罐，石脑油采用内浮顶罐，其它产品和原料均采用固定顶罐，并采用氮封；石脑油装车利用现有装车栈台油气回收设施；工艺装置采用质量可靠的设备、管道、阀门及管路附件，制定泄漏检测与修复计划，定期检测、及时修复。通过上述措施最大限度减少VOCs 无组织排放量。同时，确保厂界污染物浓度满足《石油炼制工业污染物排放标准》（GB31570-2015）中表5和《恶臭污染物排放标准》（GB14554-93）新污染源二级标准限值要求。</w:t>
      </w:r>
    </w:p>
    <w:p w14:paraId="540F3B20">
      <w:pPr>
        <w:pStyle w:val="45"/>
        <w:keepNext w:val="0"/>
        <w:keepLines w:val="0"/>
        <w:pageBreakBefore w:val="0"/>
        <w:kinsoku/>
        <w:wordWrap/>
        <w:topLinePunct w:val="0"/>
        <w:bidi w:val="0"/>
        <w:spacing w:beforeLines="0" w:line="600" w:lineRule="exact"/>
        <w:ind w:firstLine="480"/>
        <w:jc w:val="both"/>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3.事故状态下的工艺气经火炬燃烧后高空排放。</w:t>
      </w:r>
    </w:p>
    <w:p w14:paraId="44336D39">
      <w:pPr>
        <w:pStyle w:val="7"/>
        <w:keepNext w:val="0"/>
        <w:keepLines w:val="0"/>
        <w:pageBreakBefore w:val="0"/>
        <w:kinsoku/>
        <w:wordWrap/>
        <w:overflowPunct w:val="0"/>
        <w:topLinePunct w:val="0"/>
        <w:autoSpaceDE w:val="0"/>
        <w:autoSpaceDN w:val="0"/>
        <w:bidi w:val="0"/>
        <w:spacing w:line="600" w:lineRule="exact"/>
        <w:ind w:firstLine="680" w:firstLineChars="200"/>
        <w:jc w:val="both"/>
        <w:textAlignment w:val="auto"/>
        <w:rPr>
          <w:rFonts w:hint="eastAsia" w:ascii="仿宋_GB2312" w:hAnsi="仿宋_GB2312" w:eastAsia="仿宋_GB2312" w:cs="仿宋_GB2312"/>
          <w:bCs/>
          <w:sz w:val="34"/>
          <w:szCs w:val="34"/>
          <w:lang w:val="en-US" w:eastAsia="zh-CN"/>
        </w:rPr>
      </w:pPr>
      <w:r>
        <w:rPr>
          <w:rFonts w:hint="eastAsia" w:ascii="仿宋_GB2312" w:hAnsi="仿宋_GB2312" w:eastAsia="仿宋_GB2312" w:cs="仿宋_GB2312"/>
          <w:bCs/>
          <w:sz w:val="34"/>
          <w:szCs w:val="34"/>
          <w:lang w:val="en-US" w:eastAsia="zh-CN"/>
        </w:rPr>
        <w:t>（二）强化地表水污染防治措施</w:t>
      </w:r>
    </w:p>
    <w:p w14:paraId="35C5EBCB">
      <w:pPr>
        <w:pStyle w:val="7"/>
        <w:keepNext w:val="0"/>
        <w:keepLines w:val="0"/>
        <w:pageBreakBefore w:val="0"/>
        <w:kinsoku/>
        <w:wordWrap/>
        <w:overflowPunct w:val="0"/>
        <w:topLinePunct w:val="0"/>
        <w:autoSpaceDE w:val="0"/>
        <w:autoSpaceDN w:val="0"/>
        <w:bidi w:val="0"/>
        <w:spacing w:line="600" w:lineRule="exact"/>
        <w:ind w:firstLine="680" w:firstLineChars="200"/>
        <w:jc w:val="both"/>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改造后的加氢装置排水系统实施“雨污分流”，生产过程中产生的污水主要为含硫废水、含油废水和初期雨水。其中，含硫污水经厂内管网进入酸性水汽提单元处理后，与含油污水和初期雨水一并进入北方沥青股份有限公司污水处理场进行处理，处理后的污水通过园区管网排入盘锦市第三污水处理厂，排放浓度须满足《石油炼制工业污染物排放标准》（GB31570-2015）表1中直接排放限值要求。</w:t>
      </w:r>
    </w:p>
    <w:p w14:paraId="5AAAEE2C">
      <w:pPr>
        <w:pStyle w:val="7"/>
        <w:keepNext w:val="0"/>
        <w:keepLines w:val="0"/>
        <w:pageBreakBefore w:val="0"/>
        <w:kinsoku/>
        <w:wordWrap/>
        <w:overflowPunct w:val="0"/>
        <w:topLinePunct w:val="0"/>
        <w:autoSpaceDE w:val="0"/>
        <w:autoSpaceDN w:val="0"/>
        <w:bidi w:val="0"/>
        <w:spacing w:line="600" w:lineRule="exact"/>
        <w:ind w:firstLine="680" w:firstLineChars="200"/>
        <w:jc w:val="both"/>
        <w:textAlignment w:val="auto"/>
        <w:rPr>
          <w:rFonts w:hint="eastAsia" w:ascii="仿宋_GB2312" w:hAnsi="仿宋_GB2312" w:eastAsia="仿宋_GB2312" w:cs="仿宋_GB2312"/>
          <w:bCs/>
          <w:sz w:val="34"/>
          <w:szCs w:val="34"/>
          <w:lang w:val="en-US" w:eastAsia="zh-CN"/>
        </w:rPr>
      </w:pPr>
      <w:r>
        <w:rPr>
          <w:rFonts w:hint="eastAsia" w:ascii="仿宋_GB2312" w:hAnsi="仿宋_GB2312" w:eastAsia="仿宋_GB2312" w:cs="仿宋_GB2312"/>
          <w:bCs/>
          <w:sz w:val="34"/>
          <w:szCs w:val="34"/>
          <w:lang w:val="en-US" w:eastAsia="zh-CN"/>
        </w:rPr>
        <w:t>（三）确保固体废物安全贮存和处置</w:t>
      </w:r>
    </w:p>
    <w:p w14:paraId="5DE8FA97">
      <w:pPr>
        <w:pStyle w:val="7"/>
        <w:keepNext w:val="0"/>
        <w:keepLines w:val="0"/>
        <w:pageBreakBefore w:val="0"/>
        <w:kinsoku/>
        <w:wordWrap/>
        <w:overflowPunct w:val="0"/>
        <w:topLinePunct w:val="0"/>
        <w:autoSpaceDE w:val="0"/>
        <w:autoSpaceDN w:val="0"/>
        <w:bidi w:val="0"/>
        <w:spacing w:line="600" w:lineRule="exact"/>
        <w:ind w:firstLine="680" w:firstLineChars="200"/>
        <w:jc w:val="both"/>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项目固废主要为废催化剂、废保护剂和废瓷球等，均属危险废物，</w:t>
      </w:r>
      <w:r>
        <w:rPr>
          <w:rFonts w:hint="eastAsia" w:ascii="仿宋_GB2312" w:hAnsi="仿宋_GB2312" w:eastAsia="仿宋_GB2312" w:cs="仿宋_GB2312"/>
          <w:color w:val="auto"/>
          <w:sz w:val="34"/>
          <w:szCs w:val="34"/>
          <w:highlight w:val="none"/>
          <w:lang w:val="en-US" w:eastAsia="zh-CN"/>
        </w:rPr>
        <w:t>依托北方沥青股份有限公司现有危废暂存库</w:t>
      </w:r>
      <w:r>
        <w:rPr>
          <w:rFonts w:hint="eastAsia" w:ascii="仿宋_GB2312" w:hAnsi="仿宋_GB2312" w:eastAsia="仿宋_GB2312" w:cs="仿宋_GB2312"/>
          <w:color w:val="auto"/>
          <w:kern w:val="2"/>
          <w:sz w:val="34"/>
          <w:szCs w:val="34"/>
          <w:highlight w:val="none"/>
          <w:lang w:val="en-US" w:eastAsia="zh-CN" w:bidi="ar-SA"/>
        </w:rPr>
        <w:t>分类暂存，定期委托有资质单位处理。你单位应加强危废收集、暂存和运输等环节的管理，确保各类危险废物得到妥善暂存和有效处置。同时，按照创建国家生态文明建设示范市建设指标“危险废物利用处置率达到100%”的要求，保证项目产生的危险废物按危废管理要求定期处置、年底清零。</w:t>
      </w:r>
    </w:p>
    <w:p w14:paraId="3236D4FE">
      <w:pPr>
        <w:pStyle w:val="38"/>
        <w:keepNext w:val="0"/>
        <w:keepLines w:val="0"/>
        <w:pageBreakBefore w:val="0"/>
        <w:kinsoku/>
        <w:wordWrap/>
        <w:topLinePunct w:val="0"/>
        <w:autoSpaceDN w:val="0"/>
        <w:bidi w:val="0"/>
        <w:spacing w:line="600" w:lineRule="exact"/>
        <w:ind w:firstLine="680" w:firstLineChars="200"/>
        <w:jc w:val="both"/>
        <w:textAlignment w:val="auto"/>
        <w:rPr>
          <w:rFonts w:hint="eastAsia" w:ascii="仿宋_GB2312" w:hAnsi="仿宋_GB2312" w:eastAsia="仿宋_GB2312" w:cs="仿宋_GB2312"/>
          <w:color w:val="auto"/>
          <w:kern w:val="2"/>
          <w:sz w:val="34"/>
          <w:szCs w:val="34"/>
          <w:highlight w:val="none"/>
          <w:lang w:val="zh-CN" w:eastAsia="zh-CN" w:bidi="ar-SA"/>
        </w:rPr>
      </w:pPr>
      <w:r>
        <w:rPr>
          <w:rFonts w:hint="eastAsia" w:ascii="仿宋_GB2312" w:hAnsi="仿宋_GB2312" w:eastAsia="仿宋_GB2312" w:cs="仿宋_GB2312"/>
          <w:color w:val="auto"/>
          <w:kern w:val="2"/>
          <w:sz w:val="34"/>
          <w:szCs w:val="34"/>
          <w:highlight w:val="none"/>
          <w:lang w:val="en-US" w:eastAsia="zh-CN" w:bidi="ar-SA"/>
        </w:rPr>
        <w:t>（四）</w:t>
      </w:r>
      <w:r>
        <w:rPr>
          <w:rFonts w:hint="eastAsia" w:ascii="仿宋_GB2312" w:hAnsi="仿宋_GB2312" w:eastAsia="仿宋_GB2312" w:cs="仿宋_GB2312"/>
          <w:color w:val="auto"/>
          <w:kern w:val="2"/>
          <w:sz w:val="34"/>
          <w:szCs w:val="34"/>
          <w:highlight w:val="none"/>
          <w:lang w:val="zh-CN" w:eastAsia="zh-CN" w:bidi="ar-SA"/>
        </w:rPr>
        <w:t>有效控制设备噪声</w:t>
      </w:r>
    </w:p>
    <w:p w14:paraId="4221DDDD">
      <w:pPr>
        <w:keepNext w:val="0"/>
        <w:keepLines w:val="0"/>
        <w:pageBreakBefore w:val="0"/>
        <w:kinsoku/>
        <w:wordWrap/>
        <w:topLinePunct w:val="0"/>
        <w:bidi w:val="0"/>
        <w:spacing w:line="600" w:lineRule="exact"/>
        <w:ind w:firstLine="680" w:firstLineChars="200"/>
        <w:jc w:val="both"/>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设备选型应首先选用低噪声设备，从源头控制噪声源强；主要动设备均设置固定减震基础，并加装减振垫。同时，加强厂区和厂界绿化、设置绿化隔离带减弱噪声对周围环境影响，确保厂界噪声符合《工业企业厂界环境噪声排放标准》（GB12348-2008）3类标准要求。</w:t>
      </w:r>
    </w:p>
    <w:p w14:paraId="5C844C52">
      <w:pPr>
        <w:pStyle w:val="7"/>
        <w:keepNext w:val="0"/>
        <w:keepLines w:val="0"/>
        <w:pageBreakBefore w:val="0"/>
        <w:kinsoku/>
        <w:wordWrap/>
        <w:overflowPunct w:val="0"/>
        <w:topLinePunct w:val="0"/>
        <w:autoSpaceDE w:val="0"/>
        <w:autoSpaceDN w:val="0"/>
        <w:bidi w:val="0"/>
        <w:spacing w:line="600" w:lineRule="exact"/>
        <w:ind w:firstLine="680" w:firstLineChars="200"/>
        <w:jc w:val="both"/>
        <w:textAlignment w:val="auto"/>
        <w:rPr>
          <w:rFonts w:hint="eastAsia" w:ascii="仿宋_GB2312" w:hAnsi="仿宋_GB2312" w:eastAsia="仿宋_GB2312" w:cs="仿宋_GB2312"/>
          <w:bCs/>
          <w:sz w:val="34"/>
          <w:szCs w:val="34"/>
          <w:lang w:eastAsia="zh-CN"/>
        </w:rPr>
      </w:pPr>
      <w:r>
        <w:rPr>
          <w:rFonts w:hint="eastAsia" w:ascii="仿宋_GB2312" w:hAnsi="仿宋_GB2312" w:eastAsia="仿宋_GB2312" w:cs="仿宋_GB2312"/>
          <w:bCs/>
          <w:sz w:val="34"/>
          <w:szCs w:val="34"/>
        </w:rPr>
        <w:t>（</w:t>
      </w:r>
      <w:r>
        <w:rPr>
          <w:rFonts w:hint="eastAsia" w:ascii="仿宋_GB2312" w:hAnsi="仿宋_GB2312" w:eastAsia="仿宋_GB2312" w:cs="仿宋_GB2312"/>
          <w:bCs/>
          <w:sz w:val="34"/>
          <w:szCs w:val="34"/>
          <w:lang w:eastAsia="zh-CN"/>
        </w:rPr>
        <w:t>五</w:t>
      </w:r>
      <w:r>
        <w:rPr>
          <w:rFonts w:hint="eastAsia" w:ascii="仿宋_GB2312" w:hAnsi="仿宋_GB2312" w:eastAsia="仿宋_GB2312" w:cs="仿宋_GB2312"/>
          <w:bCs/>
          <w:sz w:val="34"/>
          <w:szCs w:val="34"/>
        </w:rPr>
        <w:t>）</w:t>
      </w:r>
      <w:r>
        <w:rPr>
          <w:rFonts w:hint="eastAsia" w:ascii="仿宋_GB2312" w:hAnsi="仿宋_GB2312" w:eastAsia="仿宋_GB2312" w:cs="仿宋_GB2312"/>
          <w:bCs/>
          <w:sz w:val="34"/>
          <w:szCs w:val="34"/>
          <w:lang w:eastAsia="zh-CN"/>
        </w:rPr>
        <w:t>严防地下水和土壤污染</w:t>
      </w:r>
    </w:p>
    <w:p w14:paraId="349BBD92">
      <w:pPr>
        <w:keepNext w:val="0"/>
        <w:keepLines w:val="0"/>
        <w:pageBreakBefore w:val="0"/>
        <w:kinsoku/>
        <w:wordWrap/>
        <w:topLinePunct w:val="0"/>
        <w:bidi w:val="0"/>
        <w:spacing w:line="600" w:lineRule="exact"/>
        <w:ind w:firstLine="680" w:firstLineChars="200"/>
        <w:jc w:val="both"/>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厂内各类设施应严格按照国家相关规范要求建设，从源头上防止或减少跑、冒、滴、漏现象；按照分区防渗原则落实各项防渗措施，做好与防渗相关设计、施工等图纸文本、影像资料的留存以备查。</w:t>
      </w:r>
    </w:p>
    <w:p w14:paraId="2FBD6156">
      <w:pPr>
        <w:keepNext w:val="0"/>
        <w:keepLines w:val="0"/>
        <w:pageBreakBefore w:val="0"/>
        <w:numPr>
          <w:ilvl w:val="0"/>
          <w:numId w:val="1"/>
        </w:numPr>
        <w:kinsoku/>
        <w:wordWrap/>
        <w:topLinePunct w:val="0"/>
        <w:bidi w:val="0"/>
        <w:spacing w:line="600" w:lineRule="exact"/>
        <w:ind w:firstLine="680" w:firstLineChars="200"/>
        <w:jc w:val="both"/>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严格落实</w:t>
      </w:r>
      <w:r>
        <w:rPr>
          <w:rFonts w:hint="eastAsia" w:ascii="仿宋_GB2312" w:hAnsi="仿宋_GB2312" w:eastAsia="仿宋_GB2312" w:cs="仿宋_GB2312"/>
          <w:color w:val="auto"/>
          <w:kern w:val="2"/>
          <w:sz w:val="34"/>
          <w:szCs w:val="34"/>
          <w:highlight w:val="none"/>
          <w:lang w:val="zh-CN" w:eastAsia="zh-CN" w:bidi="ar-SA"/>
        </w:rPr>
        <w:t>“报告</w:t>
      </w:r>
      <w:r>
        <w:rPr>
          <w:rFonts w:hint="eastAsia" w:ascii="仿宋_GB2312" w:hAnsi="仿宋_GB2312" w:eastAsia="仿宋_GB2312" w:cs="仿宋_GB2312"/>
          <w:color w:val="auto"/>
          <w:kern w:val="2"/>
          <w:sz w:val="34"/>
          <w:szCs w:val="34"/>
          <w:highlight w:val="none"/>
          <w:lang w:val="en-US" w:eastAsia="zh-CN" w:bidi="ar-SA"/>
        </w:rPr>
        <w:t>书</w:t>
      </w:r>
      <w:r>
        <w:rPr>
          <w:rFonts w:hint="eastAsia" w:ascii="仿宋_GB2312" w:hAnsi="仿宋_GB2312" w:eastAsia="仿宋_GB2312" w:cs="仿宋_GB2312"/>
          <w:color w:val="auto"/>
          <w:kern w:val="2"/>
          <w:sz w:val="34"/>
          <w:szCs w:val="34"/>
          <w:highlight w:val="none"/>
          <w:lang w:val="zh-CN" w:eastAsia="zh-CN" w:bidi="ar-SA"/>
        </w:rPr>
        <w:t>”</w:t>
      </w:r>
      <w:r>
        <w:rPr>
          <w:rFonts w:hint="eastAsia" w:ascii="仿宋_GB2312" w:hAnsi="仿宋_GB2312" w:eastAsia="仿宋_GB2312" w:cs="仿宋_GB2312"/>
          <w:color w:val="auto"/>
          <w:kern w:val="2"/>
          <w:sz w:val="34"/>
          <w:szCs w:val="34"/>
          <w:highlight w:val="none"/>
          <w:lang w:val="en-US" w:eastAsia="zh-CN" w:bidi="ar-SA"/>
        </w:rPr>
        <w:t>提出的各项环境风险防范措施。建立健全三级防控体系，完善相关管理制度，积极防范和应对突发环境事件。按照</w:t>
      </w:r>
      <w:r>
        <w:rPr>
          <w:rFonts w:hint="eastAsia" w:ascii="仿宋_GB2312" w:hAnsi="仿宋_GB2312" w:eastAsia="仿宋_GB2312" w:cs="仿宋_GB2312"/>
          <w:color w:val="auto"/>
          <w:kern w:val="2"/>
          <w:sz w:val="34"/>
          <w:szCs w:val="34"/>
          <w:highlight w:val="none"/>
          <w:lang w:val="zh-CN" w:eastAsia="zh-CN" w:bidi="ar-SA"/>
        </w:rPr>
        <w:t>“企业自救、属地自主、分级响应、区域联动”</w:t>
      </w:r>
      <w:r>
        <w:rPr>
          <w:rFonts w:hint="eastAsia" w:ascii="仿宋_GB2312" w:hAnsi="仿宋_GB2312" w:eastAsia="仿宋_GB2312" w:cs="仿宋_GB2312"/>
          <w:color w:val="auto"/>
          <w:kern w:val="2"/>
          <w:sz w:val="34"/>
          <w:szCs w:val="34"/>
          <w:highlight w:val="none"/>
          <w:lang w:val="en-US" w:eastAsia="zh-CN" w:bidi="ar-SA"/>
        </w:rPr>
        <w:t>原则，制定突发环境事件应急预案，并实现与相关管理部门和所在区域突发环境事件应急预案有效衔接。同时，应做好环保设施运行和维护，严格落实环保设施安全生产工作要求，健全企业内部污染防治设施运行和管理责任制度，委托有相应资质的单位对重点环保设施进行设计，并定期做好环保设备设施安全风险辨识评估和隐患排查治理。</w:t>
      </w:r>
    </w:p>
    <w:p w14:paraId="3DC82804">
      <w:pPr>
        <w:pStyle w:val="7"/>
        <w:keepNext w:val="0"/>
        <w:keepLines w:val="0"/>
        <w:pageBreakBefore w:val="0"/>
        <w:kinsoku/>
        <w:wordWrap/>
        <w:overflowPunct w:val="0"/>
        <w:topLinePunct w:val="0"/>
        <w:autoSpaceDE w:val="0"/>
        <w:autoSpaceDN w:val="0"/>
        <w:bidi w:val="0"/>
        <w:spacing w:line="600" w:lineRule="exact"/>
        <w:ind w:firstLine="680" w:firstLineChars="200"/>
        <w:jc w:val="both"/>
        <w:textAlignment w:val="auto"/>
        <w:rPr>
          <w:rFonts w:hint="eastAsia" w:ascii="仿宋_GB2312" w:hAnsi="仿宋_GB2312" w:eastAsia="仿宋_GB2312" w:cs="仿宋_GB2312"/>
          <w:color w:val="auto"/>
          <w:kern w:val="2"/>
          <w:sz w:val="34"/>
          <w:szCs w:val="34"/>
          <w:highlight w:val="none"/>
          <w:lang w:val="en-US" w:eastAsia="zh-CN" w:bidi="ar-SA"/>
        </w:rPr>
      </w:pPr>
      <w:r>
        <w:rPr>
          <w:rFonts w:hint="eastAsia" w:ascii="仿宋_GB2312" w:hAnsi="仿宋_GB2312" w:eastAsia="仿宋_GB2312" w:cs="仿宋_GB2312"/>
          <w:color w:val="auto"/>
          <w:kern w:val="2"/>
          <w:sz w:val="34"/>
          <w:szCs w:val="34"/>
          <w:highlight w:val="none"/>
          <w:lang w:val="en-US" w:eastAsia="zh-CN" w:bidi="ar-SA"/>
        </w:rPr>
        <w:t>三、全面执行“报告书”提出的环境管理及监测计划。建立技术文件档案，促进环境管理措施的修正和持续改进。按照国家和地方有关规定设置规范的污染物排放口、采样孔口和采样监测平台，并设立标识牌。定期开展大气、地表水、噪声、地下水和土壤等环境监测，建立污染监控、预警体系，如发现超标，应及时采取有效的环境影响减缓措施。</w:t>
      </w:r>
    </w:p>
    <w:p w14:paraId="70E0816E">
      <w:pPr>
        <w:pStyle w:val="7"/>
        <w:keepNext w:val="0"/>
        <w:keepLines w:val="0"/>
        <w:pageBreakBefore w:val="0"/>
        <w:kinsoku/>
        <w:wordWrap/>
        <w:overflowPunct w:val="0"/>
        <w:topLinePunct w:val="0"/>
        <w:autoSpaceDE w:val="0"/>
        <w:autoSpaceDN w:val="0"/>
        <w:bidi w:val="0"/>
        <w:spacing w:line="600" w:lineRule="exact"/>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Cs/>
          <w:sz w:val="34"/>
          <w:szCs w:val="34"/>
          <w:lang w:eastAsia="zh-CN"/>
        </w:rPr>
        <w:t>四</w:t>
      </w:r>
      <w:r>
        <w:rPr>
          <w:rFonts w:hint="eastAsia" w:ascii="仿宋_GB2312" w:hAnsi="仿宋_GB2312" w:eastAsia="仿宋_GB2312" w:cs="仿宋_GB2312"/>
          <w:bCs/>
          <w:sz w:val="34"/>
          <w:szCs w:val="34"/>
        </w:rPr>
        <w:t>、定期发布企业环境信息，并主动接受社会监督。在工程施工和运营过程中，应建立畅通的公众参与平台，及时解决公众担忧的环境问题，满足公众合理的环境诉求。</w:t>
      </w:r>
    </w:p>
    <w:p w14:paraId="6C7443EF">
      <w:pPr>
        <w:pStyle w:val="7"/>
        <w:keepNext w:val="0"/>
        <w:keepLines w:val="0"/>
        <w:pageBreakBefore w:val="0"/>
        <w:kinsoku/>
        <w:wordWrap/>
        <w:overflowPunct w:val="0"/>
        <w:topLinePunct w:val="0"/>
        <w:autoSpaceDE w:val="0"/>
        <w:autoSpaceDN w:val="0"/>
        <w:bidi w:val="0"/>
        <w:spacing w:line="600" w:lineRule="exact"/>
        <w:ind w:firstLine="680" w:firstLineChars="200"/>
        <w:jc w:val="both"/>
        <w:textAlignment w:val="auto"/>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lang w:val="en-US" w:eastAsia="zh-CN"/>
        </w:rPr>
        <w:t>五、</w:t>
      </w:r>
      <w:r>
        <w:rPr>
          <w:rFonts w:hint="eastAsia" w:ascii="仿宋_GB2312" w:hAnsi="仿宋_GB2312" w:eastAsia="仿宋_GB2312" w:cs="仿宋_GB2312"/>
          <w:bCs/>
          <w:sz w:val="34"/>
          <w:szCs w:val="34"/>
        </w:rPr>
        <w:t>按《排污许可管理条例》规定，</w:t>
      </w:r>
      <w:r>
        <w:rPr>
          <w:rFonts w:hint="eastAsia" w:ascii="仿宋_GB2312" w:hAnsi="仿宋_GB2312" w:eastAsia="仿宋_GB2312" w:cs="仿宋_GB2312"/>
          <w:bCs/>
          <w:sz w:val="34"/>
          <w:szCs w:val="34"/>
          <w:lang w:val="en-US" w:eastAsia="zh-CN"/>
        </w:rPr>
        <w:t>排污单位应</w:t>
      </w:r>
      <w:r>
        <w:rPr>
          <w:rFonts w:hint="eastAsia" w:ascii="仿宋_GB2312" w:hAnsi="仿宋_GB2312" w:eastAsia="仿宋_GB2312" w:cs="仿宋_GB2312"/>
          <w:bCs/>
          <w:sz w:val="34"/>
          <w:szCs w:val="34"/>
        </w:rPr>
        <w:t>依法持有排污许可证，并按规定排放污染物，未取得排污许可证前，</w:t>
      </w:r>
      <w:r>
        <w:rPr>
          <w:rFonts w:hint="eastAsia" w:ascii="仿宋_GB2312" w:hAnsi="仿宋_GB2312" w:eastAsia="仿宋_GB2312" w:cs="仿宋_GB2312"/>
          <w:bCs/>
          <w:sz w:val="34"/>
          <w:szCs w:val="34"/>
          <w:lang w:val="en-US" w:eastAsia="zh-CN"/>
        </w:rPr>
        <w:t>本项目</w:t>
      </w:r>
      <w:r>
        <w:rPr>
          <w:rFonts w:hint="eastAsia" w:ascii="仿宋_GB2312" w:hAnsi="仿宋_GB2312" w:eastAsia="仿宋_GB2312" w:cs="仿宋_GB2312"/>
          <w:bCs/>
          <w:sz w:val="34"/>
          <w:szCs w:val="34"/>
        </w:rPr>
        <w:t>不得</w:t>
      </w:r>
      <w:r>
        <w:rPr>
          <w:rFonts w:hint="eastAsia" w:ascii="仿宋_GB2312" w:hAnsi="仿宋_GB2312" w:eastAsia="仿宋_GB2312" w:cs="仿宋_GB2312"/>
          <w:bCs/>
          <w:sz w:val="34"/>
          <w:szCs w:val="34"/>
          <w:lang w:val="en-US" w:eastAsia="zh-CN"/>
        </w:rPr>
        <w:t>投产运行</w:t>
      </w:r>
      <w:r>
        <w:rPr>
          <w:rFonts w:hint="eastAsia" w:ascii="仿宋_GB2312" w:hAnsi="仿宋_GB2312" w:eastAsia="仿宋_GB2312" w:cs="仿宋_GB2312"/>
          <w:bCs/>
          <w:sz w:val="34"/>
          <w:szCs w:val="34"/>
        </w:rPr>
        <w:t>。</w:t>
      </w:r>
    </w:p>
    <w:p w14:paraId="5FA63F14">
      <w:pPr>
        <w:pStyle w:val="7"/>
        <w:keepNext w:val="0"/>
        <w:keepLines w:val="0"/>
        <w:pageBreakBefore w:val="0"/>
        <w:kinsoku/>
        <w:wordWrap/>
        <w:overflowPunct w:val="0"/>
        <w:topLinePunct w:val="0"/>
        <w:autoSpaceDE w:val="0"/>
        <w:autoSpaceDN w:val="0"/>
        <w:bidi w:val="0"/>
        <w:spacing w:line="600" w:lineRule="exact"/>
        <w:ind w:firstLine="680" w:firstLineChars="200"/>
        <w:jc w:val="both"/>
        <w:textAlignment w:val="auto"/>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lang w:val="en-US" w:eastAsia="zh-CN"/>
        </w:rPr>
        <w:t>六</w:t>
      </w:r>
      <w:r>
        <w:rPr>
          <w:rFonts w:hint="eastAsia" w:ascii="仿宋_GB2312" w:hAnsi="仿宋_GB2312" w:eastAsia="仿宋_GB2312" w:cs="仿宋_GB2312"/>
          <w:bCs/>
          <w:sz w:val="34"/>
          <w:szCs w:val="34"/>
        </w:rPr>
        <w:t>、按照国家有关污染物排放总量控制要求，</w:t>
      </w:r>
      <w:r>
        <w:rPr>
          <w:rFonts w:hint="eastAsia" w:ascii="仿宋_GB2312" w:hAnsi="仿宋_GB2312" w:eastAsia="仿宋_GB2312" w:cs="仿宋_GB2312"/>
          <w:bCs/>
          <w:sz w:val="34"/>
          <w:szCs w:val="34"/>
          <w:lang w:val="en-US" w:eastAsia="zh-CN"/>
        </w:rPr>
        <w:t>须</w:t>
      </w:r>
      <w:r>
        <w:rPr>
          <w:rFonts w:hint="eastAsia" w:ascii="仿宋_GB2312" w:hAnsi="仿宋_GB2312" w:eastAsia="仿宋_GB2312" w:cs="仿宋_GB2312"/>
          <w:bCs/>
          <w:sz w:val="34"/>
          <w:szCs w:val="34"/>
        </w:rPr>
        <w:t>落实污染物总量确认书中各污染物总量控制指标。</w:t>
      </w:r>
    </w:p>
    <w:p w14:paraId="5A02F35A">
      <w:pPr>
        <w:pStyle w:val="7"/>
        <w:keepNext w:val="0"/>
        <w:keepLines w:val="0"/>
        <w:pageBreakBefore w:val="0"/>
        <w:kinsoku/>
        <w:wordWrap/>
        <w:overflowPunct w:val="0"/>
        <w:topLinePunct w:val="0"/>
        <w:autoSpaceDE w:val="0"/>
        <w:autoSpaceDN w:val="0"/>
        <w:bidi w:val="0"/>
        <w:spacing w:line="600" w:lineRule="exact"/>
        <w:ind w:firstLine="680" w:firstLineChars="200"/>
        <w:jc w:val="both"/>
        <w:textAlignment w:val="auto"/>
        <w:rPr>
          <w:rFonts w:hint="eastAsia" w:ascii="仿宋_GB2312" w:hAnsi="仿宋_GB2312" w:eastAsia="仿宋_GB2312" w:cs="仿宋_GB2312"/>
          <w:bCs/>
          <w:sz w:val="34"/>
          <w:szCs w:val="34"/>
          <w:lang w:val="en-US" w:eastAsia="zh-CN"/>
        </w:rPr>
      </w:pPr>
      <w:r>
        <w:rPr>
          <w:rFonts w:hint="eastAsia" w:ascii="仿宋_GB2312" w:hAnsi="仿宋_GB2312" w:eastAsia="仿宋_GB2312" w:cs="仿宋_GB2312"/>
          <w:bCs/>
          <w:sz w:val="34"/>
          <w:szCs w:val="34"/>
          <w:lang w:val="en-US" w:eastAsia="zh-CN"/>
        </w:rPr>
        <w:t>七、</w:t>
      </w:r>
      <w:bookmarkStart w:id="0" w:name="_Hlk118712013"/>
      <w:r>
        <w:rPr>
          <w:rFonts w:hint="eastAsia" w:ascii="仿宋_GB2312" w:hAnsi="仿宋_GB2312" w:eastAsia="仿宋_GB2312" w:cs="仿宋_GB2312"/>
          <w:bCs/>
          <w:sz w:val="34"/>
          <w:szCs w:val="34"/>
          <w:lang w:val="en-US" w:eastAsia="zh-CN"/>
        </w:rPr>
        <w:t>严格落实生态环境保护主体责任，</w:t>
      </w:r>
      <w:bookmarkEnd w:id="0"/>
      <w:r>
        <w:rPr>
          <w:rFonts w:hint="eastAsia" w:ascii="仿宋_GB2312" w:hAnsi="仿宋_GB2312" w:eastAsia="仿宋_GB2312" w:cs="仿宋_GB2312"/>
          <w:bCs/>
          <w:sz w:val="34"/>
          <w:szCs w:val="34"/>
          <w:lang w:val="en-US" w:eastAsia="zh-CN"/>
        </w:rPr>
        <w:t>项目建设必须严格执行环境保护设施与主体工程同时设计、同时施工、同时投产使用的环境保护“三同时”制度。项目投产前，应按规定程序实施竣工环境保护验收，编制验收报告并向社会公开。</w:t>
      </w:r>
    </w:p>
    <w:p w14:paraId="5A839665">
      <w:pPr>
        <w:pStyle w:val="7"/>
        <w:keepNext w:val="0"/>
        <w:keepLines w:val="0"/>
        <w:pageBreakBefore w:val="0"/>
        <w:kinsoku/>
        <w:wordWrap/>
        <w:overflowPunct w:val="0"/>
        <w:topLinePunct w:val="0"/>
        <w:autoSpaceDE w:val="0"/>
        <w:autoSpaceDN w:val="0"/>
        <w:bidi w:val="0"/>
        <w:spacing w:line="600" w:lineRule="exact"/>
        <w:ind w:firstLine="680" w:firstLineChars="200"/>
        <w:jc w:val="both"/>
        <w:textAlignment w:val="auto"/>
        <w:rPr>
          <w:rFonts w:hint="eastAsia" w:ascii="仿宋_GB2312" w:hAnsi="仿宋_GB2312" w:eastAsia="仿宋_GB2312" w:cs="仿宋_GB2312"/>
          <w:bCs/>
          <w:sz w:val="34"/>
          <w:szCs w:val="34"/>
          <w:lang w:val="en-US" w:eastAsia="zh-CN"/>
        </w:rPr>
      </w:pPr>
      <w:r>
        <w:rPr>
          <w:rFonts w:hint="eastAsia" w:ascii="仿宋_GB2312" w:hAnsi="仿宋_GB2312" w:eastAsia="仿宋_GB2312" w:cs="仿宋_GB2312"/>
          <w:bCs/>
          <w:sz w:val="34"/>
          <w:szCs w:val="34"/>
          <w:lang w:val="en-US" w:eastAsia="zh-CN"/>
        </w:rPr>
        <w:t>八、环境影响报告书经批准后，项目的性质、规模、地点、工艺或者防治污染、环境风险防范等措施发生重大变动的，应当重新报批该项目的环境影响报告书。自环境影响报告书批复文件批准之日起，如超过五年开工建设，环境影响报告书应报我局重新审核。</w:t>
      </w:r>
    </w:p>
    <w:p w14:paraId="29E1697B">
      <w:pPr>
        <w:keepNext w:val="0"/>
        <w:keepLines w:val="0"/>
        <w:pageBreakBefore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eastAsia" w:ascii="仿宋_GB2312"/>
          <w:sz w:val="34"/>
          <w:szCs w:val="34"/>
        </w:rPr>
      </w:pPr>
      <w:r>
        <w:rPr>
          <w:rFonts w:hint="eastAsia" w:ascii="仿宋_GB2312" w:hAnsi="仿宋_GB2312" w:eastAsia="仿宋_GB2312" w:cs="仿宋_GB2312"/>
          <w:bCs/>
          <w:sz w:val="34"/>
          <w:szCs w:val="34"/>
          <w:lang w:val="en-US" w:eastAsia="zh-CN"/>
        </w:rPr>
        <w:t>九、</w:t>
      </w:r>
      <w:r>
        <w:rPr>
          <w:rFonts w:hint="eastAsia" w:ascii="仿宋_GB2312" w:hAnsi="仿宋_GB2312" w:eastAsia="仿宋_GB2312" w:cs="仿宋_GB2312"/>
          <w:bCs/>
          <w:sz w:val="34"/>
          <w:szCs w:val="34"/>
          <w:shd w:val="clear" w:color="auto" w:fill="auto"/>
          <w:lang w:val="en-US" w:eastAsia="zh-CN"/>
        </w:rPr>
        <w:t>盘锦市生态环境局</w:t>
      </w:r>
      <w:r>
        <w:rPr>
          <w:rFonts w:hint="eastAsia" w:ascii="仿宋_GB2312" w:hAnsi="仿宋_GB2312" w:eastAsia="仿宋_GB2312" w:cs="仿宋_GB2312"/>
          <w:bCs/>
          <w:sz w:val="34"/>
          <w:szCs w:val="34"/>
          <w:lang w:val="en-US" w:eastAsia="zh-CN"/>
        </w:rPr>
        <w:t>负责本项目的事中事后监督管理，你公司应按规定接受各级环境保护行政主管部门的日常监督检查。</w:t>
      </w:r>
    </w:p>
    <w:p w14:paraId="4323F38A">
      <w:pPr>
        <w:pStyle w:val="9"/>
        <w:keepNext w:val="0"/>
        <w:keepLines w:val="0"/>
        <w:pageBreakBefore w:val="0"/>
        <w:kinsoku/>
        <w:wordWrap/>
        <w:overflowPunct/>
        <w:topLinePunct w:val="0"/>
        <w:autoSpaceDE/>
        <w:autoSpaceDN/>
        <w:bidi w:val="0"/>
        <w:adjustRightInd/>
        <w:snapToGrid/>
        <w:spacing w:beforeAutospacing="0" w:afterAutospacing="0" w:line="600" w:lineRule="exact"/>
        <w:ind w:firstLine="680"/>
        <w:textAlignment w:val="auto"/>
        <w:rPr>
          <w:rFonts w:hint="eastAsia"/>
          <w:sz w:val="34"/>
          <w:szCs w:val="34"/>
        </w:rPr>
      </w:pPr>
    </w:p>
    <w:p w14:paraId="73054A67">
      <w:pPr>
        <w:pStyle w:val="9"/>
        <w:keepNext w:val="0"/>
        <w:keepLines w:val="0"/>
        <w:pageBreakBefore w:val="0"/>
        <w:kinsoku/>
        <w:wordWrap/>
        <w:overflowPunct/>
        <w:topLinePunct w:val="0"/>
        <w:autoSpaceDE/>
        <w:autoSpaceDN/>
        <w:bidi w:val="0"/>
        <w:adjustRightInd/>
        <w:snapToGrid/>
        <w:spacing w:beforeAutospacing="0" w:afterAutospacing="0" w:line="600" w:lineRule="exact"/>
        <w:ind w:firstLine="680"/>
        <w:textAlignment w:val="auto"/>
        <w:rPr>
          <w:sz w:val="34"/>
          <w:szCs w:val="34"/>
        </w:rPr>
      </w:pPr>
    </w:p>
    <w:p w14:paraId="0F5ADEA5">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仿宋_GB2312" w:eastAsia="仿宋_GB2312"/>
          <w:sz w:val="34"/>
          <w:szCs w:val="34"/>
        </w:rPr>
      </w:pPr>
      <w:r>
        <w:rPr>
          <w:rFonts w:hint="eastAsia" w:ascii="仿宋_GB2312" w:eastAsia="仿宋_GB2312"/>
          <w:sz w:val="34"/>
          <w:szCs w:val="34"/>
        </w:rPr>
        <w:t xml:space="preserve">                            盘锦市生态环境局</w:t>
      </w:r>
    </w:p>
    <w:p w14:paraId="6DD1ABE9">
      <w:pPr>
        <w:keepNext w:val="0"/>
        <w:keepLines w:val="0"/>
        <w:pageBreakBefore w:val="0"/>
        <w:kinsoku/>
        <w:wordWrap/>
        <w:overflowPunct/>
        <w:topLinePunct w:val="0"/>
        <w:autoSpaceDE/>
        <w:autoSpaceDN/>
        <w:bidi w:val="0"/>
        <w:adjustRightInd/>
        <w:snapToGrid/>
        <w:spacing w:beforeAutospacing="0" w:afterAutospacing="0" w:line="600" w:lineRule="exact"/>
        <w:ind w:firstLine="680" w:firstLineChars="200"/>
        <w:jc w:val="center"/>
        <w:textAlignment w:val="auto"/>
        <w:rPr>
          <w:rFonts w:hint="eastAsia" w:ascii="仿宋_GB2312" w:eastAsia="仿宋_GB2312"/>
          <w:sz w:val="34"/>
          <w:szCs w:val="34"/>
        </w:rPr>
      </w:pPr>
      <w:r>
        <w:rPr>
          <w:rFonts w:hint="eastAsia" w:ascii="仿宋_GB2312" w:eastAsia="仿宋_GB2312"/>
          <w:sz w:val="34"/>
          <w:szCs w:val="34"/>
        </w:rPr>
        <w:t xml:space="preserve">                2024年</w:t>
      </w:r>
      <w:r>
        <w:rPr>
          <w:rFonts w:hint="eastAsia" w:ascii="仿宋_GB2312" w:eastAsia="仿宋_GB2312"/>
          <w:sz w:val="34"/>
          <w:szCs w:val="34"/>
          <w:lang w:val="en-US" w:eastAsia="zh-CN"/>
        </w:rPr>
        <w:t>7</w:t>
      </w:r>
      <w:r>
        <w:rPr>
          <w:rFonts w:hint="eastAsia" w:ascii="仿宋_GB2312" w:eastAsia="仿宋_GB2312"/>
          <w:sz w:val="34"/>
          <w:szCs w:val="34"/>
        </w:rPr>
        <w:t>月</w:t>
      </w:r>
      <w:r>
        <w:rPr>
          <w:rFonts w:hint="eastAsia" w:ascii="仿宋_GB2312" w:eastAsia="仿宋_GB2312"/>
          <w:sz w:val="34"/>
          <w:szCs w:val="34"/>
          <w:lang w:val="en-US" w:eastAsia="zh-CN"/>
        </w:rPr>
        <w:t>1</w:t>
      </w:r>
      <w:r>
        <w:rPr>
          <w:rFonts w:hint="eastAsia" w:ascii="仿宋_GB2312" w:eastAsia="仿宋_GB2312"/>
          <w:sz w:val="34"/>
          <w:szCs w:val="34"/>
        </w:rPr>
        <w:t>日</w:t>
      </w:r>
    </w:p>
    <w:p w14:paraId="288A110E">
      <w:pPr>
        <w:pStyle w:val="25"/>
        <w:rPr>
          <w:rFonts w:eastAsia="仿宋"/>
          <w:color w:val="auto"/>
          <w:sz w:val="32"/>
          <w:szCs w:val="32"/>
          <w:highlight w:val="none"/>
        </w:rPr>
      </w:pPr>
    </w:p>
    <w:p w14:paraId="64D03C71">
      <w:pPr>
        <w:rPr>
          <w:rFonts w:eastAsia="仿宋"/>
          <w:color w:val="auto"/>
          <w:sz w:val="32"/>
          <w:szCs w:val="32"/>
          <w:highlight w:val="none"/>
        </w:rPr>
      </w:pPr>
    </w:p>
    <w:p w14:paraId="744E7FDE">
      <w:pPr>
        <w:pStyle w:val="2"/>
        <w:rPr>
          <w:rFonts w:eastAsia="仿宋"/>
          <w:color w:val="auto"/>
          <w:sz w:val="32"/>
          <w:szCs w:val="32"/>
          <w:highlight w:val="none"/>
        </w:rPr>
      </w:pPr>
    </w:p>
    <w:p w14:paraId="0D5822A9">
      <w:pPr>
        <w:rPr>
          <w:rFonts w:eastAsia="仿宋"/>
          <w:color w:val="auto"/>
          <w:sz w:val="32"/>
          <w:szCs w:val="32"/>
          <w:highlight w:val="none"/>
        </w:rPr>
      </w:pPr>
    </w:p>
    <w:p w14:paraId="2BF489DD">
      <w:pPr>
        <w:rPr>
          <w:rFonts w:eastAsia="仿宋"/>
          <w:color w:val="auto"/>
          <w:sz w:val="32"/>
          <w:szCs w:val="32"/>
          <w:highlight w:val="none"/>
        </w:rPr>
      </w:pPr>
    </w:p>
    <w:p w14:paraId="244D667E">
      <w:pPr>
        <w:pStyle w:val="2"/>
      </w:pPr>
    </w:p>
    <w:tbl>
      <w:tblPr>
        <w:tblStyle w:val="18"/>
        <w:tblpPr w:leftFromText="180" w:rightFromText="180" w:vertAnchor="text" w:horzAnchor="page" w:tblpX="1577" w:tblpY="171"/>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4074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000" w:type="dxa"/>
            <w:tcBorders>
              <w:top w:val="single" w:color="auto" w:sz="4" w:space="0"/>
              <w:left w:val="nil"/>
              <w:bottom w:val="single" w:color="auto" w:sz="4" w:space="0"/>
              <w:right w:val="nil"/>
            </w:tcBorders>
            <w:noWrap w:val="0"/>
            <w:vAlign w:val="top"/>
          </w:tcPr>
          <w:p w14:paraId="0CFB624B">
            <w:pPr>
              <w:spacing w:line="50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抄送：市生态环境局机关各科室、盘锦市生态环境保护服务中心、市生态环境保护综合行政执法队</w:t>
            </w:r>
          </w:p>
        </w:tc>
      </w:tr>
      <w:tr w14:paraId="5891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000" w:type="dxa"/>
            <w:tcBorders>
              <w:top w:val="single" w:color="auto" w:sz="4" w:space="0"/>
              <w:left w:val="nil"/>
              <w:bottom w:val="single" w:color="auto" w:sz="4" w:space="0"/>
              <w:right w:val="nil"/>
            </w:tcBorders>
            <w:noWrap w:val="0"/>
            <w:vAlign w:val="top"/>
          </w:tcPr>
          <w:p w14:paraId="3B5AA079">
            <w:pPr>
              <w:spacing w:line="360" w:lineRule="auto"/>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盘锦市生态环境局办公室                    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日印发</w:t>
            </w:r>
          </w:p>
        </w:tc>
      </w:tr>
    </w:tbl>
    <w:p w14:paraId="0448AD83">
      <w:pPr>
        <w:keepNext w:val="0"/>
        <w:keepLines w:val="0"/>
        <w:pageBreakBefore w:val="0"/>
        <w:widowControl w:val="0"/>
        <w:tabs>
          <w:tab w:val="left" w:pos="3572"/>
        </w:tabs>
        <w:kinsoku/>
        <w:wordWrap/>
        <w:overflowPunct/>
        <w:topLinePunct w:val="0"/>
        <w:autoSpaceDE/>
        <w:autoSpaceDN/>
        <w:bidi w:val="0"/>
        <w:adjustRightInd/>
        <w:snapToGrid/>
        <w:spacing w:line="20" w:lineRule="exact"/>
        <w:jc w:val="left"/>
        <w:textAlignment w:val="auto"/>
        <w:rPr>
          <w:rFonts w:hint="eastAsia"/>
          <w:lang w:val="en-US" w:eastAsia="zh-CN"/>
        </w:rPr>
      </w:pPr>
    </w:p>
    <w:sectPr>
      <w:headerReference r:id="rId3" w:type="default"/>
      <w:footerReference r:id="rId4" w:type="default"/>
      <w:pgSz w:w="11906" w:h="16838"/>
      <w:pgMar w:top="1474" w:right="1474" w:bottom="1474" w:left="147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0653489-A92B-4333-A65E-87AFF5568283}"/>
  </w:font>
  <w:font w:name="仿宋_GB2312">
    <w:panose1 w:val="02010609030101010101"/>
    <w:charset w:val="86"/>
    <w:family w:val="modern"/>
    <w:pitch w:val="default"/>
    <w:sig w:usb0="00000001" w:usb1="080E0000" w:usb2="00000000" w:usb3="00000000" w:csb0="00040000" w:csb1="00000000"/>
    <w:embedRegular r:id="rId2" w:fontKey="{041FAE6F-B219-497B-8F00-32F8D349B055}"/>
  </w:font>
  <w:font w:name="仿宋">
    <w:panose1 w:val="02010609060101010101"/>
    <w:charset w:val="86"/>
    <w:family w:val="modern"/>
    <w:pitch w:val="default"/>
    <w:sig w:usb0="800002BF" w:usb1="38CF7CFA" w:usb2="00000016" w:usb3="00000000" w:csb0="00040001" w:csb1="00000000"/>
    <w:embedRegular r:id="rId3" w:fontKey="{27A9CE88-BDBE-48F1-9C0C-A15AE3A0F89C}"/>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panose1 w:val="02000000000000000000"/>
    <w:charset w:val="86"/>
    <w:family w:val="script"/>
    <w:pitch w:val="default"/>
    <w:sig w:usb0="A00002BF" w:usb1="38CF7CFA" w:usb2="00082016" w:usb3="00000000" w:csb0="00040001" w:csb1="00000000"/>
    <w:embedRegular r:id="rId4" w:fontKey="{12961942-2FA6-45A7-8D5F-46319E2BC7B9}"/>
  </w:font>
  <w:font w:name="楷体_GB2312">
    <w:panose1 w:val="02010609030101010101"/>
    <w:charset w:val="86"/>
    <w:family w:val="modern"/>
    <w:pitch w:val="default"/>
    <w:sig w:usb0="00000001" w:usb1="080E0000" w:usb2="00000000" w:usb3="00000000" w:csb0="00040000" w:csb1="00000000"/>
    <w:embedRegular r:id="rId5" w:fontKey="{F1B6CDF7-E4AC-4D4C-9E52-9B2CABF349F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7F8F0">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3128D9">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273128D9">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2D7A9">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8D0BB"/>
    <w:multiLevelType w:val="singleLevel"/>
    <w:tmpl w:val="4DD8D0B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M2E1NjFhMDRlY2FhMjNjZjc0MTM5YWJlNjA4MzAifQ=="/>
  </w:docVars>
  <w:rsids>
    <w:rsidRoot w:val="00221223"/>
    <w:rsid w:val="000022C4"/>
    <w:rsid w:val="00006710"/>
    <w:rsid w:val="00012A4F"/>
    <w:rsid w:val="00033156"/>
    <w:rsid w:val="00035F78"/>
    <w:rsid w:val="00036DE5"/>
    <w:rsid w:val="00090F2B"/>
    <w:rsid w:val="000960F3"/>
    <w:rsid w:val="000C2A4D"/>
    <w:rsid w:val="000F41D1"/>
    <w:rsid w:val="000F64A3"/>
    <w:rsid w:val="000F6883"/>
    <w:rsid w:val="00120F83"/>
    <w:rsid w:val="0012745C"/>
    <w:rsid w:val="00133518"/>
    <w:rsid w:val="00153CA7"/>
    <w:rsid w:val="001850CD"/>
    <w:rsid w:val="00186ED3"/>
    <w:rsid w:val="0019053E"/>
    <w:rsid w:val="001A6A7A"/>
    <w:rsid w:val="001E2B25"/>
    <w:rsid w:val="001E2EAF"/>
    <w:rsid w:val="001F3D1B"/>
    <w:rsid w:val="00221223"/>
    <w:rsid w:val="002459A5"/>
    <w:rsid w:val="00251FBC"/>
    <w:rsid w:val="00261E4E"/>
    <w:rsid w:val="00270822"/>
    <w:rsid w:val="00271072"/>
    <w:rsid w:val="002A30E7"/>
    <w:rsid w:val="002B5D3E"/>
    <w:rsid w:val="0032585B"/>
    <w:rsid w:val="00340E78"/>
    <w:rsid w:val="00341200"/>
    <w:rsid w:val="003514EF"/>
    <w:rsid w:val="00374FCB"/>
    <w:rsid w:val="003A3B2E"/>
    <w:rsid w:val="003A481B"/>
    <w:rsid w:val="003C2FA5"/>
    <w:rsid w:val="003D551B"/>
    <w:rsid w:val="003F729B"/>
    <w:rsid w:val="00416863"/>
    <w:rsid w:val="004A43F9"/>
    <w:rsid w:val="004B5653"/>
    <w:rsid w:val="004C29C2"/>
    <w:rsid w:val="004E7AED"/>
    <w:rsid w:val="004F5EBF"/>
    <w:rsid w:val="005014AB"/>
    <w:rsid w:val="00503914"/>
    <w:rsid w:val="00510980"/>
    <w:rsid w:val="005409BB"/>
    <w:rsid w:val="00547360"/>
    <w:rsid w:val="00562404"/>
    <w:rsid w:val="005A249B"/>
    <w:rsid w:val="005B0BA7"/>
    <w:rsid w:val="0060326A"/>
    <w:rsid w:val="00613BEC"/>
    <w:rsid w:val="006252DF"/>
    <w:rsid w:val="00632E81"/>
    <w:rsid w:val="006409E2"/>
    <w:rsid w:val="00661C23"/>
    <w:rsid w:val="006864AE"/>
    <w:rsid w:val="00694161"/>
    <w:rsid w:val="006A11BD"/>
    <w:rsid w:val="006E7674"/>
    <w:rsid w:val="00713CDD"/>
    <w:rsid w:val="007218EE"/>
    <w:rsid w:val="007227FA"/>
    <w:rsid w:val="0075701A"/>
    <w:rsid w:val="00762670"/>
    <w:rsid w:val="00767D24"/>
    <w:rsid w:val="007B64EE"/>
    <w:rsid w:val="007B7A28"/>
    <w:rsid w:val="007D71FD"/>
    <w:rsid w:val="007E3772"/>
    <w:rsid w:val="00804597"/>
    <w:rsid w:val="00814619"/>
    <w:rsid w:val="00860E9B"/>
    <w:rsid w:val="008661B7"/>
    <w:rsid w:val="0086751D"/>
    <w:rsid w:val="008A07E2"/>
    <w:rsid w:val="008A4349"/>
    <w:rsid w:val="008B446D"/>
    <w:rsid w:val="008B7843"/>
    <w:rsid w:val="008C156F"/>
    <w:rsid w:val="00916982"/>
    <w:rsid w:val="009251CA"/>
    <w:rsid w:val="00935B0A"/>
    <w:rsid w:val="009410E1"/>
    <w:rsid w:val="00960943"/>
    <w:rsid w:val="009826FC"/>
    <w:rsid w:val="00A016BF"/>
    <w:rsid w:val="00A13BCD"/>
    <w:rsid w:val="00A31204"/>
    <w:rsid w:val="00A469B0"/>
    <w:rsid w:val="00A72F84"/>
    <w:rsid w:val="00A93719"/>
    <w:rsid w:val="00AE7696"/>
    <w:rsid w:val="00B05B31"/>
    <w:rsid w:val="00B0766C"/>
    <w:rsid w:val="00B77824"/>
    <w:rsid w:val="00B85001"/>
    <w:rsid w:val="00BA4104"/>
    <w:rsid w:val="00BD2971"/>
    <w:rsid w:val="00BE7B97"/>
    <w:rsid w:val="00C05C5F"/>
    <w:rsid w:val="00C14812"/>
    <w:rsid w:val="00C812BC"/>
    <w:rsid w:val="00CA0C97"/>
    <w:rsid w:val="00CA3A5D"/>
    <w:rsid w:val="00CC1BB9"/>
    <w:rsid w:val="00CD3545"/>
    <w:rsid w:val="00D51C48"/>
    <w:rsid w:val="00D64CA9"/>
    <w:rsid w:val="00DB5127"/>
    <w:rsid w:val="00DB57DC"/>
    <w:rsid w:val="00DC0909"/>
    <w:rsid w:val="00DF439C"/>
    <w:rsid w:val="00E20084"/>
    <w:rsid w:val="00E349D1"/>
    <w:rsid w:val="00E36581"/>
    <w:rsid w:val="00E51F7B"/>
    <w:rsid w:val="00E61854"/>
    <w:rsid w:val="00E73523"/>
    <w:rsid w:val="00E771FE"/>
    <w:rsid w:val="00E80594"/>
    <w:rsid w:val="00E873E9"/>
    <w:rsid w:val="00EB6C35"/>
    <w:rsid w:val="00EC3A69"/>
    <w:rsid w:val="00F15A3E"/>
    <w:rsid w:val="00F231BA"/>
    <w:rsid w:val="00F44F10"/>
    <w:rsid w:val="00F72804"/>
    <w:rsid w:val="00FA1291"/>
    <w:rsid w:val="00FB0FC3"/>
    <w:rsid w:val="00FB4983"/>
    <w:rsid w:val="00FD7FDF"/>
    <w:rsid w:val="00FE2552"/>
    <w:rsid w:val="02A012CC"/>
    <w:rsid w:val="02C57730"/>
    <w:rsid w:val="02F90D2C"/>
    <w:rsid w:val="0328129C"/>
    <w:rsid w:val="0336719E"/>
    <w:rsid w:val="033A6B24"/>
    <w:rsid w:val="03401627"/>
    <w:rsid w:val="036B29DC"/>
    <w:rsid w:val="03B15391"/>
    <w:rsid w:val="03DA72B5"/>
    <w:rsid w:val="0410624E"/>
    <w:rsid w:val="045606B8"/>
    <w:rsid w:val="0461061C"/>
    <w:rsid w:val="047B2BEA"/>
    <w:rsid w:val="051E516F"/>
    <w:rsid w:val="059946DB"/>
    <w:rsid w:val="05F32763"/>
    <w:rsid w:val="065E6284"/>
    <w:rsid w:val="06893D98"/>
    <w:rsid w:val="06C71CBD"/>
    <w:rsid w:val="075B5D40"/>
    <w:rsid w:val="078169DC"/>
    <w:rsid w:val="07A435C6"/>
    <w:rsid w:val="084872A9"/>
    <w:rsid w:val="0924239F"/>
    <w:rsid w:val="0963763A"/>
    <w:rsid w:val="098D2299"/>
    <w:rsid w:val="0AA81D11"/>
    <w:rsid w:val="0AAE3D6D"/>
    <w:rsid w:val="0B84200E"/>
    <w:rsid w:val="0B8A71EC"/>
    <w:rsid w:val="0B8F2717"/>
    <w:rsid w:val="0BFE706B"/>
    <w:rsid w:val="0C191405"/>
    <w:rsid w:val="0C8F6235"/>
    <w:rsid w:val="0D2932A4"/>
    <w:rsid w:val="0E2F6274"/>
    <w:rsid w:val="0E777376"/>
    <w:rsid w:val="0E9908E2"/>
    <w:rsid w:val="0EF225F0"/>
    <w:rsid w:val="0F185CB7"/>
    <w:rsid w:val="0F780309"/>
    <w:rsid w:val="0F7B2E51"/>
    <w:rsid w:val="0F875B91"/>
    <w:rsid w:val="0F986886"/>
    <w:rsid w:val="0FA47A5F"/>
    <w:rsid w:val="124D1355"/>
    <w:rsid w:val="125205DC"/>
    <w:rsid w:val="12713794"/>
    <w:rsid w:val="12F005A8"/>
    <w:rsid w:val="13177266"/>
    <w:rsid w:val="13460591"/>
    <w:rsid w:val="14EE186C"/>
    <w:rsid w:val="154E75E2"/>
    <w:rsid w:val="15CA0452"/>
    <w:rsid w:val="15FD5C29"/>
    <w:rsid w:val="160D26F3"/>
    <w:rsid w:val="16324656"/>
    <w:rsid w:val="163C70C4"/>
    <w:rsid w:val="166A1474"/>
    <w:rsid w:val="16871C7A"/>
    <w:rsid w:val="179368B9"/>
    <w:rsid w:val="17AD2398"/>
    <w:rsid w:val="17F60DD3"/>
    <w:rsid w:val="18342780"/>
    <w:rsid w:val="18E66F08"/>
    <w:rsid w:val="1910429A"/>
    <w:rsid w:val="192B4D5C"/>
    <w:rsid w:val="196509E9"/>
    <w:rsid w:val="1B2B60AD"/>
    <w:rsid w:val="1B9328F3"/>
    <w:rsid w:val="1C3B085A"/>
    <w:rsid w:val="1CB60720"/>
    <w:rsid w:val="1CB60CDB"/>
    <w:rsid w:val="1DFA3281"/>
    <w:rsid w:val="1E590982"/>
    <w:rsid w:val="1FAD5BA8"/>
    <w:rsid w:val="1FF80C37"/>
    <w:rsid w:val="20557BC0"/>
    <w:rsid w:val="21984A90"/>
    <w:rsid w:val="21B43FFC"/>
    <w:rsid w:val="22B602B1"/>
    <w:rsid w:val="23001B96"/>
    <w:rsid w:val="23444295"/>
    <w:rsid w:val="23C25F83"/>
    <w:rsid w:val="243E5984"/>
    <w:rsid w:val="24536EFD"/>
    <w:rsid w:val="24A80C9A"/>
    <w:rsid w:val="24E115EC"/>
    <w:rsid w:val="24FE6FAA"/>
    <w:rsid w:val="258D558A"/>
    <w:rsid w:val="25901443"/>
    <w:rsid w:val="25A65428"/>
    <w:rsid w:val="26960002"/>
    <w:rsid w:val="26C549BC"/>
    <w:rsid w:val="272A5BA0"/>
    <w:rsid w:val="27CF1C72"/>
    <w:rsid w:val="28060AD5"/>
    <w:rsid w:val="2830434B"/>
    <w:rsid w:val="28BB059B"/>
    <w:rsid w:val="29CB0E44"/>
    <w:rsid w:val="2AB62F90"/>
    <w:rsid w:val="2CB364CE"/>
    <w:rsid w:val="2D15273B"/>
    <w:rsid w:val="2DCF12F5"/>
    <w:rsid w:val="2DF96410"/>
    <w:rsid w:val="2E0F1B01"/>
    <w:rsid w:val="2E2F2B2B"/>
    <w:rsid w:val="2ECD7468"/>
    <w:rsid w:val="2EDA6908"/>
    <w:rsid w:val="2F6D7B2F"/>
    <w:rsid w:val="2FE20701"/>
    <w:rsid w:val="301E6555"/>
    <w:rsid w:val="305D323B"/>
    <w:rsid w:val="309A0400"/>
    <w:rsid w:val="30B949FB"/>
    <w:rsid w:val="30D859B0"/>
    <w:rsid w:val="316A0668"/>
    <w:rsid w:val="31827B96"/>
    <w:rsid w:val="31931E33"/>
    <w:rsid w:val="31B373C8"/>
    <w:rsid w:val="31E92535"/>
    <w:rsid w:val="324F6E75"/>
    <w:rsid w:val="328417B6"/>
    <w:rsid w:val="34383839"/>
    <w:rsid w:val="34CE48C9"/>
    <w:rsid w:val="34F428CF"/>
    <w:rsid w:val="352F394A"/>
    <w:rsid w:val="353C0250"/>
    <w:rsid w:val="358B5193"/>
    <w:rsid w:val="362D3DD5"/>
    <w:rsid w:val="362D76E9"/>
    <w:rsid w:val="37EE702C"/>
    <w:rsid w:val="3913438E"/>
    <w:rsid w:val="39792A34"/>
    <w:rsid w:val="39F75671"/>
    <w:rsid w:val="3AE23D9D"/>
    <w:rsid w:val="3BB7583C"/>
    <w:rsid w:val="3C541299"/>
    <w:rsid w:val="3C9C4571"/>
    <w:rsid w:val="3CE86D26"/>
    <w:rsid w:val="3D23753B"/>
    <w:rsid w:val="3D742D07"/>
    <w:rsid w:val="3D986FEC"/>
    <w:rsid w:val="3DA1437E"/>
    <w:rsid w:val="3E2A1AE5"/>
    <w:rsid w:val="3F2362A1"/>
    <w:rsid w:val="3F3E6DD2"/>
    <w:rsid w:val="3F7E5122"/>
    <w:rsid w:val="401612A3"/>
    <w:rsid w:val="401C2EA4"/>
    <w:rsid w:val="40294436"/>
    <w:rsid w:val="40AF5B8A"/>
    <w:rsid w:val="40BF0DFA"/>
    <w:rsid w:val="40C746E6"/>
    <w:rsid w:val="412A3412"/>
    <w:rsid w:val="4130003D"/>
    <w:rsid w:val="416217F5"/>
    <w:rsid w:val="426041F1"/>
    <w:rsid w:val="434F08F4"/>
    <w:rsid w:val="438A08E2"/>
    <w:rsid w:val="43C14D91"/>
    <w:rsid w:val="43C3273B"/>
    <w:rsid w:val="43C9470B"/>
    <w:rsid w:val="452366B8"/>
    <w:rsid w:val="458C75A8"/>
    <w:rsid w:val="45A444B6"/>
    <w:rsid w:val="460D74FE"/>
    <w:rsid w:val="462C3D16"/>
    <w:rsid w:val="46A50B40"/>
    <w:rsid w:val="46C20FAB"/>
    <w:rsid w:val="47171891"/>
    <w:rsid w:val="47303EE4"/>
    <w:rsid w:val="47EF0359"/>
    <w:rsid w:val="48AC1A4A"/>
    <w:rsid w:val="4916356D"/>
    <w:rsid w:val="4969697D"/>
    <w:rsid w:val="497B5A44"/>
    <w:rsid w:val="49F500F7"/>
    <w:rsid w:val="4A3D2FA0"/>
    <w:rsid w:val="4B6F5160"/>
    <w:rsid w:val="4C1471C3"/>
    <w:rsid w:val="4C9A0AD0"/>
    <w:rsid w:val="4CFE679A"/>
    <w:rsid w:val="4D4F591A"/>
    <w:rsid w:val="4DD57D7F"/>
    <w:rsid w:val="4DE71EA9"/>
    <w:rsid w:val="4E3C30D4"/>
    <w:rsid w:val="4E7D771D"/>
    <w:rsid w:val="4EF47D3A"/>
    <w:rsid w:val="4F0C6E05"/>
    <w:rsid w:val="4F337B24"/>
    <w:rsid w:val="4F3E39E9"/>
    <w:rsid w:val="4FE24116"/>
    <w:rsid w:val="50274691"/>
    <w:rsid w:val="50A373DC"/>
    <w:rsid w:val="51023094"/>
    <w:rsid w:val="51393856"/>
    <w:rsid w:val="51501F2F"/>
    <w:rsid w:val="51D03D50"/>
    <w:rsid w:val="526972E9"/>
    <w:rsid w:val="538C1FAF"/>
    <w:rsid w:val="54545C22"/>
    <w:rsid w:val="54740C06"/>
    <w:rsid w:val="54D33ADC"/>
    <w:rsid w:val="54DF747A"/>
    <w:rsid w:val="54F102A8"/>
    <w:rsid w:val="55124B31"/>
    <w:rsid w:val="557F096D"/>
    <w:rsid w:val="56DF432F"/>
    <w:rsid w:val="577E3B51"/>
    <w:rsid w:val="57E47851"/>
    <w:rsid w:val="58637435"/>
    <w:rsid w:val="586D673B"/>
    <w:rsid w:val="595800B5"/>
    <w:rsid w:val="59FF5432"/>
    <w:rsid w:val="5A147AEF"/>
    <w:rsid w:val="5A4760C7"/>
    <w:rsid w:val="5A553025"/>
    <w:rsid w:val="5A821E11"/>
    <w:rsid w:val="5AE01E88"/>
    <w:rsid w:val="5B451AA2"/>
    <w:rsid w:val="5BBF7BEF"/>
    <w:rsid w:val="5BE05159"/>
    <w:rsid w:val="5C600C7F"/>
    <w:rsid w:val="5C9008C7"/>
    <w:rsid w:val="5CC064CD"/>
    <w:rsid w:val="5CE014E0"/>
    <w:rsid w:val="5CE83706"/>
    <w:rsid w:val="5D3168D6"/>
    <w:rsid w:val="5D4A1AE0"/>
    <w:rsid w:val="5E6935E2"/>
    <w:rsid w:val="5EA95E78"/>
    <w:rsid w:val="5EB62F9D"/>
    <w:rsid w:val="5F521D0E"/>
    <w:rsid w:val="602D69D0"/>
    <w:rsid w:val="604A3889"/>
    <w:rsid w:val="606B7CDE"/>
    <w:rsid w:val="606C1ABA"/>
    <w:rsid w:val="60756B91"/>
    <w:rsid w:val="61E71EA1"/>
    <w:rsid w:val="62CD7C71"/>
    <w:rsid w:val="62FF1269"/>
    <w:rsid w:val="632C50FC"/>
    <w:rsid w:val="6569212F"/>
    <w:rsid w:val="65B20F9D"/>
    <w:rsid w:val="66572541"/>
    <w:rsid w:val="667328A7"/>
    <w:rsid w:val="66737851"/>
    <w:rsid w:val="66C033A2"/>
    <w:rsid w:val="67020A0A"/>
    <w:rsid w:val="672D37A6"/>
    <w:rsid w:val="678D3303"/>
    <w:rsid w:val="67B63ADD"/>
    <w:rsid w:val="68A458F0"/>
    <w:rsid w:val="68DF0621"/>
    <w:rsid w:val="690D5BCB"/>
    <w:rsid w:val="692F5314"/>
    <w:rsid w:val="6A7D58E3"/>
    <w:rsid w:val="6B6764D9"/>
    <w:rsid w:val="6C1A1634"/>
    <w:rsid w:val="6C5521C8"/>
    <w:rsid w:val="6C81461E"/>
    <w:rsid w:val="6E0A1337"/>
    <w:rsid w:val="6EC1246B"/>
    <w:rsid w:val="6F7D5C88"/>
    <w:rsid w:val="70161C11"/>
    <w:rsid w:val="70442823"/>
    <w:rsid w:val="709F3AA1"/>
    <w:rsid w:val="70EC38CE"/>
    <w:rsid w:val="7131483E"/>
    <w:rsid w:val="71F418AD"/>
    <w:rsid w:val="71F61695"/>
    <w:rsid w:val="723E7C1A"/>
    <w:rsid w:val="72747CED"/>
    <w:rsid w:val="72A11C63"/>
    <w:rsid w:val="72C4301B"/>
    <w:rsid w:val="73072158"/>
    <w:rsid w:val="73FA2497"/>
    <w:rsid w:val="74037A74"/>
    <w:rsid w:val="745118AC"/>
    <w:rsid w:val="747407A1"/>
    <w:rsid w:val="7476046D"/>
    <w:rsid w:val="747F686B"/>
    <w:rsid w:val="74E04DAE"/>
    <w:rsid w:val="74E0685C"/>
    <w:rsid w:val="74FF5E05"/>
    <w:rsid w:val="75074526"/>
    <w:rsid w:val="75121B62"/>
    <w:rsid w:val="752533FE"/>
    <w:rsid w:val="7549478E"/>
    <w:rsid w:val="75DD5779"/>
    <w:rsid w:val="75F22CEF"/>
    <w:rsid w:val="762B3BAE"/>
    <w:rsid w:val="76CD5E85"/>
    <w:rsid w:val="77253324"/>
    <w:rsid w:val="77260641"/>
    <w:rsid w:val="779664E4"/>
    <w:rsid w:val="78420DE6"/>
    <w:rsid w:val="78EF4C0F"/>
    <w:rsid w:val="79EA424B"/>
    <w:rsid w:val="7A006E00"/>
    <w:rsid w:val="7A57526B"/>
    <w:rsid w:val="7A7C14F0"/>
    <w:rsid w:val="7AB87B29"/>
    <w:rsid w:val="7B2B34BA"/>
    <w:rsid w:val="7BD5678E"/>
    <w:rsid w:val="7BE2656B"/>
    <w:rsid w:val="7BEB5C42"/>
    <w:rsid w:val="7BF62DA1"/>
    <w:rsid w:val="7C526109"/>
    <w:rsid w:val="7CBC20C2"/>
    <w:rsid w:val="7D9E7419"/>
    <w:rsid w:val="7DD51663"/>
    <w:rsid w:val="7EEB11D7"/>
    <w:rsid w:val="7EFC18E2"/>
    <w:rsid w:val="7F1D0D79"/>
    <w:rsid w:val="7FD666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6" w:lineRule="auto"/>
      <w:outlineLvl w:val="0"/>
    </w:pPr>
    <w:rPr>
      <w:rFonts w:ascii="Times New Roman" w:hAnsi="Times New Roman"/>
      <w:b/>
      <w:kern w:val="44"/>
      <w:sz w:val="44"/>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Indent 2"/>
    <w:basedOn w:val="1"/>
    <w:next w:val="1"/>
    <w:link w:val="33"/>
    <w:qFormat/>
    <w:uiPriority w:val="0"/>
    <w:pPr>
      <w:adjustRightInd w:val="0"/>
      <w:spacing w:line="360" w:lineRule="auto"/>
      <w:ind w:firstLine="420"/>
      <w:jc w:val="left"/>
    </w:pPr>
    <w:rPr>
      <w:rFonts w:ascii="宋体" w:hAnsi="宋体"/>
      <w:szCs w:val="20"/>
    </w:r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line="240" w:lineRule="exact"/>
      <w:jc w:val="center"/>
    </w:pPr>
    <w:rPr>
      <w:rFonts w:ascii="宋体" w:hAnsi="宋体"/>
    </w:rPr>
  </w:style>
  <w:style w:type="paragraph" w:styleId="7">
    <w:name w:val="Body Text Indent"/>
    <w:basedOn w:val="1"/>
    <w:next w:val="8"/>
    <w:qFormat/>
    <w:uiPriority w:val="0"/>
    <w:pPr>
      <w:spacing w:line="300" w:lineRule="auto"/>
      <w:ind w:firstLine="640" w:firstLineChars="200"/>
    </w:pPr>
    <w:rPr>
      <w:sz w:val="32"/>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5"/>
    <w:basedOn w:val="4"/>
    <w:qFormat/>
    <w:uiPriority w:val="0"/>
    <w:pPr>
      <w:spacing w:line="360" w:lineRule="auto"/>
      <w:ind w:firstLine="480" w:firstLineChars="200"/>
    </w:pPr>
    <w:rPr>
      <w:rFonts w:eastAsia="仿宋_GB2312"/>
      <w:sz w:val="24"/>
    </w:rPr>
  </w:style>
  <w:style w:type="paragraph" w:styleId="10">
    <w:name w:val="Date"/>
    <w:basedOn w:val="1"/>
    <w:next w:val="1"/>
    <w:link w:val="36"/>
    <w:qFormat/>
    <w:uiPriority w:val="0"/>
    <w:pPr>
      <w:ind w:left="100" w:leftChars="2500"/>
    </w:p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footnote text"/>
    <w:basedOn w:val="1"/>
    <w:qFormat/>
    <w:uiPriority w:val="99"/>
    <w:pPr>
      <w:snapToGrid w:val="0"/>
      <w:spacing w:line="560" w:lineRule="exact"/>
      <w:ind w:firstLine="200" w:firstLineChars="200"/>
      <w:jc w:val="left"/>
    </w:pPr>
    <w:rPr>
      <w:rFonts w:eastAsia="仿宋"/>
      <w:sz w:val="18"/>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35"/>
    <w:qFormat/>
    <w:uiPriority w:val="10"/>
    <w:pPr>
      <w:spacing w:before="240" w:after="60"/>
      <w:jc w:val="center"/>
      <w:outlineLvl w:val="0"/>
    </w:pPr>
    <w:rPr>
      <w:rFonts w:ascii="Cambria" w:hAnsi="Cambria" w:cs="Times New Roman"/>
      <w:b/>
      <w:bCs/>
      <w:sz w:val="32"/>
      <w:szCs w:val="32"/>
    </w:rPr>
  </w:style>
  <w:style w:type="paragraph" w:styleId="16">
    <w:name w:val="Body Text First Indent"/>
    <w:basedOn w:val="6"/>
    <w:next w:val="1"/>
    <w:qFormat/>
    <w:uiPriority w:val="0"/>
    <w:pPr>
      <w:ind w:firstLine="420" w:firstLineChars="100"/>
    </w:pPr>
  </w:style>
  <w:style w:type="paragraph" w:styleId="17">
    <w:name w:val="Body Text First Indent 2"/>
    <w:basedOn w:val="7"/>
    <w:next w:val="1"/>
    <w:qFormat/>
    <w:uiPriority w:val="0"/>
    <w:pPr>
      <w:spacing w:line="240" w:lineRule="auto"/>
      <w:ind w:left="420" w:leftChars="200" w:firstLine="420"/>
    </w:pPr>
    <w:rPr>
      <w:sz w:val="21"/>
    </w:rPr>
  </w:style>
  <w:style w:type="table" w:styleId="19">
    <w:name w:val="Table Grid"/>
    <w:basedOn w:val="1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rPr>
  </w:style>
  <w:style w:type="character" w:styleId="22">
    <w:name w:val="page number"/>
    <w:basedOn w:val="20"/>
    <w:qFormat/>
    <w:uiPriority w:val="0"/>
  </w:style>
  <w:style w:type="character" w:styleId="23">
    <w:name w:val="FollowedHyperlink"/>
    <w:qFormat/>
    <w:uiPriority w:val="0"/>
    <w:rPr>
      <w:color w:val="005283"/>
      <w:sz w:val="24"/>
      <w:szCs w:val="24"/>
      <w:u w:val="none"/>
    </w:rPr>
  </w:style>
  <w:style w:type="character" w:styleId="24">
    <w:name w:val="Hyperlink"/>
    <w:qFormat/>
    <w:uiPriority w:val="0"/>
    <w:rPr>
      <w:color w:val="005283"/>
      <w:sz w:val="24"/>
      <w:szCs w:val="24"/>
      <w:u w:val="none"/>
    </w:rPr>
  </w:style>
  <w:style w:type="paragraph" w:customStyle="1" w:styleId="25">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 w:type="paragraph" w:customStyle="1" w:styleId="26">
    <w:name w:val="样式 标题 1一级标题 + 段前: 0.5 行 段后: 0.5 行"/>
    <w:basedOn w:val="3"/>
    <w:qFormat/>
    <w:uiPriority w:val="99"/>
    <w:pPr>
      <w:tabs>
        <w:tab w:val="left" w:pos="4425"/>
      </w:tabs>
      <w:spacing w:line="320" w:lineRule="exact"/>
      <w:outlineLvl w:val="9"/>
    </w:pPr>
    <w:rPr>
      <w:spacing w:val="-6"/>
      <w:sz w:val="21"/>
      <w:szCs w:val="21"/>
    </w:rPr>
  </w:style>
  <w:style w:type="character" w:customStyle="1" w:styleId="27">
    <w:name w:val="标题 1 Char"/>
    <w:basedOn w:val="20"/>
    <w:link w:val="3"/>
    <w:qFormat/>
    <w:uiPriority w:val="0"/>
    <w:rPr>
      <w:rFonts w:ascii="Times New Roman" w:hAnsi="Times New Roman"/>
      <w:b/>
      <w:kern w:val="44"/>
      <w:sz w:val="44"/>
      <w:szCs w:val="24"/>
    </w:rPr>
  </w:style>
  <w:style w:type="character" w:customStyle="1" w:styleId="28">
    <w:name w:val="font11"/>
    <w:qFormat/>
    <w:uiPriority w:val="0"/>
    <w:rPr>
      <w:rFonts w:hint="eastAsia" w:ascii="宋体" w:hAnsi="宋体" w:eastAsia="宋体" w:cs="宋体"/>
      <w:color w:val="000000"/>
      <w:sz w:val="24"/>
      <w:szCs w:val="24"/>
      <w:u w:val="none"/>
    </w:rPr>
  </w:style>
  <w:style w:type="character" w:customStyle="1" w:styleId="29">
    <w:name w:val="NormalCharacter"/>
    <w:qFormat/>
    <w:uiPriority w:val="0"/>
  </w:style>
  <w:style w:type="character" w:customStyle="1" w:styleId="30">
    <w:name w:val="Body text|2 + Bold"/>
    <w:unhideWhenUsed/>
    <w:qFormat/>
    <w:uiPriority w:val="0"/>
    <w:rPr>
      <w:rFonts w:ascii="PMingLiU" w:hAnsi="PMingLiU" w:eastAsia="PMingLiU" w:cs="PMingLiU"/>
      <w:b/>
      <w:bCs/>
      <w:color w:val="000000"/>
      <w:spacing w:val="0"/>
      <w:w w:val="100"/>
      <w:position w:val="0"/>
      <w:sz w:val="28"/>
      <w:szCs w:val="28"/>
      <w:u w:val="none"/>
      <w:lang w:val="zh-CN" w:eastAsia="zh-CN" w:bidi="zh-CN"/>
    </w:rPr>
  </w:style>
  <w:style w:type="character" w:customStyle="1" w:styleId="31">
    <w:name w:val="Body text|2_"/>
    <w:link w:val="32"/>
    <w:qFormat/>
    <w:uiPriority w:val="0"/>
    <w:rPr>
      <w:rFonts w:ascii="PMingLiU" w:hAnsi="PMingLiU" w:eastAsia="PMingLiU" w:cs="PMingLiU"/>
      <w:spacing w:val="30"/>
      <w:sz w:val="28"/>
      <w:szCs w:val="28"/>
      <w:u w:val="none"/>
    </w:rPr>
  </w:style>
  <w:style w:type="paragraph" w:customStyle="1" w:styleId="32">
    <w:name w:val="Body text|2"/>
    <w:basedOn w:val="1"/>
    <w:link w:val="31"/>
    <w:qFormat/>
    <w:uiPriority w:val="0"/>
    <w:pPr>
      <w:widowControl w:val="0"/>
      <w:shd w:val="clear" w:color="auto" w:fill="FFFFFF"/>
      <w:spacing w:before="720" w:after="1200" w:line="280" w:lineRule="exact"/>
      <w:ind w:hanging="1220"/>
      <w:jc w:val="center"/>
    </w:pPr>
    <w:rPr>
      <w:rFonts w:ascii="PMingLiU" w:hAnsi="PMingLiU" w:eastAsia="PMingLiU"/>
      <w:spacing w:val="30"/>
      <w:kern w:val="0"/>
      <w:sz w:val="28"/>
      <w:szCs w:val="28"/>
    </w:rPr>
  </w:style>
  <w:style w:type="character" w:customStyle="1" w:styleId="33">
    <w:name w:val="正文文本缩进 2 Char"/>
    <w:basedOn w:val="20"/>
    <w:link w:val="2"/>
    <w:qFormat/>
    <w:uiPriority w:val="0"/>
    <w:rPr>
      <w:rFonts w:ascii="宋体" w:hAnsi="宋体"/>
      <w:kern w:val="2"/>
      <w:sz w:val="21"/>
    </w:rPr>
  </w:style>
  <w:style w:type="character" w:customStyle="1" w:styleId="34">
    <w:name w:val="批注框文本 Char"/>
    <w:link w:val="11"/>
    <w:qFormat/>
    <w:uiPriority w:val="0"/>
    <w:rPr>
      <w:rFonts w:ascii="Calibri"/>
      <w:kern w:val="2"/>
      <w:sz w:val="18"/>
      <w:szCs w:val="18"/>
    </w:rPr>
  </w:style>
  <w:style w:type="character" w:customStyle="1" w:styleId="35">
    <w:name w:val="标题 Char"/>
    <w:basedOn w:val="20"/>
    <w:link w:val="15"/>
    <w:qFormat/>
    <w:uiPriority w:val="10"/>
    <w:rPr>
      <w:rFonts w:ascii="Cambria" w:hAnsi="Cambria" w:cs="Times New Roman"/>
      <w:b/>
      <w:bCs/>
      <w:kern w:val="2"/>
      <w:sz w:val="32"/>
      <w:szCs w:val="32"/>
    </w:rPr>
  </w:style>
  <w:style w:type="character" w:customStyle="1" w:styleId="36">
    <w:name w:val="日期 Char"/>
    <w:basedOn w:val="20"/>
    <w:link w:val="10"/>
    <w:qFormat/>
    <w:uiPriority w:val="0"/>
    <w:rPr>
      <w:kern w:val="2"/>
      <w:sz w:val="21"/>
      <w:szCs w:val="24"/>
    </w:rPr>
  </w:style>
  <w:style w:type="paragraph" w:customStyle="1" w:styleId="37">
    <w:name w:val="0正文"/>
    <w:basedOn w:val="7"/>
    <w:qFormat/>
    <w:uiPriority w:val="0"/>
    <w:pPr>
      <w:spacing w:line="360" w:lineRule="auto"/>
      <w:ind w:firstLine="720" w:firstLineChars="200"/>
    </w:pPr>
    <w:rPr>
      <w:sz w:val="24"/>
      <w:szCs w:val="22"/>
    </w:rPr>
  </w:style>
  <w:style w:type="paragraph" w:customStyle="1" w:styleId="38">
    <w:name w:val="p0"/>
    <w:basedOn w:val="1"/>
    <w:qFormat/>
    <w:uiPriority w:val="0"/>
    <w:pPr>
      <w:widowControl/>
    </w:pPr>
    <w:rPr>
      <w:szCs w:val="20"/>
    </w:rPr>
  </w:style>
  <w:style w:type="paragraph" w:customStyle="1" w:styleId="39">
    <w:name w:val="文本正文"/>
    <w:basedOn w:val="1"/>
    <w:qFormat/>
    <w:uiPriority w:val="0"/>
    <w:pPr>
      <w:spacing w:after="0" w:line="600" w:lineRule="exact"/>
      <w:ind w:firstLine="640" w:firstLineChars="200"/>
    </w:pPr>
    <w:rPr>
      <w:rFonts w:ascii="Calibri" w:hAnsi="Calibri" w:eastAsia="宋体" w:cs="Times New Roman"/>
      <w:sz w:val="24"/>
      <w:szCs w:val="24"/>
      <w:lang w:eastAsia="en-US" w:bidi="en-US"/>
    </w:rPr>
  </w:style>
  <w:style w:type="paragraph" w:customStyle="1" w:styleId="40">
    <w:name w:val="列出段落1"/>
    <w:basedOn w:val="1"/>
    <w:qFormat/>
    <w:uiPriority w:val="34"/>
    <w:pPr>
      <w:ind w:firstLine="420" w:firstLineChars="200"/>
    </w:pPr>
    <w:rPr>
      <w:rFonts w:cs="宋体"/>
      <w:szCs w:val="22"/>
    </w:rPr>
  </w:style>
  <w:style w:type="paragraph" w:styleId="41">
    <w:name w:val="List Paragraph"/>
    <w:basedOn w:val="1"/>
    <w:qFormat/>
    <w:uiPriority w:val="34"/>
    <w:pPr>
      <w:ind w:firstLine="420" w:firstLineChars="200"/>
    </w:pPr>
    <w:rPr>
      <w:rFonts w:ascii="Calibri" w:hAnsi="Calibri" w:eastAsia="宋体" w:cs="Times New Roman"/>
      <w:szCs w:val="22"/>
    </w:rPr>
  </w:style>
  <w:style w:type="paragraph" w:customStyle="1" w:styleId="4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a正文"/>
    <w:basedOn w:val="1"/>
    <w:qFormat/>
    <w:uiPriority w:val="0"/>
    <w:pPr>
      <w:widowControl w:val="0"/>
      <w:spacing w:line="360" w:lineRule="auto"/>
      <w:ind w:firstLine="200" w:firstLineChars="200"/>
      <w:jc w:val="both"/>
    </w:pPr>
    <w:rPr>
      <w:rFonts w:asciiTheme="minorHAnsi" w:hAnsiTheme="minorHAnsi" w:eastAsiaTheme="minorEastAsia" w:cstheme="minorBidi"/>
      <w:kern w:val="2"/>
      <w:lang w:val="zh-CN"/>
    </w:rPr>
  </w:style>
  <w:style w:type="paragraph" w:customStyle="1" w:styleId="44">
    <w:name w:val="封面项目名称EPAJW120926"/>
    <w:basedOn w:val="1"/>
    <w:qFormat/>
    <w:uiPriority w:val="0"/>
    <w:pPr>
      <w:spacing w:before="156" w:after="156"/>
      <w:jc w:val="center"/>
    </w:pPr>
    <w:rPr>
      <w:rFonts w:cs="宋体"/>
      <w:b/>
      <w:bCs/>
      <w:sz w:val="44"/>
      <w:szCs w:val="20"/>
    </w:rPr>
  </w:style>
  <w:style w:type="paragraph" w:customStyle="1" w:styleId="45">
    <w:name w:val="正文，yyjoc"/>
    <w:basedOn w:val="1"/>
    <w:autoRedefine/>
    <w:qFormat/>
    <w:uiPriority w:val="0"/>
    <w:pPr>
      <w:adjustRightInd w:val="0"/>
      <w:snapToGrid w:val="0"/>
      <w:spacing w:beforeLines="50" w:line="300" w:lineRule="auto"/>
      <w:ind w:firstLine="20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2391</Words>
  <Characters>2493</Characters>
  <Lines>20</Lines>
  <Paragraphs>5</Paragraphs>
  <TotalTime>0</TotalTime>
  <ScaleCrop>false</ScaleCrop>
  <LinksUpToDate>false</LinksUpToDate>
  <CharactersWithSpaces>2540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2019-09-30T01:27:00Z</dcterms:created>
  <dc:creator>Administrator</dc:creator>
  <cp:lastModifiedBy>止咳糖浆</cp:lastModifiedBy>
  <cp:lastPrinted>2023-03-14T04:46:00Z</cp:lastPrinted>
  <dcterms:modified xsi:type="dcterms:W3CDTF">2024-07-05T08:49:54Z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5BBE734092FC403CA5863FED70A00823_13</vt:lpwstr>
  </property>
</Properties>
</file>