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0A69">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lang w:val="en-US" w:eastAsia="zh-CN"/>
        </w:rPr>
      </w:pPr>
      <w:r>
        <w:rPr>
          <w:rFonts w:hint="default" w:ascii="方正小标宋_GBK" w:hAnsi="方正小标宋_GBK" w:eastAsia="方正小标宋_GBK" w:cs="方正小标宋_GBK"/>
          <w:color w:val="FF0000"/>
          <w:spacing w:val="-6"/>
          <w:kern w:val="0"/>
          <w:sz w:val="40"/>
          <w:szCs w:val="40"/>
          <w:shd w:val="clear" w:color="auto" w:fill="FFFFFF"/>
          <w:lang w:val="en-US" w:eastAsia="zh-CN"/>
        </w:rPr>
        <w:t>关于</w:t>
      </w:r>
      <w:r>
        <w:rPr>
          <w:rFonts w:hint="eastAsia" w:ascii="方正小标宋_GBK" w:hAnsi="方正小标宋_GBK" w:eastAsia="方正小标宋_GBK" w:cs="方正小标宋_GBK"/>
          <w:color w:val="FF0000"/>
          <w:spacing w:val="-6"/>
          <w:kern w:val="0"/>
          <w:sz w:val="40"/>
          <w:szCs w:val="40"/>
          <w:shd w:val="clear" w:color="auto" w:fill="FFFFFF"/>
          <w:lang w:val="en-US" w:eastAsia="zh-CN"/>
        </w:rPr>
        <w:t>盘锦北方沥青股份有限公司</w:t>
      </w:r>
    </w:p>
    <w:p w14:paraId="751940A9">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lang w:val="en-US" w:eastAsia="zh-CN"/>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30万吨/年环烷基馏分油加氢装置工艺优化改造项目</w:t>
      </w:r>
    </w:p>
    <w:p w14:paraId="0FDBB272">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环境影响报告书</w:t>
      </w:r>
      <w:r>
        <w:rPr>
          <w:rFonts w:hint="default" w:ascii="方正小标宋_GBK" w:hAnsi="方正小标宋_GBK" w:eastAsia="方正小标宋_GBK" w:cs="方正小标宋_GBK"/>
          <w:color w:val="FF0000"/>
          <w:spacing w:val="-6"/>
          <w:kern w:val="0"/>
          <w:sz w:val="40"/>
          <w:szCs w:val="40"/>
          <w:shd w:val="clear" w:color="auto" w:fill="FFFFFF"/>
        </w:rPr>
        <w:t>的批复</w:t>
      </w:r>
    </w:p>
    <w:p w14:paraId="7C1F0FBE">
      <w:pPr>
        <w:pStyle w:val="8"/>
        <w:rPr>
          <w:rFonts w:hint="eastAsia"/>
          <w:sz w:val="32"/>
          <w:szCs w:val="32"/>
        </w:rPr>
      </w:pPr>
    </w:p>
    <w:p w14:paraId="038AED66">
      <w:pPr>
        <w:pStyle w:val="15"/>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10</w:t>
      </w:r>
      <w:r>
        <w:rPr>
          <w:rFonts w:hint="eastAsia" w:ascii="仿宋_GB2312" w:eastAsia="仿宋_GB2312"/>
          <w:b w:val="0"/>
        </w:rPr>
        <w:t>号</w:t>
      </w:r>
    </w:p>
    <w:p w14:paraId="04FC516B">
      <w:pPr>
        <w:pStyle w:val="8"/>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1ECF4E0F">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outlineLvl w:val="0"/>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盘锦北方沥青股份有限公司：</w:t>
      </w:r>
    </w:p>
    <w:p w14:paraId="046BD428">
      <w:pPr>
        <w:pStyle w:val="44"/>
        <w:keepNext w:val="0"/>
        <w:keepLines w:val="0"/>
        <w:pageBreakBefore w:val="0"/>
        <w:widowControl w:val="0"/>
        <w:kinsoku/>
        <w:wordWrap/>
        <w:overflowPunct/>
        <w:topLinePunct w:val="0"/>
        <w:bidi w:val="0"/>
        <w:snapToGrid/>
        <w:spacing w:before="0" w:after="0" w:line="600" w:lineRule="exact"/>
        <w:ind w:firstLine="680" w:firstLineChars="200"/>
        <w:jc w:val="both"/>
        <w:textAlignment w:val="auto"/>
        <w:rPr>
          <w:rFonts w:hint="eastAsia" w:ascii="仿宋_GB2312" w:hAnsi="仿宋_GB2312" w:eastAsia="仿宋_GB2312" w:cs="仿宋_GB2312"/>
          <w:b w:val="0"/>
          <w:bCs w:val="0"/>
          <w:color w:val="auto"/>
          <w:kern w:val="2"/>
          <w:sz w:val="34"/>
          <w:szCs w:val="34"/>
          <w:highlight w:val="none"/>
          <w:lang w:val="zh-CN" w:eastAsia="zh-CN" w:bidi="ar-SA"/>
        </w:rPr>
      </w:pPr>
      <w:r>
        <w:rPr>
          <w:rFonts w:hint="eastAsia" w:ascii="仿宋_GB2312" w:hAnsi="仿宋_GB2312" w:eastAsia="仿宋_GB2312" w:cs="仿宋_GB2312"/>
          <w:b w:val="0"/>
          <w:bCs w:val="0"/>
          <w:color w:val="auto"/>
          <w:kern w:val="2"/>
          <w:sz w:val="34"/>
          <w:szCs w:val="34"/>
          <w:highlight w:val="none"/>
          <w:lang w:val="zh-CN" w:eastAsia="zh-CN" w:bidi="ar-SA"/>
        </w:rPr>
        <w:t>你公司报送的《</w:t>
      </w:r>
      <w:r>
        <w:rPr>
          <w:rFonts w:hint="eastAsia" w:ascii="仿宋_GB2312" w:hAnsi="仿宋_GB2312" w:eastAsia="仿宋_GB2312" w:cs="仿宋_GB2312"/>
          <w:b w:val="0"/>
          <w:bCs w:val="0"/>
          <w:color w:val="auto"/>
          <w:kern w:val="2"/>
          <w:sz w:val="34"/>
          <w:szCs w:val="34"/>
          <w:highlight w:val="none"/>
          <w:lang w:val="en-US" w:eastAsia="zh-CN" w:bidi="ar-SA"/>
        </w:rPr>
        <w:t>盘锦北方沥青股份有限公司30万吨/年环烷基馏分油加氢装置工艺优化改造项目环境影响报告书</w:t>
      </w:r>
      <w:r>
        <w:rPr>
          <w:rFonts w:hint="eastAsia" w:ascii="仿宋_GB2312" w:hAnsi="仿宋_GB2312" w:eastAsia="仿宋_GB2312" w:cs="仿宋_GB2312"/>
          <w:b w:val="0"/>
          <w:bCs w:val="0"/>
          <w:color w:val="auto"/>
          <w:kern w:val="2"/>
          <w:sz w:val="34"/>
          <w:szCs w:val="34"/>
          <w:highlight w:val="none"/>
          <w:lang w:val="zh-CN" w:eastAsia="zh-CN" w:bidi="ar-SA"/>
        </w:rPr>
        <w:t>》（以下简称“报告</w:t>
      </w:r>
      <w:r>
        <w:rPr>
          <w:rFonts w:hint="eastAsia" w:ascii="仿宋_GB2312" w:hAnsi="仿宋_GB2312" w:eastAsia="仿宋_GB2312" w:cs="仿宋_GB2312"/>
          <w:b w:val="0"/>
          <w:bCs w:val="0"/>
          <w:color w:val="auto"/>
          <w:kern w:val="2"/>
          <w:sz w:val="34"/>
          <w:szCs w:val="34"/>
          <w:highlight w:val="none"/>
          <w:lang w:val="en-US" w:eastAsia="zh-CN" w:bidi="ar-SA"/>
        </w:rPr>
        <w:t>书</w:t>
      </w:r>
      <w:r>
        <w:rPr>
          <w:rFonts w:hint="eastAsia" w:ascii="仿宋_GB2312" w:hAnsi="仿宋_GB2312" w:eastAsia="仿宋_GB2312" w:cs="仿宋_GB2312"/>
          <w:b w:val="0"/>
          <w:bCs w:val="0"/>
          <w:color w:val="auto"/>
          <w:kern w:val="2"/>
          <w:sz w:val="34"/>
          <w:szCs w:val="34"/>
          <w:highlight w:val="none"/>
          <w:lang w:val="zh-CN" w:eastAsia="zh-CN" w:bidi="ar-SA"/>
        </w:rPr>
        <w:t>”）收悉，</w:t>
      </w:r>
      <w:r>
        <w:rPr>
          <w:rFonts w:hint="eastAsia" w:ascii="仿宋_GB2312" w:hAnsi="仿宋_GB2312" w:eastAsia="仿宋_GB2312" w:cs="仿宋_GB2312"/>
          <w:b w:val="0"/>
          <w:bCs w:val="0"/>
          <w:color w:val="auto"/>
          <w:kern w:val="2"/>
          <w:sz w:val="34"/>
          <w:szCs w:val="34"/>
          <w:highlight w:val="none"/>
          <w:lang w:val="en-US" w:eastAsia="zh-CN" w:bidi="ar-SA"/>
        </w:rPr>
        <w:t>组织专家技术</w:t>
      </w:r>
      <w:bookmarkStart w:id="1" w:name="_GoBack"/>
      <w:bookmarkEnd w:id="1"/>
      <w:r>
        <w:rPr>
          <w:rFonts w:hint="eastAsia" w:ascii="仿宋_GB2312" w:hAnsi="仿宋_GB2312" w:eastAsia="仿宋_GB2312" w:cs="仿宋_GB2312"/>
          <w:b w:val="0"/>
          <w:bCs w:val="0"/>
          <w:color w:val="auto"/>
          <w:kern w:val="2"/>
          <w:sz w:val="34"/>
          <w:szCs w:val="34"/>
          <w:highlight w:val="none"/>
          <w:lang w:val="zh-CN" w:eastAsia="zh-CN" w:bidi="ar-SA"/>
        </w:rPr>
        <w:t>评估审核</w:t>
      </w:r>
      <w:r>
        <w:rPr>
          <w:rFonts w:hint="eastAsia" w:ascii="仿宋_GB2312" w:hAnsi="仿宋_GB2312" w:eastAsia="仿宋_GB2312" w:cs="仿宋_GB2312"/>
          <w:b w:val="0"/>
          <w:bCs w:val="0"/>
          <w:color w:val="auto"/>
          <w:kern w:val="2"/>
          <w:sz w:val="34"/>
          <w:szCs w:val="34"/>
          <w:highlight w:val="none"/>
          <w:lang w:val="en-US" w:eastAsia="zh-CN" w:bidi="ar-SA"/>
        </w:rPr>
        <w:t>后，经</w:t>
      </w:r>
      <w:r>
        <w:rPr>
          <w:rFonts w:hint="eastAsia" w:ascii="仿宋_GB2312" w:hAnsi="仿宋_GB2312" w:eastAsia="仿宋_GB2312" w:cs="仿宋_GB2312"/>
          <w:b w:val="0"/>
          <w:bCs w:val="0"/>
          <w:color w:val="auto"/>
          <w:kern w:val="2"/>
          <w:sz w:val="34"/>
          <w:szCs w:val="34"/>
          <w:highlight w:val="none"/>
          <w:lang w:val="zh-CN" w:eastAsia="zh-CN" w:bidi="ar-SA"/>
        </w:rPr>
        <w:t>局务会研究通过，现批复如下：</w:t>
      </w:r>
    </w:p>
    <w:p w14:paraId="27331018">
      <w:pPr>
        <w:pStyle w:val="44"/>
        <w:keepNext w:val="0"/>
        <w:keepLines w:val="0"/>
        <w:pageBreakBefore w:val="0"/>
        <w:kinsoku/>
        <w:wordWrap/>
        <w:topLinePunct w:val="0"/>
        <w:bidi w:val="0"/>
        <w:spacing w:before="0" w:line="600" w:lineRule="exact"/>
        <w:ind w:firstLine="680" w:firstLineChars="200"/>
        <w:jc w:val="both"/>
        <w:textAlignment w:val="auto"/>
        <w:rPr>
          <w:rFonts w:hint="eastAsia" w:ascii="仿宋_GB2312" w:hAnsi="仿宋_GB2312" w:eastAsia="仿宋_GB2312" w:cs="仿宋_GB2312"/>
          <w:b w:val="0"/>
          <w:bCs w:val="0"/>
          <w:color w:val="auto"/>
          <w:kern w:val="2"/>
          <w:sz w:val="34"/>
          <w:szCs w:val="34"/>
          <w:highlight w:val="none"/>
          <w:lang w:val="zh-CN" w:eastAsia="zh-CN" w:bidi="ar-SA"/>
        </w:rPr>
      </w:pPr>
      <w:r>
        <w:rPr>
          <w:rFonts w:hint="eastAsia" w:ascii="仿宋_GB2312" w:hAnsi="仿宋_GB2312" w:eastAsia="仿宋_GB2312" w:cs="仿宋_GB2312"/>
          <w:b w:val="0"/>
          <w:bCs w:val="0"/>
          <w:color w:val="auto"/>
          <w:kern w:val="2"/>
          <w:sz w:val="34"/>
          <w:szCs w:val="34"/>
          <w:highlight w:val="none"/>
          <w:lang w:val="en-US" w:eastAsia="zh-CN" w:bidi="ar-SA"/>
        </w:rPr>
        <w:t>一、盘锦北方沥青股份有限公司</w:t>
      </w:r>
      <w:r>
        <w:rPr>
          <w:rFonts w:hint="eastAsia" w:ascii="仿宋_GB2312" w:hAnsi="仿宋_GB2312" w:eastAsia="仿宋_GB2312" w:cs="仿宋_GB2312"/>
          <w:b w:val="0"/>
          <w:bCs w:val="0"/>
          <w:color w:val="auto"/>
          <w:kern w:val="2"/>
          <w:sz w:val="34"/>
          <w:szCs w:val="34"/>
          <w:highlight w:val="none"/>
          <w:lang w:val="zh-CN" w:eastAsia="zh-CN" w:bidi="ar-SA"/>
        </w:rPr>
        <w:t>拟对现有30万吨/年环烷基馏分油加氢装置进行工艺优化改造，</w:t>
      </w:r>
      <w:r>
        <w:rPr>
          <w:rFonts w:hint="eastAsia" w:ascii="仿宋_GB2312" w:hAnsi="仿宋_GB2312" w:eastAsia="仿宋_GB2312" w:cs="仿宋_GB2312"/>
          <w:b w:val="0"/>
          <w:bCs w:val="0"/>
          <w:color w:val="auto"/>
          <w:kern w:val="2"/>
          <w:sz w:val="34"/>
          <w:szCs w:val="34"/>
          <w:highlight w:val="none"/>
          <w:lang w:val="en-US" w:eastAsia="zh-CN" w:bidi="ar-SA"/>
        </w:rPr>
        <w:t>项目总投资：1691.16万元。</w:t>
      </w:r>
      <w:r>
        <w:rPr>
          <w:rFonts w:hint="eastAsia" w:ascii="仿宋_GB2312" w:hAnsi="仿宋_GB2312" w:eastAsia="仿宋_GB2312" w:cs="仿宋_GB2312"/>
          <w:b w:val="0"/>
          <w:bCs w:val="0"/>
          <w:color w:val="auto"/>
          <w:kern w:val="2"/>
          <w:sz w:val="34"/>
          <w:szCs w:val="34"/>
          <w:highlight w:val="none"/>
          <w:lang w:val="zh-CN" w:eastAsia="zh-CN" w:bidi="ar-SA"/>
        </w:rPr>
        <w:t>新</w:t>
      </w:r>
      <w:r>
        <w:rPr>
          <w:rFonts w:hint="eastAsia" w:ascii="仿宋_GB2312" w:hAnsi="仿宋_GB2312" w:eastAsia="仿宋_GB2312" w:cs="仿宋_GB2312"/>
          <w:b w:val="0"/>
          <w:bCs w:val="0"/>
          <w:color w:val="auto"/>
          <w:kern w:val="2"/>
          <w:sz w:val="34"/>
          <w:szCs w:val="34"/>
          <w:highlight w:val="none"/>
          <w:lang w:val="en-US" w:eastAsia="zh-CN" w:bidi="ar-SA"/>
        </w:rPr>
        <w:t>建</w:t>
      </w:r>
      <w:r>
        <w:rPr>
          <w:rFonts w:hint="eastAsia" w:ascii="仿宋_GB2312" w:hAnsi="仿宋_GB2312" w:eastAsia="仿宋_GB2312" w:cs="仿宋_GB2312"/>
          <w:b w:val="0"/>
          <w:bCs w:val="0"/>
          <w:color w:val="auto"/>
          <w:kern w:val="2"/>
          <w:sz w:val="34"/>
          <w:szCs w:val="34"/>
          <w:highlight w:val="none"/>
          <w:lang w:val="zh-CN" w:eastAsia="zh-CN" w:bidi="ar-SA"/>
        </w:rPr>
        <w:t>低分油分馏系统，同时更换新型催化剂，改造后装置规模仍为30万吨/年。通过本项目的实施，</w:t>
      </w:r>
      <w:r>
        <w:rPr>
          <w:rFonts w:hint="eastAsia" w:ascii="仿宋_GB2312" w:hAnsi="仿宋_GB2312" w:eastAsia="仿宋_GB2312" w:cs="仿宋_GB2312"/>
          <w:b w:val="0"/>
          <w:bCs w:val="0"/>
          <w:color w:val="auto"/>
          <w:kern w:val="2"/>
          <w:sz w:val="34"/>
          <w:szCs w:val="34"/>
          <w:highlight w:val="none"/>
          <w:lang w:val="en-US" w:eastAsia="zh-CN" w:bidi="ar-SA"/>
        </w:rPr>
        <w:t>可以优化</w:t>
      </w:r>
      <w:r>
        <w:rPr>
          <w:rFonts w:hint="eastAsia" w:ascii="仿宋_GB2312" w:hAnsi="仿宋_GB2312" w:eastAsia="仿宋_GB2312" w:cs="仿宋_GB2312"/>
          <w:b w:val="0"/>
          <w:bCs w:val="0"/>
          <w:color w:val="auto"/>
          <w:kern w:val="2"/>
          <w:sz w:val="34"/>
          <w:szCs w:val="34"/>
          <w:highlight w:val="none"/>
          <w:lang w:val="zh-CN" w:eastAsia="zh-CN" w:bidi="ar-SA"/>
        </w:rPr>
        <w:t>装置的产品分布，</w:t>
      </w:r>
      <w:r>
        <w:rPr>
          <w:rFonts w:hint="eastAsia" w:ascii="仿宋_GB2312" w:hAnsi="仿宋_GB2312" w:eastAsia="仿宋_GB2312" w:cs="仿宋_GB2312"/>
          <w:b w:val="0"/>
          <w:bCs w:val="0"/>
          <w:color w:val="auto"/>
          <w:kern w:val="2"/>
          <w:sz w:val="34"/>
          <w:szCs w:val="34"/>
          <w:highlight w:val="none"/>
          <w:lang w:val="en-US" w:eastAsia="zh-CN" w:bidi="ar-SA"/>
        </w:rPr>
        <w:t>改善</w:t>
      </w:r>
      <w:r>
        <w:rPr>
          <w:rFonts w:hint="eastAsia" w:ascii="仿宋_GB2312" w:hAnsi="仿宋_GB2312" w:eastAsia="仿宋_GB2312" w:cs="仿宋_GB2312"/>
          <w:b w:val="0"/>
          <w:bCs w:val="0"/>
          <w:color w:val="auto"/>
          <w:kern w:val="2"/>
          <w:sz w:val="34"/>
          <w:szCs w:val="34"/>
          <w:highlight w:val="none"/>
          <w:lang w:val="zh-CN" w:eastAsia="zh-CN" w:bidi="ar-SA"/>
        </w:rPr>
        <w:t>产品品质，有利于提高</w:t>
      </w:r>
      <w:r>
        <w:rPr>
          <w:rFonts w:hint="eastAsia" w:ascii="仿宋_GB2312" w:hAnsi="仿宋_GB2312" w:eastAsia="仿宋_GB2312" w:cs="仿宋_GB2312"/>
          <w:b w:val="0"/>
          <w:bCs w:val="0"/>
          <w:color w:val="auto"/>
          <w:kern w:val="2"/>
          <w:sz w:val="34"/>
          <w:szCs w:val="34"/>
          <w:highlight w:val="none"/>
          <w:lang w:val="en-US" w:eastAsia="zh-CN" w:bidi="ar-SA"/>
        </w:rPr>
        <w:t>产品</w:t>
      </w:r>
      <w:r>
        <w:rPr>
          <w:rFonts w:hint="eastAsia" w:ascii="仿宋_GB2312" w:hAnsi="仿宋_GB2312" w:eastAsia="仿宋_GB2312" w:cs="仿宋_GB2312"/>
          <w:b w:val="0"/>
          <w:bCs w:val="0"/>
          <w:color w:val="auto"/>
          <w:kern w:val="2"/>
          <w:sz w:val="34"/>
          <w:szCs w:val="34"/>
          <w:highlight w:val="none"/>
          <w:lang w:val="zh-CN" w:eastAsia="zh-CN" w:bidi="ar-SA"/>
        </w:rPr>
        <w:t>的竞争力及</w:t>
      </w:r>
      <w:r>
        <w:rPr>
          <w:rFonts w:hint="eastAsia" w:ascii="仿宋_GB2312" w:hAnsi="仿宋_GB2312" w:eastAsia="仿宋_GB2312" w:cs="仿宋_GB2312"/>
          <w:b w:val="0"/>
          <w:bCs w:val="0"/>
          <w:color w:val="auto"/>
          <w:kern w:val="2"/>
          <w:sz w:val="34"/>
          <w:szCs w:val="34"/>
          <w:highlight w:val="none"/>
          <w:lang w:val="en-US" w:eastAsia="zh-CN" w:bidi="ar-SA"/>
        </w:rPr>
        <w:t>企业</w:t>
      </w:r>
      <w:r>
        <w:rPr>
          <w:rFonts w:hint="eastAsia" w:ascii="仿宋_GB2312" w:hAnsi="仿宋_GB2312" w:eastAsia="仿宋_GB2312" w:cs="仿宋_GB2312"/>
          <w:b w:val="0"/>
          <w:bCs w:val="0"/>
          <w:color w:val="auto"/>
          <w:kern w:val="2"/>
          <w:sz w:val="34"/>
          <w:szCs w:val="34"/>
          <w:highlight w:val="none"/>
          <w:lang w:val="zh-CN" w:eastAsia="zh-CN" w:bidi="ar-SA"/>
        </w:rPr>
        <w:t>抗风险能力。</w:t>
      </w:r>
    </w:p>
    <w:p w14:paraId="610E9DDB">
      <w:pPr>
        <w:keepNext w:val="0"/>
        <w:keepLines w:val="0"/>
        <w:pageBreakBefore w:val="0"/>
        <w:kinsoku/>
        <w:wordWrap/>
        <w:overflowPunct/>
        <w:topLinePunct w:val="0"/>
        <w:bidi w:val="0"/>
        <w:spacing w:line="600" w:lineRule="exact"/>
        <w:ind w:firstLine="680" w:firstLineChars="200"/>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盘锦</w:t>
      </w:r>
      <w:r>
        <w:rPr>
          <w:rFonts w:hint="eastAsia" w:ascii="仿宋_GB2312" w:hAnsi="仿宋_GB2312" w:eastAsia="仿宋_GB2312" w:cs="仿宋_GB2312"/>
          <w:color w:val="auto"/>
          <w:sz w:val="34"/>
          <w:szCs w:val="34"/>
          <w:highlight w:val="none"/>
          <w:lang w:val="en-US" w:eastAsia="zh-CN"/>
        </w:rPr>
        <w:t>高新技术产业开发区</w:t>
      </w:r>
      <w:r>
        <w:rPr>
          <w:rFonts w:hint="eastAsia" w:ascii="仿宋_GB2312" w:hAnsi="仿宋_GB2312" w:eastAsia="仿宋_GB2312" w:cs="仿宋_GB2312"/>
          <w:color w:val="auto"/>
          <w:sz w:val="34"/>
          <w:szCs w:val="34"/>
          <w:highlight w:val="none"/>
        </w:rPr>
        <w:t>出具了项目备案文件（</w:t>
      </w:r>
      <w:r>
        <w:rPr>
          <w:rFonts w:hint="eastAsia" w:ascii="仿宋_GB2312" w:hAnsi="仿宋_GB2312" w:eastAsia="仿宋_GB2312" w:cs="仿宋_GB2312"/>
          <w:color w:val="auto"/>
          <w:sz w:val="34"/>
          <w:szCs w:val="34"/>
          <w:highlight w:val="none"/>
          <w:lang w:val="en-US" w:eastAsia="zh-CN"/>
        </w:rPr>
        <w:t>盘高经</w:t>
      </w:r>
      <w:r>
        <w:rPr>
          <w:rFonts w:hint="eastAsia" w:ascii="仿宋_GB2312" w:hAnsi="仿宋_GB2312" w:eastAsia="仿宋_GB2312" w:cs="仿宋_GB2312"/>
          <w:color w:val="auto"/>
          <w:sz w:val="34"/>
          <w:szCs w:val="34"/>
          <w:highlight w:val="none"/>
        </w:rPr>
        <w:t>备</w:t>
      </w:r>
      <w:r>
        <w:rPr>
          <w:rFonts w:hint="eastAsia" w:ascii="仿宋_GB2312" w:hAnsi="仿宋_GB2312" w:eastAsia="仿宋_GB2312" w:cs="仿宋_GB2312"/>
          <w:color w:val="auto"/>
          <w:sz w:val="34"/>
          <w:szCs w:val="34"/>
          <w:highlight w:val="none"/>
          <w:lang w:eastAsia="zh-CN"/>
        </w:rPr>
        <w:t>〔</w:t>
      </w:r>
      <w:r>
        <w:rPr>
          <w:rFonts w:hint="eastAsia" w:ascii="仿宋_GB2312" w:hAnsi="仿宋_GB2312" w:eastAsia="仿宋_GB2312" w:cs="仿宋_GB2312"/>
          <w:color w:val="auto"/>
          <w:sz w:val="34"/>
          <w:szCs w:val="34"/>
          <w:highlight w:val="none"/>
        </w:rPr>
        <w:t>202</w:t>
      </w:r>
      <w:r>
        <w:rPr>
          <w:rFonts w:hint="eastAsia" w:ascii="仿宋_GB2312" w:hAnsi="仿宋_GB2312" w:eastAsia="仿宋_GB2312" w:cs="仿宋_GB2312"/>
          <w:color w:val="auto"/>
          <w:sz w:val="34"/>
          <w:szCs w:val="34"/>
          <w:highlight w:val="none"/>
          <w:lang w:val="en-US" w:eastAsia="zh-CN"/>
        </w:rPr>
        <w:t>3</w:t>
      </w:r>
      <w:r>
        <w:rPr>
          <w:rFonts w:hint="eastAsia" w:ascii="仿宋_GB2312" w:hAnsi="仿宋_GB2312" w:eastAsia="仿宋_GB2312" w:cs="仿宋_GB2312"/>
          <w:color w:val="auto"/>
          <w:sz w:val="34"/>
          <w:szCs w:val="34"/>
          <w:highlight w:val="none"/>
          <w:lang w:eastAsia="zh-CN"/>
        </w:rPr>
        <w:t>〕</w:t>
      </w:r>
      <w:r>
        <w:rPr>
          <w:rFonts w:hint="eastAsia" w:ascii="仿宋_GB2312" w:hAnsi="仿宋_GB2312" w:eastAsia="仿宋_GB2312" w:cs="仿宋_GB2312"/>
          <w:color w:val="auto"/>
          <w:sz w:val="34"/>
          <w:szCs w:val="34"/>
          <w:highlight w:val="none"/>
          <w:lang w:val="en-US" w:eastAsia="zh-CN"/>
        </w:rPr>
        <w:t>14</w:t>
      </w:r>
      <w:r>
        <w:rPr>
          <w:rFonts w:hint="eastAsia" w:ascii="仿宋_GB2312" w:hAnsi="仿宋_GB2312" w:eastAsia="仿宋_GB2312" w:cs="仿宋_GB2312"/>
          <w:color w:val="auto"/>
          <w:sz w:val="34"/>
          <w:szCs w:val="34"/>
          <w:highlight w:val="none"/>
        </w:rPr>
        <w:t>号），项目符合</w:t>
      </w:r>
      <w:r>
        <w:rPr>
          <w:rFonts w:hint="eastAsia" w:ascii="仿宋_GB2312" w:hAnsi="仿宋_GB2312" w:eastAsia="仿宋_GB2312" w:cs="仿宋_GB2312"/>
          <w:color w:val="auto"/>
          <w:sz w:val="34"/>
          <w:szCs w:val="34"/>
          <w:highlight w:val="none"/>
          <w:lang w:val="en-US" w:eastAsia="zh-CN"/>
        </w:rPr>
        <w:t>国家产业政策</w:t>
      </w:r>
      <w:r>
        <w:rPr>
          <w:rFonts w:hint="eastAsia" w:ascii="仿宋_GB2312" w:hAnsi="仿宋_GB2312" w:eastAsia="仿宋_GB2312" w:cs="仿宋_GB2312"/>
          <w:color w:val="auto"/>
          <w:sz w:val="34"/>
          <w:szCs w:val="34"/>
          <w:highlight w:val="none"/>
        </w:rPr>
        <w:t>，在全面落实“报告</w:t>
      </w:r>
      <w:r>
        <w:rPr>
          <w:rFonts w:hint="eastAsia" w:ascii="仿宋_GB2312" w:hAnsi="仿宋_GB2312" w:eastAsia="仿宋_GB2312" w:cs="仿宋_GB2312"/>
          <w:color w:val="auto"/>
          <w:sz w:val="34"/>
          <w:szCs w:val="34"/>
          <w:highlight w:val="none"/>
          <w:lang w:val="en-US" w:eastAsia="zh-CN"/>
        </w:rPr>
        <w:t>书</w:t>
      </w:r>
      <w:r>
        <w:rPr>
          <w:rFonts w:hint="eastAsia" w:ascii="仿宋_GB2312" w:hAnsi="仿宋_GB2312" w:eastAsia="仿宋_GB2312" w:cs="仿宋_GB2312"/>
          <w:color w:val="auto"/>
          <w:sz w:val="34"/>
          <w:szCs w:val="34"/>
          <w:highlight w:val="none"/>
        </w:rPr>
        <w:t>”提出的各项污染防治及风险防范措施后，从环保角度分析，我局原则同意</w:t>
      </w:r>
      <w:r>
        <w:rPr>
          <w:rFonts w:hint="eastAsia" w:ascii="仿宋_GB2312" w:hAnsi="仿宋_GB2312" w:eastAsia="仿宋_GB2312" w:cs="仿宋_GB2312"/>
          <w:color w:val="auto"/>
          <w:kern w:val="2"/>
          <w:sz w:val="34"/>
          <w:szCs w:val="34"/>
          <w:highlight w:val="none"/>
          <w:lang w:val="zh-CN" w:eastAsia="zh-CN" w:bidi="ar-SA"/>
        </w:rPr>
        <w:t>“报告</w:t>
      </w:r>
      <w:r>
        <w:rPr>
          <w:rFonts w:hint="eastAsia" w:ascii="仿宋_GB2312" w:hAnsi="仿宋_GB2312" w:eastAsia="仿宋_GB2312" w:cs="仿宋_GB2312"/>
          <w:color w:val="auto"/>
          <w:kern w:val="2"/>
          <w:sz w:val="34"/>
          <w:szCs w:val="34"/>
          <w:highlight w:val="none"/>
          <w:lang w:val="en-US" w:eastAsia="zh-CN" w:bidi="ar-SA"/>
        </w:rPr>
        <w:t>书</w:t>
      </w:r>
      <w:r>
        <w:rPr>
          <w:rFonts w:hint="eastAsia" w:ascii="仿宋_GB2312" w:hAnsi="仿宋_GB2312" w:eastAsia="仿宋_GB2312" w:cs="仿宋_GB2312"/>
          <w:color w:val="auto"/>
          <w:kern w:val="2"/>
          <w:sz w:val="34"/>
          <w:szCs w:val="34"/>
          <w:highlight w:val="none"/>
          <w:lang w:val="zh-CN" w:eastAsia="zh-CN" w:bidi="ar-SA"/>
        </w:rPr>
        <w:t>”</w:t>
      </w:r>
      <w:r>
        <w:rPr>
          <w:rFonts w:hint="eastAsia" w:ascii="仿宋_GB2312" w:hAnsi="仿宋_GB2312" w:eastAsia="仿宋_GB2312" w:cs="仿宋_GB2312"/>
          <w:color w:val="auto"/>
          <w:sz w:val="34"/>
          <w:szCs w:val="34"/>
          <w:highlight w:val="none"/>
        </w:rPr>
        <w:t>中所列建设项目的地点、性质、规模、生产工艺和采取的环境保护措施。</w:t>
      </w:r>
    </w:p>
    <w:p w14:paraId="0A851B4B">
      <w:pPr>
        <w:keepNext w:val="0"/>
        <w:keepLines w:val="0"/>
        <w:pageBreakBefore w:val="0"/>
        <w:kinsoku/>
        <w:wordWrap/>
        <w:overflowPunct/>
        <w:topLinePunct w:val="0"/>
        <w:bidi w:val="0"/>
        <w:spacing w:line="600" w:lineRule="exact"/>
        <w:ind w:firstLine="680" w:firstLineChars="200"/>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二、项目建设与运行管理中应重点做好以下工作：</w:t>
      </w:r>
    </w:p>
    <w:p w14:paraId="0CEB033E">
      <w:pPr>
        <w:pStyle w:val="38"/>
        <w:keepNext w:val="0"/>
        <w:keepLines w:val="0"/>
        <w:pageBreakBefore w:val="0"/>
        <w:kinsoku/>
        <w:wordWrap/>
        <w:overflowPunct/>
        <w:topLinePunct w:val="0"/>
        <w:autoSpaceDE/>
        <w:autoSpaceDN w:val="0"/>
        <w:bidi w:val="0"/>
        <w:spacing w:line="600" w:lineRule="exact"/>
        <w:ind w:firstLine="680" w:firstLineChars="200"/>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（一）严格落实大气污染防治措施</w:t>
      </w:r>
    </w:p>
    <w:p w14:paraId="5260ED0F">
      <w:pPr>
        <w:pStyle w:val="45"/>
        <w:keepNext w:val="0"/>
        <w:keepLines w:val="0"/>
        <w:pageBreakBefore w:val="0"/>
        <w:kinsoku/>
        <w:wordWrap/>
        <w:overflowPunct/>
        <w:topLinePunct w:val="0"/>
        <w:autoSpaceDE/>
        <w:bidi w:val="0"/>
        <w:spacing w:beforeLines="0" w:line="600" w:lineRule="exact"/>
        <w:ind w:firstLine="48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1.装置3台加热炉共用1座50米高排气筒，改造后加热炉全部采用低氮燃烧器，使用来自企业燃料气管网的燃料气，含硫量≤20mg/m</w:t>
      </w:r>
      <w:r>
        <w:rPr>
          <w:rFonts w:hint="eastAsia" w:ascii="仿宋_GB2312" w:hAnsi="仿宋_GB2312" w:eastAsia="仿宋_GB2312" w:cs="仿宋_GB2312"/>
          <w:color w:val="auto"/>
          <w:kern w:val="2"/>
          <w:sz w:val="34"/>
          <w:szCs w:val="34"/>
          <w:highlight w:val="none"/>
          <w:vertAlign w:val="superscript"/>
          <w:lang w:val="en-US" w:eastAsia="zh-CN" w:bidi="ar-SA"/>
        </w:rPr>
        <w:t>3</w:t>
      </w:r>
      <w:r>
        <w:rPr>
          <w:rFonts w:hint="eastAsia" w:ascii="仿宋_GB2312" w:hAnsi="仿宋_GB2312" w:eastAsia="仿宋_GB2312" w:cs="仿宋_GB2312"/>
          <w:color w:val="auto"/>
          <w:kern w:val="2"/>
          <w:sz w:val="34"/>
          <w:szCs w:val="34"/>
          <w:highlight w:val="none"/>
          <w:lang w:val="en-US" w:eastAsia="zh-CN" w:bidi="ar-SA"/>
        </w:rPr>
        <w:t>，确保污染物排放满足《石油炼制工业污染物排放标准》（GB31570-2015）表4中大气污染物特别排放限值的要求。</w:t>
      </w:r>
    </w:p>
    <w:p w14:paraId="685670DC">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2.原料和产品均依托现有储罐，石脑油采用内浮顶罐，其它产品和原料均采用固定顶罐，并采用氮封；石脑油装车利用现有装车栈台油气回收设施；工艺装置采用质量可靠的设备、管道、阀门及管路附件，制定泄漏检测与修复计划，定期检测、及时修复。通过上述措施最大限度减少VOCs 无组织排放量。同时，确保厂界污染物浓度满足《石油炼制工业污染物排放标准》（GB31570-2015）中表5和《恶臭污染物排放标准》（GB14554-93）新污染源二级标准限值要求。</w:t>
      </w:r>
    </w:p>
    <w:p w14:paraId="0B4A5AEB">
      <w:pPr>
        <w:pStyle w:val="45"/>
        <w:keepNext w:val="0"/>
        <w:keepLines w:val="0"/>
        <w:pageBreakBefore w:val="0"/>
        <w:kinsoku/>
        <w:wordWrap/>
        <w:topLinePunct w:val="0"/>
        <w:bidi w:val="0"/>
        <w:spacing w:beforeLines="0" w:line="600" w:lineRule="exact"/>
        <w:ind w:firstLine="48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3.事故状态下的工艺气经火炬燃烧后高空排放。</w:t>
      </w:r>
    </w:p>
    <w:p w14:paraId="22493E92">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（二）强化地表水污染防治措施</w:t>
      </w:r>
    </w:p>
    <w:p w14:paraId="60427C01">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改造后的加氢装置排水系统实施“雨污分流”，生产过程中产生的污水主要为含硫废水、含油废水和初期雨水。其中，含硫污水经厂内管网进入酸性水汽提单元处理后，与含油污水和初期雨水一并进入北方沥青股份有限公司污水处理场进行处理，处理后的污水通过园区管网排入盘锦市第三污水处理厂，排放浓度须满足《石油炼制工业污染物排放标准》（GB31570-2015）表1中直接排放限值要求。</w:t>
      </w:r>
    </w:p>
    <w:p w14:paraId="06FBBCB3">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（三）确保固体废物安全贮存和处置</w:t>
      </w:r>
    </w:p>
    <w:p w14:paraId="576E5FFF">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项目固废主要为废催化剂、废保护剂和废瓷球等，均属危险废物，</w:t>
      </w:r>
      <w:r>
        <w:rPr>
          <w:rFonts w:hint="eastAsia" w:ascii="仿宋_GB2312" w:hAnsi="仿宋_GB2312" w:eastAsia="仿宋_GB2312" w:cs="仿宋_GB2312"/>
          <w:color w:val="auto"/>
          <w:sz w:val="34"/>
          <w:szCs w:val="34"/>
          <w:highlight w:val="none"/>
          <w:lang w:val="en-US" w:eastAsia="zh-CN"/>
        </w:rPr>
        <w:t>依托北方沥青股份有限公司现有危废暂存库</w:t>
      </w:r>
      <w:r>
        <w:rPr>
          <w:rFonts w:hint="eastAsia" w:ascii="仿宋_GB2312" w:hAnsi="仿宋_GB2312" w:eastAsia="仿宋_GB2312" w:cs="仿宋_GB2312"/>
          <w:color w:val="auto"/>
          <w:kern w:val="2"/>
          <w:sz w:val="34"/>
          <w:szCs w:val="34"/>
          <w:highlight w:val="none"/>
          <w:lang w:val="en-US" w:eastAsia="zh-CN" w:bidi="ar-SA"/>
        </w:rPr>
        <w:t>分类暂存，定期委托有资质单位处理。你单位应加强危废收集、暂存和运输等环节的管理，确保各类危险废物得到妥善暂存和有效处置。同时，按照创建国家生态文明建设示范市建设指标“危险废物利用处置率达到100%”的要求，保证项目产生的危险废物按危废管理要求定期处置、年底清零。</w:t>
      </w:r>
    </w:p>
    <w:p w14:paraId="049539BD">
      <w:pPr>
        <w:pStyle w:val="38"/>
        <w:keepNext w:val="0"/>
        <w:keepLines w:val="0"/>
        <w:pageBreakBefore w:val="0"/>
        <w:kinsoku/>
        <w:wordWrap/>
        <w:topLinePunct w:val="0"/>
        <w:autoSpaceDN w:val="0"/>
        <w:bidi w:val="0"/>
        <w:spacing w:line="600" w:lineRule="exact"/>
        <w:ind w:firstLine="680" w:firstLineChars="200"/>
        <w:textAlignment w:val="auto"/>
        <w:rPr>
          <w:rFonts w:hint="eastAsia" w:ascii="仿宋_GB2312" w:hAnsi="仿宋_GB2312" w:eastAsia="仿宋_GB2312" w:cs="仿宋_GB2312"/>
          <w:color w:val="auto"/>
          <w:kern w:val="2"/>
          <w:sz w:val="34"/>
          <w:szCs w:val="34"/>
          <w:highlight w:val="none"/>
          <w:lang w:val="zh-CN" w:eastAsia="zh-CN" w:bidi="ar-SA"/>
        </w:rPr>
      </w:pPr>
      <w:r>
        <w:rPr>
          <w:rFonts w:hint="eastAsia" w:ascii="仿宋_GB2312" w:hAnsi="仿宋_GB2312" w:eastAsia="仿宋_GB2312" w:cs="仿宋_GB2312"/>
          <w:color w:val="auto"/>
          <w:kern w:val="2"/>
          <w:sz w:val="34"/>
          <w:szCs w:val="34"/>
          <w:highlight w:val="none"/>
          <w:lang w:val="en-US" w:eastAsia="zh-CN" w:bidi="ar-SA"/>
        </w:rPr>
        <w:t>（四）</w:t>
      </w:r>
      <w:r>
        <w:rPr>
          <w:rFonts w:hint="eastAsia" w:ascii="仿宋_GB2312" w:hAnsi="仿宋_GB2312" w:eastAsia="仿宋_GB2312" w:cs="仿宋_GB2312"/>
          <w:color w:val="auto"/>
          <w:kern w:val="2"/>
          <w:sz w:val="34"/>
          <w:szCs w:val="34"/>
          <w:highlight w:val="none"/>
          <w:lang w:val="zh-CN" w:eastAsia="zh-CN" w:bidi="ar-SA"/>
        </w:rPr>
        <w:t>有效控制设备噪声</w:t>
      </w:r>
    </w:p>
    <w:p w14:paraId="2548C599">
      <w:pPr>
        <w:keepNext w:val="0"/>
        <w:keepLines w:val="0"/>
        <w:pageBreakBefore w:val="0"/>
        <w:kinsoku/>
        <w:wordWrap/>
        <w:topLinePunct w:val="0"/>
        <w:bidi w:val="0"/>
        <w:spacing w:line="600" w:lineRule="exact"/>
        <w:ind w:firstLine="680" w:firstLineChars="20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设备选型应首先选用低噪声设备，从源头控制噪声源强；主要动设备均设置固定减震基础，并加装减振垫。同时，加强厂区和厂界绿化、设置绿化隔离带减弱噪声对周围环境影响，确保厂界噪声符合《工业企业厂界环境噪声排放标准》（GB12348-2008）3类标准要求。</w:t>
      </w:r>
    </w:p>
    <w:p w14:paraId="0A252774">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lang w:eastAsia="zh-CN"/>
        </w:rPr>
      </w:pP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eastAsia="zh-CN"/>
        </w:rPr>
        <w:t>五</w:t>
      </w: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eastAsia="zh-CN"/>
        </w:rPr>
        <w:t>严防地下水和土壤污染</w:t>
      </w:r>
    </w:p>
    <w:p w14:paraId="7DAD3C6E">
      <w:pPr>
        <w:keepNext w:val="0"/>
        <w:keepLines w:val="0"/>
        <w:pageBreakBefore w:val="0"/>
        <w:kinsoku/>
        <w:wordWrap/>
        <w:topLinePunct w:val="0"/>
        <w:bidi w:val="0"/>
        <w:spacing w:line="600" w:lineRule="exact"/>
        <w:ind w:firstLine="680" w:firstLineChars="20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项目各类设施应严格按照国家相关规范要求建设，从源头上防止或减少跑、冒、滴、漏现象；按照分区防渗原则落实各项防渗措施，做好与防渗相关设计、施工等图纸文本、影像资料的留存以备查。</w:t>
      </w:r>
    </w:p>
    <w:p w14:paraId="0AD3C290">
      <w:pPr>
        <w:keepNext w:val="0"/>
        <w:keepLines w:val="0"/>
        <w:pageBreakBefore w:val="0"/>
        <w:numPr>
          <w:ilvl w:val="0"/>
          <w:numId w:val="1"/>
        </w:numPr>
        <w:kinsoku/>
        <w:wordWrap/>
        <w:topLinePunct w:val="0"/>
        <w:bidi w:val="0"/>
        <w:spacing w:line="600" w:lineRule="exact"/>
        <w:ind w:firstLine="680" w:firstLineChars="20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严格落实</w:t>
      </w:r>
      <w:r>
        <w:rPr>
          <w:rFonts w:hint="eastAsia" w:ascii="仿宋_GB2312" w:hAnsi="仿宋_GB2312" w:eastAsia="仿宋_GB2312" w:cs="仿宋_GB2312"/>
          <w:color w:val="auto"/>
          <w:kern w:val="2"/>
          <w:sz w:val="34"/>
          <w:szCs w:val="34"/>
          <w:highlight w:val="none"/>
          <w:lang w:val="zh-CN" w:eastAsia="zh-CN" w:bidi="ar-SA"/>
        </w:rPr>
        <w:t>“报告</w:t>
      </w:r>
      <w:r>
        <w:rPr>
          <w:rFonts w:hint="eastAsia" w:ascii="仿宋_GB2312" w:hAnsi="仿宋_GB2312" w:eastAsia="仿宋_GB2312" w:cs="仿宋_GB2312"/>
          <w:color w:val="auto"/>
          <w:kern w:val="2"/>
          <w:sz w:val="34"/>
          <w:szCs w:val="34"/>
          <w:highlight w:val="none"/>
          <w:lang w:val="en-US" w:eastAsia="zh-CN" w:bidi="ar-SA"/>
        </w:rPr>
        <w:t>书</w:t>
      </w:r>
      <w:r>
        <w:rPr>
          <w:rFonts w:hint="eastAsia" w:ascii="仿宋_GB2312" w:hAnsi="仿宋_GB2312" w:eastAsia="仿宋_GB2312" w:cs="仿宋_GB2312"/>
          <w:color w:val="auto"/>
          <w:kern w:val="2"/>
          <w:sz w:val="34"/>
          <w:szCs w:val="34"/>
          <w:highlight w:val="none"/>
          <w:lang w:val="zh-CN" w:eastAsia="zh-CN" w:bidi="ar-SA"/>
        </w:rPr>
        <w:t>”</w:t>
      </w:r>
      <w:r>
        <w:rPr>
          <w:rFonts w:hint="eastAsia" w:ascii="仿宋_GB2312" w:hAnsi="仿宋_GB2312" w:eastAsia="仿宋_GB2312" w:cs="仿宋_GB2312"/>
          <w:color w:val="auto"/>
          <w:kern w:val="2"/>
          <w:sz w:val="34"/>
          <w:szCs w:val="34"/>
          <w:highlight w:val="none"/>
          <w:lang w:val="en-US" w:eastAsia="zh-CN" w:bidi="ar-SA"/>
        </w:rPr>
        <w:t>提出的各项环境风险防范措施。建立健全三级防控体系，完善相关管理制度，积极防范和应对突发环境事件。按照</w:t>
      </w:r>
      <w:r>
        <w:rPr>
          <w:rFonts w:hint="eastAsia" w:ascii="仿宋_GB2312" w:hAnsi="仿宋_GB2312" w:eastAsia="仿宋_GB2312" w:cs="仿宋_GB2312"/>
          <w:color w:val="auto"/>
          <w:kern w:val="2"/>
          <w:sz w:val="34"/>
          <w:szCs w:val="34"/>
          <w:highlight w:val="none"/>
          <w:lang w:val="zh-CN" w:eastAsia="zh-CN" w:bidi="ar-SA"/>
        </w:rPr>
        <w:t>“企业自救、属地自主、分级响应、区域联动”</w:t>
      </w:r>
      <w:r>
        <w:rPr>
          <w:rFonts w:hint="eastAsia" w:ascii="仿宋_GB2312" w:hAnsi="仿宋_GB2312" w:eastAsia="仿宋_GB2312" w:cs="仿宋_GB2312"/>
          <w:color w:val="auto"/>
          <w:kern w:val="2"/>
          <w:sz w:val="34"/>
          <w:szCs w:val="34"/>
          <w:highlight w:val="none"/>
          <w:lang w:val="en-US" w:eastAsia="zh-CN" w:bidi="ar-SA"/>
        </w:rPr>
        <w:t>原则，制定突发环境事件应急预案，并实现与相关管理部门和所在区域突发环境事件应急预案有效衔接。同时，应做好环保设施运行和维护，严格落实环保设施安全生产工作要求，健全企业内部污染防治设施运行和管理责任制度，委托有相应资质的单位对重点环保设施进行设计，并定期做好环保设备设施安全风险辨识评估和隐患排查治理。</w:t>
      </w:r>
    </w:p>
    <w:p w14:paraId="189FEFF8">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三、全面执行“报告书”提出的环境管理及监测计划。建立技术文件档案，促进环境管理措施的修正和持续改进。按照国家和地方有关规定设置规范的污染物排放口、采样孔口和采样监测平台，并设立标识牌。定期开展大气、地表水、噪声、地下水和土壤等环境监测，建立污染监控、预警体系，如发现超标，应及时采取有效的环境影响减缓措施。</w:t>
      </w:r>
    </w:p>
    <w:p w14:paraId="4BD11E27">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bCs/>
          <w:sz w:val="34"/>
          <w:szCs w:val="34"/>
          <w:lang w:eastAsia="zh-CN"/>
        </w:rPr>
        <w:t>四</w:t>
      </w:r>
      <w:r>
        <w:rPr>
          <w:rFonts w:hint="eastAsia" w:ascii="仿宋_GB2312" w:hAnsi="仿宋_GB2312" w:eastAsia="仿宋_GB2312" w:cs="仿宋_GB2312"/>
          <w:bCs/>
          <w:sz w:val="34"/>
          <w:szCs w:val="34"/>
        </w:rPr>
        <w:t>、定期发布企业环境信息，并主动接受社会监督。在工程施工和运营过程中，应建立畅通的公众参与平台，及时解决公众担忧的环境问题，满足公众合理的环境诉求。</w:t>
      </w:r>
    </w:p>
    <w:p w14:paraId="6AEEF935">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五、</w:t>
      </w:r>
      <w:r>
        <w:rPr>
          <w:rFonts w:hint="eastAsia" w:ascii="仿宋_GB2312" w:hAnsi="仿宋_GB2312" w:eastAsia="仿宋_GB2312" w:cs="仿宋_GB2312"/>
          <w:bCs/>
          <w:sz w:val="34"/>
          <w:szCs w:val="34"/>
        </w:rPr>
        <w:t>按《排污许可管理条例》规定，</w:t>
      </w:r>
      <w:r>
        <w:rPr>
          <w:rFonts w:hint="eastAsia" w:ascii="仿宋_GB2312" w:hAnsi="仿宋_GB2312" w:eastAsia="仿宋_GB2312" w:cs="仿宋_GB2312"/>
          <w:bCs/>
          <w:sz w:val="34"/>
          <w:szCs w:val="34"/>
          <w:lang w:val="en-US" w:eastAsia="zh-CN"/>
        </w:rPr>
        <w:t>排污单位应</w:t>
      </w:r>
      <w:r>
        <w:rPr>
          <w:rFonts w:hint="eastAsia" w:ascii="仿宋_GB2312" w:hAnsi="仿宋_GB2312" w:eastAsia="仿宋_GB2312" w:cs="仿宋_GB2312"/>
          <w:bCs/>
          <w:sz w:val="34"/>
          <w:szCs w:val="34"/>
        </w:rPr>
        <w:t>依法持有排污许可证，并按规定排放污染物，未取得排污许可证前，</w:t>
      </w:r>
      <w:r>
        <w:rPr>
          <w:rFonts w:hint="eastAsia" w:ascii="仿宋_GB2312" w:hAnsi="仿宋_GB2312" w:eastAsia="仿宋_GB2312" w:cs="仿宋_GB2312"/>
          <w:bCs/>
          <w:sz w:val="34"/>
          <w:szCs w:val="34"/>
          <w:lang w:val="en-US" w:eastAsia="zh-CN"/>
        </w:rPr>
        <w:t>本项目</w:t>
      </w:r>
      <w:r>
        <w:rPr>
          <w:rFonts w:hint="eastAsia" w:ascii="仿宋_GB2312" w:hAnsi="仿宋_GB2312" w:eastAsia="仿宋_GB2312" w:cs="仿宋_GB2312"/>
          <w:bCs/>
          <w:sz w:val="34"/>
          <w:szCs w:val="34"/>
        </w:rPr>
        <w:t>不得</w:t>
      </w:r>
      <w:r>
        <w:rPr>
          <w:rFonts w:hint="eastAsia" w:ascii="仿宋_GB2312" w:hAnsi="仿宋_GB2312" w:eastAsia="仿宋_GB2312" w:cs="仿宋_GB2312"/>
          <w:bCs/>
          <w:sz w:val="34"/>
          <w:szCs w:val="34"/>
          <w:lang w:val="en-US" w:eastAsia="zh-CN"/>
        </w:rPr>
        <w:t>投产运行</w:t>
      </w:r>
      <w:r>
        <w:rPr>
          <w:rFonts w:hint="eastAsia" w:ascii="仿宋_GB2312" w:hAnsi="仿宋_GB2312" w:eastAsia="仿宋_GB2312" w:cs="仿宋_GB2312"/>
          <w:bCs/>
          <w:sz w:val="34"/>
          <w:szCs w:val="34"/>
        </w:rPr>
        <w:t>。</w:t>
      </w:r>
    </w:p>
    <w:p w14:paraId="7E87739D">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六</w:t>
      </w:r>
      <w:r>
        <w:rPr>
          <w:rFonts w:hint="eastAsia" w:ascii="仿宋_GB2312" w:hAnsi="仿宋_GB2312" w:eastAsia="仿宋_GB2312" w:cs="仿宋_GB2312"/>
          <w:bCs/>
          <w:sz w:val="34"/>
          <w:szCs w:val="34"/>
        </w:rPr>
        <w:t>、按照国家有关污染物排放总量控制要求，</w:t>
      </w:r>
      <w:r>
        <w:rPr>
          <w:rFonts w:hint="eastAsia" w:ascii="仿宋_GB2312" w:hAnsi="仿宋_GB2312" w:eastAsia="仿宋_GB2312" w:cs="仿宋_GB2312"/>
          <w:bCs/>
          <w:sz w:val="34"/>
          <w:szCs w:val="34"/>
          <w:lang w:val="en-US" w:eastAsia="zh-CN"/>
        </w:rPr>
        <w:t>须</w:t>
      </w:r>
      <w:r>
        <w:rPr>
          <w:rFonts w:hint="eastAsia" w:ascii="仿宋_GB2312" w:hAnsi="仿宋_GB2312" w:eastAsia="仿宋_GB2312" w:cs="仿宋_GB2312"/>
          <w:bCs/>
          <w:sz w:val="34"/>
          <w:szCs w:val="34"/>
        </w:rPr>
        <w:t>落实污染物总量确认书中各污染物总量控制指标。</w:t>
      </w:r>
    </w:p>
    <w:p w14:paraId="20388AD6">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七、</w:t>
      </w:r>
      <w:bookmarkStart w:id="0" w:name="_Hlk118712013"/>
      <w:r>
        <w:rPr>
          <w:rFonts w:hint="eastAsia" w:ascii="仿宋_GB2312" w:hAnsi="仿宋_GB2312" w:eastAsia="仿宋_GB2312" w:cs="仿宋_GB2312"/>
          <w:bCs/>
          <w:sz w:val="34"/>
          <w:szCs w:val="34"/>
          <w:lang w:val="en-US" w:eastAsia="zh-CN"/>
        </w:rPr>
        <w:t>严格落实生态环境保护主体责任，</w:t>
      </w:r>
      <w:bookmarkEnd w:id="0"/>
      <w:r>
        <w:rPr>
          <w:rFonts w:hint="eastAsia" w:ascii="仿宋_GB2312" w:hAnsi="仿宋_GB2312" w:eastAsia="仿宋_GB2312" w:cs="仿宋_GB2312"/>
          <w:bCs/>
          <w:sz w:val="34"/>
          <w:szCs w:val="34"/>
          <w:lang w:val="en-US" w:eastAsia="zh-CN"/>
        </w:rPr>
        <w:t>项目建设必须严格执行环境保护设施与主体工程同时设计、同时施工、同时投产使用的环境保护“三同时”制度。项目投产前，应按规定程序实施竣工环境保护验收，编制验收报告并向社会公开。</w:t>
      </w:r>
    </w:p>
    <w:p w14:paraId="5FDCFB45">
      <w:pPr>
        <w:pStyle w:val="7"/>
        <w:keepNext w:val="0"/>
        <w:keepLines w:val="0"/>
        <w:pageBreakBefore w:val="0"/>
        <w:kinsoku/>
        <w:wordWrap/>
        <w:overflowPunct w:val="0"/>
        <w:topLinePunct w:val="0"/>
        <w:autoSpaceDE w:val="0"/>
        <w:autoSpaceDN w:val="0"/>
        <w:bidi w:val="0"/>
        <w:spacing w:line="600" w:lineRule="exact"/>
        <w:ind w:firstLine="680" w:firstLineChars="200"/>
        <w:jc w:val="left"/>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八、环境影响报告书经批准后，项目的性质、规模、地点、工艺或者防治污染、环境风险防范等措施发生重大变动的，应当重新报批该项目的环境影响报告书。自环境影响报告书批复文件批准之日起，如超过五年开工建设，环境影响报告书应报我局重新审核。</w:t>
      </w:r>
    </w:p>
    <w:p w14:paraId="22D3AB34">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sz w:val="34"/>
          <w:szCs w:val="34"/>
        </w:rPr>
      </w:pPr>
      <w:r>
        <w:rPr>
          <w:rFonts w:hint="eastAsia" w:ascii="仿宋_GB2312" w:hAnsi="仿宋_GB2312" w:eastAsia="仿宋_GB2312" w:cs="仿宋_GB2312"/>
          <w:bCs/>
          <w:sz w:val="34"/>
          <w:szCs w:val="34"/>
          <w:lang w:val="en-US" w:eastAsia="zh-CN"/>
        </w:rPr>
        <w:t>九、</w:t>
      </w:r>
      <w:r>
        <w:rPr>
          <w:rFonts w:hint="eastAsia" w:ascii="仿宋_GB2312" w:hAnsi="仿宋_GB2312" w:eastAsia="仿宋_GB2312" w:cs="仿宋_GB2312"/>
          <w:bCs/>
          <w:sz w:val="34"/>
          <w:szCs w:val="34"/>
          <w:shd w:val="clear" w:color="auto" w:fill="auto"/>
          <w:lang w:val="en-US" w:eastAsia="zh-CN"/>
        </w:rPr>
        <w:t>盘锦市生态环境局</w:t>
      </w:r>
      <w:r>
        <w:rPr>
          <w:rFonts w:hint="eastAsia" w:ascii="仿宋_GB2312" w:hAnsi="仿宋_GB2312" w:eastAsia="仿宋_GB2312" w:cs="仿宋_GB2312"/>
          <w:bCs/>
          <w:sz w:val="34"/>
          <w:szCs w:val="34"/>
          <w:lang w:val="en-US" w:eastAsia="zh-CN"/>
        </w:rPr>
        <w:t>负责本项目的事中事后监督管理，你公司应按规定接受各级环境保护行政主管部门的日常监督检查。</w:t>
      </w:r>
    </w:p>
    <w:p w14:paraId="7AF5D789">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80"/>
        <w:textAlignment w:val="auto"/>
        <w:rPr>
          <w:rFonts w:hint="eastAsia"/>
          <w:sz w:val="34"/>
          <w:szCs w:val="34"/>
        </w:rPr>
      </w:pPr>
    </w:p>
    <w:p w14:paraId="4806E810">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80"/>
        <w:textAlignment w:val="auto"/>
        <w:rPr>
          <w:sz w:val="34"/>
          <w:szCs w:val="34"/>
        </w:rPr>
      </w:pPr>
    </w:p>
    <w:p w14:paraId="1393D481">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eastAsia="仿宋_GB2312"/>
          <w:sz w:val="34"/>
          <w:szCs w:val="34"/>
        </w:rPr>
      </w:pPr>
      <w:r>
        <w:rPr>
          <w:rFonts w:hint="eastAsia" w:ascii="仿宋_GB2312" w:eastAsia="仿宋_GB2312"/>
          <w:sz w:val="34"/>
          <w:szCs w:val="34"/>
        </w:rPr>
        <w:t xml:space="preserve">                            盘锦市生态环境局</w:t>
      </w:r>
    </w:p>
    <w:p w14:paraId="6CD990F4">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center"/>
        <w:textAlignment w:val="auto"/>
        <w:rPr>
          <w:rFonts w:hint="eastAsia" w:ascii="仿宋_GB2312" w:eastAsia="仿宋_GB2312"/>
          <w:sz w:val="34"/>
          <w:szCs w:val="34"/>
        </w:rPr>
      </w:pPr>
      <w:r>
        <w:rPr>
          <w:rFonts w:hint="eastAsia" w:ascii="仿宋_GB2312" w:eastAsia="仿宋_GB2312"/>
          <w:sz w:val="34"/>
          <w:szCs w:val="34"/>
        </w:rPr>
        <w:t xml:space="preserve">                2024年</w:t>
      </w:r>
      <w:r>
        <w:rPr>
          <w:rFonts w:hint="eastAsia" w:ascii="仿宋_GB2312" w:eastAsia="仿宋_GB2312"/>
          <w:sz w:val="34"/>
          <w:szCs w:val="34"/>
          <w:lang w:val="en-US" w:eastAsia="zh-CN"/>
        </w:rPr>
        <w:t>7</w:t>
      </w:r>
      <w:r>
        <w:rPr>
          <w:rFonts w:hint="eastAsia" w:ascii="仿宋_GB2312" w:eastAsia="仿宋_GB2312"/>
          <w:sz w:val="34"/>
          <w:szCs w:val="34"/>
        </w:rPr>
        <w:t>月</w:t>
      </w:r>
      <w:r>
        <w:rPr>
          <w:rFonts w:hint="eastAsia" w:ascii="仿宋_GB2312" w:eastAsia="仿宋_GB2312"/>
          <w:sz w:val="34"/>
          <w:szCs w:val="34"/>
          <w:lang w:val="en-US" w:eastAsia="zh-CN"/>
        </w:rPr>
        <w:t>1</w:t>
      </w:r>
      <w:r>
        <w:rPr>
          <w:rFonts w:hint="eastAsia" w:ascii="仿宋_GB2312" w:eastAsia="仿宋_GB2312"/>
          <w:sz w:val="34"/>
          <w:szCs w:val="34"/>
        </w:rPr>
        <w:t>日</w:t>
      </w:r>
    </w:p>
    <w:p w14:paraId="7DC376DF">
      <w:pPr>
        <w:ind w:firstLine="680" w:firstLineChars="200"/>
        <w:jc w:val="center"/>
        <w:rPr>
          <w:rFonts w:hint="eastAsia" w:ascii="仿宋_GB2312" w:hAnsi="仿宋_GB2312" w:eastAsia="仿宋_GB2312" w:cs="仿宋_GB2312"/>
          <w:color w:val="auto"/>
          <w:sz w:val="34"/>
          <w:szCs w:val="34"/>
          <w:highlight w:val="none"/>
        </w:rPr>
      </w:pPr>
    </w:p>
    <w:p w14:paraId="201336AD">
      <w:pPr>
        <w:pStyle w:val="2"/>
        <w:rPr>
          <w:rFonts w:hint="eastAsia" w:ascii="仿宋_GB2312" w:hAnsi="仿宋_GB2312" w:eastAsia="仿宋_GB2312" w:cs="仿宋_GB2312"/>
          <w:color w:val="auto"/>
          <w:sz w:val="34"/>
          <w:szCs w:val="34"/>
          <w:highlight w:val="none"/>
        </w:rPr>
      </w:pPr>
    </w:p>
    <w:p w14:paraId="366EBBFC">
      <w:pPr>
        <w:rPr>
          <w:rFonts w:hint="eastAsia" w:ascii="仿宋_GB2312" w:hAnsi="仿宋_GB2312" w:eastAsia="仿宋_GB2312" w:cs="仿宋_GB2312"/>
          <w:color w:val="auto"/>
          <w:sz w:val="34"/>
          <w:szCs w:val="34"/>
          <w:highlight w:val="none"/>
        </w:rPr>
      </w:pPr>
    </w:p>
    <w:p w14:paraId="53749252">
      <w:pPr>
        <w:pStyle w:val="2"/>
        <w:rPr>
          <w:rFonts w:hint="eastAsia" w:ascii="仿宋_GB2312" w:hAnsi="仿宋_GB2312" w:eastAsia="仿宋_GB2312" w:cs="仿宋_GB2312"/>
          <w:color w:val="auto"/>
          <w:sz w:val="34"/>
          <w:szCs w:val="34"/>
          <w:highlight w:val="none"/>
        </w:rPr>
      </w:pPr>
    </w:p>
    <w:p w14:paraId="5EC62F3F">
      <w:pPr>
        <w:rPr>
          <w:rFonts w:hint="eastAsia" w:ascii="仿宋_GB2312" w:hAnsi="仿宋_GB2312" w:eastAsia="仿宋_GB2312" w:cs="仿宋_GB2312"/>
          <w:color w:val="auto"/>
          <w:sz w:val="34"/>
          <w:szCs w:val="34"/>
          <w:highlight w:val="none"/>
        </w:rPr>
      </w:pPr>
    </w:p>
    <w:p w14:paraId="7340055B">
      <w:pPr>
        <w:pStyle w:val="2"/>
        <w:rPr>
          <w:rFonts w:hint="eastAsia"/>
        </w:rPr>
      </w:pPr>
    </w:p>
    <w:p w14:paraId="70C03FFA">
      <w:pPr>
        <w:rPr>
          <w:rFonts w:eastAsia="仿宋"/>
          <w:color w:val="auto"/>
          <w:sz w:val="32"/>
          <w:szCs w:val="32"/>
          <w:highlight w:val="none"/>
        </w:rPr>
      </w:pPr>
    </w:p>
    <w:tbl>
      <w:tblPr>
        <w:tblStyle w:val="18"/>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07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14:paraId="0CFB624B">
            <w:pPr>
              <w:spacing w:line="50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抄送：市生态环境局机关各科室、盘锦市生态环境保护服务中心、市生态环境保护综合行政执法队</w:t>
            </w:r>
          </w:p>
        </w:tc>
      </w:tr>
      <w:tr w14:paraId="589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14:paraId="3B5AA079">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tc>
      </w:tr>
    </w:tbl>
    <w:p w14:paraId="0448AD83">
      <w:pPr>
        <w:keepNext w:val="0"/>
        <w:keepLines w:val="0"/>
        <w:pageBreakBefore w:val="0"/>
        <w:widowControl w:val="0"/>
        <w:tabs>
          <w:tab w:val="left" w:pos="3572"/>
        </w:tabs>
        <w:kinsoku/>
        <w:wordWrap/>
        <w:overflowPunct/>
        <w:topLinePunct w:val="0"/>
        <w:autoSpaceDE/>
        <w:autoSpaceDN/>
        <w:bidi w:val="0"/>
        <w:adjustRightInd/>
        <w:snapToGrid/>
        <w:spacing w:line="20" w:lineRule="exact"/>
        <w:jc w:val="left"/>
        <w:textAlignment w:val="auto"/>
        <w:rPr>
          <w:rFonts w:hint="eastAsia"/>
          <w:lang w:val="en-US" w:eastAsia="zh-CN"/>
        </w:rPr>
      </w:pPr>
    </w:p>
    <w:sectPr>
      <w:headerReference r:id="rId3" w:type="default"/>
      <w:footerReference r:id="rId4" w:type="default"/>
      <w:pgSz w:w="11906" w:h="16838"/>
      <w:pgMar w:top="1474" w:right="1474" w:bottom="147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42C04D-8720-4A55-8A24-609554B20BC7}"/>
  </w:font>
  <w:font w:name="仿宋_GB2312">
    <w:panose1 w:val="02010609030101010101"/>
    <w:charset w:val="86"/>
    <w:family w:val="modern"/>
    <w:pitch w:val="default"/>
    <w:sig w:usb0="00000001" w:usb1="080E0000" w:usb2="00000000" w:usb3="00000000" w:csb0="00040000" w:csb1="00000000"/>
    <w:embedRegular r:id="rId2" w:fontKey="{3C2E629F-2B6B-49BD-A205-6AA5A32466F8}"/>
  </w:font>
  <w:font w:name="仿宋">
    <w:panose1 w:val="02010609060101010101"/>
    <w:charset w:val="86"/>
    <w:family w:val="modern"/>
    <w:pitch w:val="default"/>
    <w:sig w:usb0="800002BF" w:usb1="38CF7CFA" w:usb2="00000016" w:usb3="00000000" w:csb0="00040001" w:csb1="00000000"/>
    <w:embedRegular r:id="rId3" w:fontKey="{7C41E36C-BEAC-4D71-9E8B-FFF8C6276A9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6285F2E3-B96A-4E7C-B48B-383F776A80FC}"/>
  </w:font>
  <w:font w:name="楷体_GB2312">
    <w:panose1 w:val="02010609030101010101"/>
    <w:charset w:val="86"/>
    <w:family w:val="modern"/>
    <w:pitch w:val="default"/>
    <w:sig w:usb0="00000001" w:usb1="080E0000" w:usb2="00000000" w:usb3="00000000" w:csb0="00040000" w:csb1="00000000"/>
    <w:embedRegular r:id="rId5" w:fontKey="{3609D68B-075D-48E1-9ED3-E2B3FDCCFCC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F8F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D7A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D0BB"/>
    <w:multiLevelType w:val="singleLevel"/>
    <w:tmpl w:val="4DD8D0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873E9"/>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2F2FAF"/>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AB6BE8"/>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4"/>
    <w:qFormat/>
    <w:uiPriority w:val="0"/>
    <w:pPr>
      <w:spacing w:line="360" w:lineRule="auto"/>
      <w:ind w:firstLine="480" w:firstLineChars="200"/>
    </w:pPr>
    <w:rPr>
      <w:rFonts w:eastAsia="仿宋_GB2312"/>
      <w:sz w:val="24"/>
    </w:rPr>
  </w:style>
  <w:style w:type="paragraph" w:styleId="10">
    <w:name w:val="Date"/>
    <w:basedOn w:val="1"/>
    <w:next w:val="1"/>
    <w:link w:val="36"/>
    <w:qFormat/>
    <w:uiPriority w:val="0"/>
    <w:pPr>
      <w:ind w:left="100" w:leftChars="2500"/>
    </w:p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footnote text"/>
    <w:basedOn w:val="1"/>
    <w:qFormat/>
    <w:uiPriority w:val="99"/>
    <w:pPr>
      <w:snapToGrid w:val="0"/>
      <w:spacing w:line="560" w:lineRule="exact"/>
      <w:ind w:firstLine="200" w:firstLineChars="200"/>
      <w:jc w:val="left"/>
    </w:pPr>
    <w:rPr>
      <w:rFonts w:eastAsia="仿宋"/>
      <w:sz w:val="1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6">
    <w:name w:val="Body Text First Indent"/>
    <w:basedOn w:val="6"/>
    <w:next w:val="1"/>
    <w:qFormat/>
    <w:uiPriority w:val="0"/>
    <w:pPr>
      <w:ind w:firstLine="420" w:firstLineChars="100"/>
    </w:pPr>
  </w:style>
  <w:style w:type="paragraph" w:styleId="17">
    <w:name w:val="Body Text First Indent 2"/>
    <w:basedOn w:val="7"/>
    <w:next w:val="1"/>
    <w:qFormat/>
    <w:uiPriority w:val="0"/>
    <w:pPr>
      <w:spacing w:line="240" w:lineRule="auto"/>
      <w:ind w:left="420" w:leftChars="200" w:firstLine="420"/>
    </w:pPr>
    <w:rPr>
      <w:sz w:val="21"/>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qFormat/>
    <w:uiPriority w:val="0"/>
    <w:rPr>
      <w:color w:val="005283"/>
      <w:sz w:val="24"/>
      <w:szCs w:val="24"/>
      <w:u w:val="none"/>
    </w:rPr>
  </w:style>
  <w:style w:type="character" w:styleId="24">
    <w:name w:val="Hyperlink"/>
    <w:qFormat/>
    <w:uiPriority w:val="0"/>
    <w:rPr>
      <w:color w:val="005283"/>
      <w:sz w:val="24"/>
      <w:szCs w:val="24"/>
      <w:u w:val="none"/>
    </w:rPr>
  </w:style>
  <w:style w:type="paragraph" w:customStyle="1" w:styleId="25">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6">
    <w:name w:val="样式 标题 1一级标题 + 段前: 0.5 行 段后: 0.5 行"/>
    <w:basedOn w:val="3"/>
    <w:qFormat/>
    <w:uiPriority w:val="99"/>
    <w:pPr>
      <w:tabs>
        <w:tab w:val="left" w:pos="4425"/>
      </w:tabs>
      <w:spacing w:line="320" w:lineRule="exact"/>
      <w:outlineLvl w:val="9"/>
    </w:pPr>
    <w:rPr>
      <w:spacing w:val="-6"/>
      <w:sz w:val="21"/>
      <w:szCs w:val="21"/>
    </w:rPr>
  </w:style>
  <w:style w:type="character" w:customStyle="1" w:styleId="27">
    <w:name w:val="标题 1 Char"/>
    <w:basedOn w:val="20"/>
    <w:link w:val="3"/>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0"/>
    <w:link w:val="2"/>
    <w:qFormat/>
    <w:uiPriority w:val="0"/>
    <w:rPr>
      <w:rFonts w:ascii="宋体" w:hAnsi="宋体"/>
      <w:kern w:val="2"/>
      <w:sz w:val="21"/>
    </w:rPr>
  </w:style>
  <w:style w:type="character" w:customStyle="1" w:styleId="34">
    <w:name w:val="批注框文本 Char"/>
    <w:link w:val="11"/>
    <w:qFormat/>
    <w:uiPriority w:val="0"/>
    <w:rPr>
      <w:rFonts w:ascii="Calibri"/>
      <w:kern w:val="2"/>
      <w:sz w:val="18"/>
      <w:szCs w:val="18"/>
    </w:rPr>
  </w:style>
  <w:style w:type="character" w:customStyle="1" w:styleId="35">
    <w:name w:val="标题 Char"/>
    <w:basedOn w:val="20"/>
    <w:link w:val="15"/>
    <w:qFormat/>
    <w:uiPriority w:val="10"/>
    <w:rPr>
      <w:rFonts w:ascii="Cambria" w:hAnsi="Cambria" w:cs="Times New Roman"/>
      <w:b/>
      <w:bCs/>
      <w:kern w:val="2"/>
      <w:sz w:val="32"/>
      <w:szCs w:val="32"/>
    </w:rPr>
  </w:style>
  <w:style w:type="character" w:customStyle="1" w:styleId="36">
    <w:name w:val="日期 Char"/>
    <w:basedOn w:val="20"/>
    <w:link w:val="10"/>
    <w:qFormat/>
    <w:uiPriority w:val="0"/>
    <w:rPr>
      <w:kern w:val="2"/>
      <w:sz w:val="21"/>
      <w:szCs w:val="24"/>
    </w:rPr>
  </w:style>
  <w:style w:type="paragraph" w:customStyle="1" w:styleId="37">
    <w:name w:val="0正文"/>
    <w:basedOn w:val="7"/>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 w:type="paragraph" w:customStyle="1" w:styleId="44">
    <w:name w:val="封面项目名称EPAJW120926"/>
    <w:basedOn w:val="1"/>
    <w:qFormat/>
    <w:uiPriority w:val="0"/>
    <w:pPr>
      <w:spacing w:before="156" w:after="156"/>
      <w:jc w:val="center"/>
    </w:pPr>
    <w:rPr>
      <w:rFonts w:cs="宋体"/>
      <w:b/>
      <w:bCs/>
      <w:sz w:val="44"/>
      <w:szCs w:val="20"/>
    </w:rPr>
  </w:style>
  <w:style w:type="paragraph" w:customStyle="1" w:styleId="45">
    <w:name w:val="正文，yyjoc"/>
    <w:basedOn w:val="1"/>
    <w:autoRedefine/>
    <w:qFormat/>
    <w:uiPriority w:val="0"/>
    <w:pPr>
      <w:adjustRightInd w:val="0"/>
      <w:snapToGrid w:val="0"/>
      <w:spacing w:beforeLines="50" w:line="300" w:lineRule="auto"/>
      <w:ind w:firstLine="20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2342</Words>
  <Characters>2444</Characters>
  <Lines>20</Lines>
  <Paragraphs>5</Paragraphs>
  <TotalTime>0</TotalTime>
  <ScaleCrop>false</ScaleCrop>
  <LinksUpToDate>false</LinksUpToDate>
  <CharactersWithSpaces>2490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2024-07-05T08:50:58Z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C4BF15F03A4A4195803259B5D30C44D4_13</vt:lpwstr>
  </property>
</Properties>
</file>