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双兴水利管理中心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i w:val="0"/>
          <w:iCs w:val="0"/>
          <w:caps w:val="0"/>
          <w:color w:val="333333"/>
          <w:spacing w:val="0"/>
          <w:sz w:val="18"/>
          <w:szCs w:val="18"/>
          <w:lang w:val="en-US"/>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ascii="黑体" w:hAnsi="宋体" w:eastAsia="黑体" w:cs="黑体"/>
          <w:i w:val="0"/>
          <w:iCs w:val="0"/>
          <w:caps w:val="0"/>
          <w:color w:val="333333"/>
          <w:spacing w:val="0"/>
          <w:kern w:val="0"/>
          <w:sz w:val="32"/>
          <w:szCs w:val="32"/>
          <w:shd w:val="clear" w:fill="FFFFFF"/>
          <w:lang w:val="en-US" w:eastAsia="zh-CN" w:bidi="ar"/>
        </w:rPr>
        <w:t>目</w:t>
      </w:r>
      <w:r>
        <w:rPr>
          <w:rFonts w:hint="eastAsia" w:ascii="黑体" w:hAnsi="宋体" w:eastAsia="黑体" w:cs="黑体"/>
          <w:i w:val="0"/>
          <w:iCs w:val="0"/>
          <w:caps w:val="0"/>
          <w:color w:val="333333"/>
          <w:spacing w:val="0"/>
          <w:kern w:val="0"/>
          <w:sz w:val="32"/>
          <w:szCs w:val="32"/>
          <w:shd w:val="clear" w:fill="FFFFFF"/>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第一部分  盘锦市双兴水利管理中心概况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盘锦市水利管理中心2024年度预算公开表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年度收支总体情况表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年度收入总体情况表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年度支出总体情况表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年度财政拨款收支总体情况表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年度一般公共预算基本支出情况表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七、202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年度一般公共预算“三公”经费支出情况表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八、202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年度政府性基金预算支出情况表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九、202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年度综合预算项目支出表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十、202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年度（单位）整体绩效目标表</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盘锦市双兴水利管理中心2024年度预算情况说明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一、收支预算的总体情况说明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二、“三公”经费预算安排使用情况说明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三、机关运行经费预算安排使用情况说明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四、政府采购安排情况说明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第一部分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双兴水利管理中心</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default" w:ascii="仿宋_GB2312" w:eastAsia="仿宋_GB2312"/>
          <w:sz w:val="32"/>
          <w:szCs w:val="32"/>
          <w:lang w:val="en-US"/>
        </w:rPr>
      </w:pPr>
      <w:r>
        <w:rPr>
          <w:rFonts w:hint="eastAsia" w:ascii="仿宋_GB2312" w:eastAsia="仿宋_GB2312"/>
          <w:sz w:val="32"/>
          <w:szCs w:val="32"/>
        </w:rPr>
        <w:t>（一）</w:t>
      </w:r>
      <w:r>
        <w:rPr>
          <w:rFonts w:hint="eastAsia" w:ascii="仿宋_GB2312" w:eastAsia="仿宋_GB2312"/>
          <w:sz w:val="32"/>
          <w:szCs w:val="32"/>
          <w:lang w:val="en-US" w:eastAsia="zh-CN"/>
        </w:rPr>
        <w:t>负责于岗子站、谷家、南水北调各站维修养护、运行及控制范围内城市排水、水田除涝工作。</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负责吴家总干（螃蟹沟、六零河）的水利工程事务性工作以及控制范围内水田灌溉工作。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隶属于盘锦市水利服务中心分支机构。</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盘锦市双兴水利管理中心</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年单位决算编制范围的预算单位包括：</w:t>
      </w:r>
      <w:r>
        <w:rPr>
          <w:rFonts w:hint="eastAsia" w:ascii="仿宋_GB2312" w:eastAsia="仿宋_GB2312"/>
          <w:b/>
          <w:sz w:val="32"/>
          <w:szCs w:val="32"/>
          <w:lang w:val="en-US" w:eastAsia="zh-CN"/>
        </w:rPr>
        <w:t>盘锦市双兴水利管理中心</w:t>
      </w:r>
      <w:r>
        <w:rPr>
          <w:rFonts w:hint="eastAsia" w:ascii="仿宋_GB2312" w:eastAsia="仿宋_GB2312"/>
          <w:b/>
          <w:sz w:val="32"/>
          <w:szCs w:val="32"/>
        </w:rPr>
        <w:t>一户单位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第二部分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双兴水利管理中心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sz w:val="18"/>
          <w:szCs w:val="21"/>
        </w:rPr>
        <w:drawing>
          <wp:inline distT="0" distB="0" distL="114300" distR="114300">
            <wp:extent cx="5264785" cy="3652520"/>
            <wp:effectExtent l="0" t="0" r="8255" b="508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4"/>
                    <a:stretch>
                      <a:fillRect/>
                    </a:stretch>
                  </pic:blipFill>
                  <pic:spPr>
                    <a:xfrm>
                      <a:off x="0" y="0"/>
                      <a:ext cx="5264785" cy="3652520"/>
                    </a:xfrm>
                    <a:prstGeom prst="rect">
                      <a:avLst/>
                    </a:prstGeom>
                    <a:noFill/>
                    <a:ln>
                      <a:noFill/>
                    </a:ln>
                  </pic:spPr>
                </pic:pic>
              </a:graphicData>
            </a:graphic>
          </wp:inline>
        </w:drawing>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drawing>
          <wp:inline distT="0" distB="0" distL="114300" distR="114300">
            <wp:extent cx="5268595" cy="1924050"/>
            <wp:effectExtent l="0" t="0" r="4445" b="1143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5"/>
                    <a:stretch>
                      <a:fillRect/>
                    </a:stretch>
                  </pic:blipFill>
                  <pic:spPr>
                    <a:xfrm>
                      <a:off x="0" y="0"/>
                      <a:ext cx="5268595" cy="192405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drawing>
          <wp:inline distT="0" distB="0" distL="114300" distR="114300">
            <wp:extent cx="5265420" cy="2701925"/>
            <wp:effectExtent l="0" t="0" r="7620" b="1079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6"/>
                    <a:stretch>
                      <a:fillRect/>
                    </a:stretch>
                  </pic:blipFill>
                  <pic:spPr>
                    <a:xfrm>
                      <a:off x="0" y="0"/>
                      <a:ext cx="5265420" cy="270192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drawing>
          <wp:inline distT="0" distB="0" distL="114300" distR="114300">
            <wp:extent cx="5273675" cy="5511800"/>
            <wp:effectExtent l="0" t="0" r="14605" b="508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7"/>
                    <a:stretch>
                      <a:fillRect/>
                    </a:stretch>
                  </pic:blipFill>
                  <pic:spPr>
                    <a:xfrm>
                      <a:off x="0" y="0"/>
                      <a:ext cx="5273675" cy="551180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drawing>
          <wp:inline distT="0" distB="0" distL="114300" distR="114300">
            <wp:extent cx="5266055" cy="2991485"/>
            <wp:effectExtent l="0" t="0" r="6985" b="1079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8"/>
                    <a:stretch>
                      <a:fillRect/>
                    </a:stretch>
                  </pic:blipFill>
                  <pic:spPr>
                    <a:xfrm>
                      <a:off x="0" y="0"/>
                      <a:ext cx="5266055" cy="299148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lang w:val="en-US" w:eastAsia="zh-CN"/>
        </w:rPr>
        <w:sectPr>
          <w:pgSz w:w="11906" w:h="16838"/>
          <w:pgMar w:top="1440" w:right="1800" w:bottom="1440" w:left="1800" w:header="851" w:footer="992" w:gutter="0"/>
          <w:cols w:space="425" w:num="1"/>
          <w:docGrid w:type="lines" w:linePitch="312" w:charSpace="0"/>
        </w:sectPr>
      </w:pPr>
      <w:r>
        <w:drawing>
          <wp:inline distT="0" distB="0" distL="114300" distR="114300">
            <wp:extent cx="5273675" cy="12861925"/>
            <wp:effectExtent l="0" t="0" r="14605" b="63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9"/>
                    <a:stretch>
                      <a:fillRect/>
                    </a:stretch>
                  </pic:blipFill>
                  <pic:spPr>
                    <a:xfrm>
                      <a:off x="0" y="0"/>
                      <a:ext cx="5273675" cy="1286192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r>
        <w:drawing>
          <wp:inline distT="0" distB="0" distL="114300" distR="114300">
            <wp:extent cx="5267960" cy="1365885"/>
            <wp:effectExtent l="0" t="0" r="5080" b="571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0"/>
                    <a:stretch>
                      <a:fillRect/>
                    </a:stretch>
                  </pic:blipFill>
                  <pic:spPr>
                    <a:xfrm>
                      <a:off x="0" y="0"/>
                      <a:ext cx="5267960" cy="136588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r>
        <w:drawing>
          <wp:inline distT="0" distB="0" distL="114300" distR="114300">
            <wp:extent cx="5269230" cy="1583055"/>
            <wp:effectExtent l="0" t="0" r="3810" b="190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1"/>
                    <a:stretch>
                      <a:fillRect/>
                    </a:stretch>
                  </pic:blipFill>
                  <pic:spPr>
                    <a:xfrm>
                      <a:off x="0" y="0"/>
                      <a:ext cx="5269230" cy="158305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eastAsiaTheme="minorEastAsia"/>
          <w:lang w:val="en-US" w:eastAsia="zh-CN"/>
        </w:rPr>
      </w:pPr>
      <w:r>
        <w:rPr>
          <w:rFonts w:hint="eastAsia"/>
          <w:lang w:val="en-US" w:eastAsia="zh-CN"/>
        </w:rPr>
        <w:t>如本表为空，则我单位本年度无此类资金收支余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r>
        <w:drawing>
          <wp:inline distT="0" distB="0" distL="114300" distR="114300">
            <wp:extent cx="5262880" cy="2954020"/>
            <wp:effectExtent l="0" t="0" r="10160" b="254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2"/>
                    <a:stretch>
                      <a:fillRect/>
                    </a:stretch>
                  </pic:blipFill>
                  <pic:spPr>
                    <a:xfrm>
                      <a:off x="0" y="0"/>
                      <a:ext cx="5262880" cy="295402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21"/>
          <w:szCs w:val="21"/>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21"/>
          <w:szCs w:val="21"/>
          <w:shd w:val="clear" w:fill="FFFFFF"/>
          <w:lang w:val="en-US" w:eastAsia="zh-CN" w:bidi="ar"/>
        </w:rPr>
        <w:t>注：本表金额转换成万元时因四舍五入可能存在尾差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sectPr>
          <w:pgSz w:w="11906" w:h="16838"/>
          <w:pgMar w:top="1440" w:right="1800" w:bottom="1440" w:left="1800" w:header="851" w:footer="992" w:gutter="0"/>
          <w:cols w:space="425" w:num="1"/>
          <w:docGrid w:type="lines" w:linePitch="312" w:charSpace="0"/>
        </w:sectPr>
      </w:pPr>
      <w:r>
        <w:drawing>
          <wp:inline distT="0" distB="0" distL="114300" distR="114300">
            <wp:extent cx="5267325" cy="9145270"/>
            <wp:effectExtent l="0" t="0" r="5715" b="13970"/>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3"/>
                    <a:stretch>
                      <a:fillRect/>
                    </a:stretch>
                  </pic:blipFill>
                  <pic:spPr>
                    <a:xfrm>
                      <a:off x="0" y="0"/>
                      <a:ext cx="5267325" cy="914527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sectPr>
          <w:pgSz w:w="11906" w:h="16838"/>
          <w:pgMar w:top="1440" w:right="1800" w:bottom="1440" w:left="1800" w:header="851" w:footer="992" w:gutter="0"/>
          <w:cols w:space="425" w:num="1"/>
          <w:docGrid w:type="lines" w:linePitch="312" w:charSpace="0"/>
        </w:sectPr>
      </w:pPr>
      <w:r>
        <w:drawing>
          <wp:inline distT="0" distB="0" distL="114300" distR="114300">
            <wp:extent cx="5266690" cy="22087840"/>
            <wp:effectExtent l="0" t="0" r="635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66690" cy="2208784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双兴水利管理中心</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按照综合预算的原则，202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年盘锦市</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双兴水利管理中心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所有收入和支出均纳入部门预算管理。其中：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ascii="楷体" w:hAnsi="楷体" w:eastAsia="楷体" w:cs="楷体"/>
          <w:i w:val="0"/>
          <w:iCs w:val="0"/>
          <w:caps w:val="0"/>
          <w:color w:val="333333"/>
          <w:spacing w:val="0"/>
          <w:kern w:val="0"/>
          <w:sz w:val="32"/>
          <w:szCs w:val="32"/>
          <w:shd w:val="clear" w:fill="FFFFFF"/>
          <w:lang w:val="en-US" w:eastAsia="zh-CN" w:bidi="ar"/>
        </w:rPr>
        <w:t>（一）</w:t>
      </w:r>
      <w:r>
        <w:rPr>
          <w:rFonts w:hint="eastAsia" w:ascii="楷体" w:hAnsi="楷体" w:eastAsia="楷体" w:cs="楷体"/>
          <w:i w:val="0"/>
          <w:iCs w:val="0"/>
          <w:caps w:val="0"/>
          <w:color w:val="333333"/>
          <w:spacing w:val="0"/>
          <w:kern w:val="0"/>
          <w:sz w:val="32"/>
          <w:szCs w:val="32"/>
          <w:shd w:val="clear" w:fill="FFFFFF"/>
          <w:lang w:val="en-US" w:eastAsia="zh-CN" w:bidi="ar"/>
        </w:rPr>
        <w:t>收入预算593.71万元，包括：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1.一般公共预算收入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593.71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（二）支出预算593.71万元，包括：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1.基本支出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467.71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2.项目支出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微软雅黑" w:hAnsi="微软雅黑" w:eastAsia="微软雅黑" w:cs="微软雅黑"/>
          <w:i w:val="0"/>
          <w:iCs w:val="0"/>
          <w:caps w:val="0"/>
          <w:color w:val="333333"/>
          <w:spacing w:val="0"/>
          <w:sz w:val="18"/>
          <w:szCs w:val="18"/>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年预算同上年比较，收入增加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77.4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万元，上升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增加   77.4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万元，增加</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14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%。增减变化的主要原因是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业务范围增加了南水北调抽水泵站的维修养护。划转8名全额工作人员。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default" w:ascii="微软雅黑" w:hAnsi="微软雅黑" w:eastAsia="微软雅黑" w:cs="微软雅黑"/>
          <w:i w:val="0"/>
          <w:iCs w:val="0"/>
          <w:caps w:val="0"/>
          <w:color w:val="333333"/>
          <w:spacing w:val="0"/>
          <w:sz w:val="18"/>
          <w:szCs w:val="18"/>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年度“三公”经费预算支出安排</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1.因公出国（境）费0万元，与上年持平。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2.公务接待费0万元，与上年持平。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3.公务用车购置及运行费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（其中：公务用车购置费0万元，与上年持平，公务用车运行费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盘锦市双兴水利管理中心是事业单位无机关运行经费预算。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四、政府采购安排情况说明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年无政府采购和政府购买服务预算安排。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五、国有资产占用情况说明</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年12月31日，</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1.房屋情况：房屋面积</w:t>
      </w:r>
      <w:r>
        <w:rPr>
          <w:rFonts w:hint="eastAsia" w:ascii="仿宋_GB2312" w:hAnsi="黑体" w:eastAsia="仿宋_GB2312"/>
          <w:sz w:val="32"/>
          <w:szCs w:val="32"/>
          <w:lang w:val="en-US" w:eastAsia="zh-CN"/>
        </w:rPr>
        <w:t>2053.3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95.42</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585.7</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25.01</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1467.6</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70.41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2</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33.19</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业务交通用车</w:t>
      </w:r>
      <w:r>
        <w:rPr>
          <w:rFonts w:hint="eastAsia" w:ascii="仿宋_GB2312" w:hAnsi="黑体" w:eastAsia="仿宋_GB2312"/>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2</w:t>
      </w:r>
      <w:r>
        <w:rPr>
          <w:rFonts w:hint="eastAsia" w:ascii="仿宋_GB2312" w:hAnsi="黑体" w:eastAsia="仿宋_GB2312"/>
          <w:sz w:val="32"/>
          <w:szCs w:val="32"/>
        </w:rPr>
        <w:t>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六、项目预算绩效目标情况说明无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6"/>
          <w:szCs w:val="36"/>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仿宋" w:hAnsi="仿宋" w:eastAsia="仿宋" w:cs="仿宋"/>
          <w:i w:val="0"/>
          <w:iCs w:val="0"/>
          <w:caps w:val="0"/>
          <w:color w:val="333333"/>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1.财政拨款收入：指市级财政当年拨付的资金。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9.社会保障和就业（类）行政事业单位离退休（款）归口管理的行政单位离退休（项）：反映实行归口管理的行政单位（包括实行公务员管理的事业单位）开支的离退休经费。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10.社会保障和就业（类）行政事业单位离退休（款）事业单位离退休（项）：反映实行归口管理的事业单位开支的离退休经费。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12.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13.住房保障（类）住房改革（款）住房公积金（项）：反映行政事业单位按人力资源和社会保障部、财政部规定的基本工资和津贴补贴以及规定比例为职工缴纳的住房公积金。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YzI4ODQzNTdjZmI5YjNkNTAwMjgwNWJhM2M5OWMifQ=="/>
  </w:docVars>
  <w:rsids>
    <w:rsidRoot w:val="00172A27"/>
    <w:rsid w:val="0904503B"/>
    <w:rsid w:val="116D4B02"/>
    <w:rsid w:val="142B73BF"/>
    <w:rsid w:val="197C5EDB"/>
    <w:rsid w:val="32835F55"/>
    <w:rsid w:val="4C926CC4"/>
    <w:rsid w:val="4E855A7A"/>
    <w:rsid w:val="57F7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2023-09-11T08:33:00Z</dcterms:created>
  <dc:creator>Administrator</dc:creator>
  <cp:lastModifiedBy>企业用户_259779737</cp:lastModifiedBy>
  <dcterms:modified xsi:type="dcterms:W3CDTF">2024-01-19T01:47:09Z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807020BD7B2E4C429814C8842806E678_13</vt:lpwstr>
  </property>
</Properties>
</file>