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件</w:t>
      </w:r>
      <w:bookmarkStart w:id="0" w:name="_GoBack"/>
      <w:bookmarkEnd w:id="0"/>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年盘锦市科技计划指导性计划</w:t>
      </w:r>
      <w:r>
        <w:rPr>
          <w:rFonts w:hint="eastAsia" w:ascii="方正小标宋简体" w:hAnsi="方正小标宋简体" w:eastAsia="方正小标宋简体" w:cs="方正小标宋简体"/>
          <w:b w:val="0"/>
          <w:bCs w:val="0"/>
          <w:sz w:val="44"/>
          <w:szCs w:val="44"/>
          <w:lang w:eastAsia="zh-CN"/>
        </w:rPr>
        <w:t>拟</w:t>
      </w:r>
      <w:r>
        <w:rPr>
          <w:rFonts w:hint="eastAsia" w:ascii="方正小标宋简体" w:hAnsi="方正小标宋简体" w:eastAsia="方正小标宋简体" w:cs="方正小标宋简体"/>
          <w:b w:val="0"/>
          <w:bCs w:val="0"/>
          <w:sz w:val="44"/>
          <w:szCs w:val="44"/>
        </w:rPr>
        <w:t>立项项目清单</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bCs/>
          <w:sz w:val="44"/>
          <w:szCs w:val="44"/>
          <w:lang w:val="en-US" w:eastAsia="zh-CN"/>
        </w:rPr>
        <w:t xml:space="preserve">        </w:t>
      </w:r>
    </w:p>
    <w:tbl>
      <w:tblPr>
        <w:tblStyle w:val="6"/>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388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ascii="宋体" w:hAnsi="宋体"/>
                <w:b/>
              </w:rPr>
            </w:pPr>
            <w:r>
              <w:rPr>
                <w:rFonts w:hint="eastAsia" w:ascii="宋体" w:hAnsi="宋体"/>
                <w:b/>
              </w:rPr>
              <w:t>序号</w:t>
            </w:r>
          </w:p>
        </w:tc>
        <w:tc>
          <w:tcPr>
            <w:tcW w:w="3888" w:type="dxa"/>
            <w:vAlign w:val="center"/>
          </w:tcPr>
          <w:p>
            <w:pPr>
              <w:adjustRightInd w:val="0"/>
              <w:snapToGrid w:val="0"/>
              <w:jc w:val="center"/>
              <w:rPr>
                <w:rFonts w:ascii="宋体" w:hAnsi="宋体"/>
                <w:b/>
              </w:rPr>
            </w:pPr>
            <w:r>
              <w:rPr>
                <w:rFonts w:hint="eastAsia" w:ascii="宋体" w:hAnsi="宋体"/>
                <w:b/>
                <w:lang w:eastAsia="zh-CN"/>
              </w:rPr>
              <w:t>项</w:t>
            </w:r>
            <w:r>
              <w:rPr>
                <w:rFonts w:hint="eastAsia" w:ascii="宋体" w:hAnsi="宋体"/>
                <w:b/>
                <w:lang w:val="en-US" w:eastAsia="zh-CN"/>
              </w:rPr>
              <w:t xml:space="preserve"> </w:t>
            </w:r>
            <w:r>
              <w:rPr>
                <w:rFonts w:hint="eastAsia" w:ascii="宋体" w:hAnsi="宋体"/>
                <w:b/>
                <w:lang w:eastAsia="zh-CN"/>
              </w:rPr>
              <w:t>目</w:t>
            </w:r>
            <w:r>
              <w:rPr>
                <w:rFonts w:hint="eastAsia" w:ascii="宋体" w:hAnsi="宋体"/>
                <w:b/>
              </w:rPr>
              <w:t xml:space="preserve"> 名 称</w:t>
            </w:r>
          </w:p>
        </w:tc>
        <w:tc>
          <w:tcPr>
            <w:tcW w:w="2618" w:type="dxa"/>
            <w:vAlign w:val="center"/>
          </w:tcPr>
          <w:p>
            <w:pPr>
              <w:adjustRightInd w:val="0"/>
              <w:snapToGrid w:val="0"/>
              <w:jc w:val="center"/>
              <w:rPr>
                <w:rFonts w:ascii="宋体" w:hAnsi="宋体"/>
                <w:b/>
              </w:rPr>
            </w:pPr>
            <w:r>
              <w:rPr>
                <w:rFonts w:hint="eastAsia" w:ascii="宋体" w:hAnsi="宋体"/>
                <w:b/>
                <w:lang w:eastAsia="zh-CN"/>
              </w:rPr>
              <w:t>承</w:t>
            </w:r>
            <w:r>
              <w:rPr>
                <w:rFonts w:hint="eastAsia" w:ascii="宋体" w:hAnsi="宋体"/>
                <w:b/>
                <w:lang w:val="en-US" w:eastAsia="zh-CN"/>
              </w:rPr>
              <w:t xml:space="preserve"> </w:t>
            </w:r>
            <w:r>
              <w:rPr>
                <w:rFonts w:hint="eastAsia" w:ascii="宋体" w:hAnsi="宋体"/>
                <w:b/>
                <w:lang w:eastAsia="zh-CN"/>
              </w:rPr>
              <w:t>担</w:t>
            </w:r>
            <w:r>
              <w:rPr>
                <w:rFonts w:hint="eastAsia" w:ascii="宋体" w:hAnsi="宋体"/>
                <w:b/>
              </w:rPr>
              <w:t xml:space="preserve">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低空经济气象应用与气象产业研究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盘锦气象局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甲状腺术中神经监测技术对喉返神经和喉上神经保护作用的研究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盘锦市人民医院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血清CCL5/CCR5在乳腺癌发病及预后中的临床意义的研究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盘锦市人民医院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物理刺激双向可逆动态调控CuNCs形貌转变研究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新型低共熔溶剂的设计与合成用于油中吲哚的深度脱除及资源回收利用</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strike/>
                <w:dstrike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6</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SSZ-13沸石纳米晶混合基质膜的制备及其缺陷调控</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trike/>
                <w:dstrike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大连理工大学盘锦产业技术研究院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盘锦市市级全民健康体检预约信息系统应用及健康评价研究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i w:val="0"/>
                <w:color w:val="000000"/>
                <w:kern w:val="0"/>
                <w:sz w:val="24"/>
                <w:szCs w:val="24"/>
                <w:u w:val="none"/>
                <w:lang w:val="en-US" w:eastAsia="zh-CN" w:bidi="ar"/>
              </w:rPr>
              <w:t>盘锦市卫生健康委员会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8</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医养结合服务标准的研发及探索</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9</w:t>
            </w:r>
          </w:p>
        </w:tc>
        <w:tc>
          <w:tcPr>
            <w:tcW w:w="3888" w:type="dxa"/>
            <w:vAlign w:val="center"/>
          </w:tcPr>
          <w:p>
            <w:pPr>
              <w:widowControl/>
              <w:spacing w:beforeLines="0" w:afterLines="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生物标志物多模态分析在间质性肺疾病诊疗过程中应用的探索</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10</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细针穿刺细胞学联合BRAF 基因检测在甲状腺结节诊断中的应用研究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strike w:val="0"/>
                <w:dstrike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11</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老年综合评估及多学科诊疗在老年共病管理中的应用研究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strike w:val="0"/>
                <w:dstrike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外周血T细胞表面PD-1&amp;CD28 表达评估乳腺癌患者免疫治疗效果</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13</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重复经颅磁刺激联合体感情景互动对暂时性发育迟缓儿童认知及运动功能的影响</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14</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trike/>
                <w:dstrike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痛风和高尿酸血症患者通过降尿酸治疗实现血清尿酸目标的决定因素分析</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trike/>
                <w:dstrike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15</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trike/>
                <w:dstrike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神经功能量化评分及多模态监测与急性缺血性脑卒中预后的相关性研究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strike/>
                <w:dstrike w:val="0"/>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盘锦辽油宝石花医院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16</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基于生信分析筛选胆囊恶性肿瘤关键miRNA及其相关功能的研究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17</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基于脉冲前抑制探讨持续性姿势-感知性头晕(PPPD)的感觉门控损害机制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18</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张力带固定联合人工股骨头置换术治疗高龄股骨粗隆间骨折的临床研究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strike w:val="0"/>
                <w:dstrike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19</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扬刺留针拔罐法结合PNF(本体感觉神经肌肉促进技术)对脑卒中后肩痛的运动功能、疼痛水平疗效研究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strike w:val="0"/>
                <w:dstrike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脂蛋白 (a)对冠状动脉粥样硬化的影响分析</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21</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床旁电子支气管镜引导下经皮扩张气管切开术的应用研究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22</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不同方式重复经颅磁刺激对卒中后抑郁患者疗效研究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23</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人体下腰椎侧隐窝的影像学及解剖学研究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24</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FAM83G 调节三阴性乳腺癌干细胞特性的分子机制及其靶向小分子化合物筛选研究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25</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miR-26a-3p通过靶向调控Smad2对血管内膜增生发生发展的机制研究</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盘锦市中心医院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26</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highlight w:val="none"/>
                <w:lang w:val="en-US" w:eastAsia="zh-CN"/>
              </w:rPr>
              <w:t>角膜交联治疗仪的设计与研发</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盘锦润视眼科医院有限公司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27</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highlight w:val="none"/>
                <w:lang w:val="en-US" w:eastAsia="zh-CN"/>
              </w:rPr>
              <w:t>VSP技术在油田勘探开发中的应用</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盘锦辽河吉奥地质技术有限公司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28</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highlight w:val="none"/>
                <w:lang w:val="en-US" w:eastAsia="zh-CN"/>
              </w:rPr>
              <w:t>建筑工程绿色施工防护平台</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鹤城建设集团股份公司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29</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highlight w:val="none"/>
                <w:lang w:val="en-US" w:eastAsia="zh-CN"/>
              </w:rPr>
              <w:t>天然气工程用管线铺设用支护设备</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鹤城建设集团股份公司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93" w:type="dxa"/>
            <w:vAlign w:val="center"/>
          </w:tcPr>
          <w:p>
            <w:pPr>
              <w:adjustRightInd w:val="0"/>
              <w:snapToGrid w:val="0"/>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30</w:t>
            </w:r>
          </w:p>
        </w:tc>
        <w:tc>
          <w:tcPr>
            <w:tcW w:w="388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highlight w:val="none"/>
                <w:lang w:val="en-US" w:eastAsia="zh-CN"/>
              </w:rPr>
              <w:t>青光眼微脉冲激光治疗仪的设计与研发</w:t>
            </w:r>
          </w:p>
        </w:tc>
        <w:tc>
          <w:tcPr>
            <w:tcW w:w="261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盘锦市大洼区润视卓越眼科医院有限公司</w:t>
            </w:r>
          </w:p>
        </w:tc>
      </w:tr>
    </w:tbl>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auto"/>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3E72B61"/>
    <w:rsid w:val="0671705A"/>
    <w:rsid w:val="11007EB6"/>
    <w:rsid w:val="155230F6"/>
    <w:rsid w:val="15FF461A"/>
    <w:rsid w:val="1AAA22B0"/>
    <w:rsid w:val="1B6A5BC3"/>
    <w:rsid w:val="1CF75263"/>
    <w:rsid w:val="1FEF1381"/>
    <w:rsid w:val="217A2579"/>
    <w:rsid w:val="24564FBC"/>
    <w:rsid w:val="24C35462"/>
    <w:rsid w:val="250C1FD0"/>
    <w:rsid w:val="27EFE69F"/>
    <w:rsid w:val="29BF9311"/>
    <w:rsid w:val="2E572537"/>
    <w:rsid w:val="2FF5CBE5"/>
    <w:rsid w:val="31EC5663"/>
    <w:rsid w:val="32AF17E8"/>
    <w:rsid w:val="3437E376"/>
    <w:rsid w:val="37E69159"/>
    <w:rsid w:val="37FFE8BD"/>
    <w:rsid w:val="38FF5E7A"/>
    <w:rsid w:val="3A541FF7"/>
    <w:rsid w:val="3B7FEECE"/>
    <w:rsid w:val="3DEFCC2B"/>
    <w:rsid w:val="3E5C147A"/>
    <w:rsid w:val="3F005B42"/>
    <w:rsid w:val="3F76E0A7"/>
    <w:rsid w:val="3F7D16B8"/>
    <w:rsid w:val="3FAC0968"/>
    <w:rsid w:val="3FE55326"/>
    <w:rsid w:val="3FFF52BF"/>
    <w:rsid w:val="404D11AE"/>
    <w:rsid w:val="42EC3A85"/>
    <w:rsid w:val="456FC081"/>
    <w:rsid w:val="47526C95"/>
    <w:rsid w:val="4FFB41A6"/>
    <w:rsid w:val="5119144D"/>
    <w:rsid w:val="51F24178"/>
    <w:rsid w:val="51FE5414"/>
    <w:rsid w:val="537D5767"/>
    <w:rsid w:val="5AD3C531"/>
    <w:rsid w:val="5AEBCF5D"/>
    <w:rsid w:val="5C854BC5"/>
    <w:rsid w:val="5D7946EE"/>
    <w:rsid w:val="5FDE2E44"/>
    <w:rsid w:val="5FFC3D03"/>
    <w:rsid w:val="615A601A"/>
    <w:rsid w:val="62FC4007"/>
    <w:rsid w:val="653B53C7"/>
    <w:rsid w:val="67FDE45B"/>
    <w:rsid w:val="69067FFE"/>
    <w:rsid w:val="6BCF57D5"/>
    <w:rsid w:val="6BEFA93C"/>
    <w:rsid w:val="6D7F6F1C"/>
    <w:rsid w:val="6EAEE010"/>
    <w:rsid w:val="6EB615D0"/>
    <w:rsid w:val="6FFE762E"/>
    <w:rsid w:val="6FFFEE07"/>
    <w:rsid w:val="714858B4"/>
    <w:rsid w:val="715FCE1C"/>
    <w:rsid w:val="72FD1E44"/>
    <w:rsid w:val="73F75319"/>
    <w:rsid w:val="73FFE5FB"/>
    <w:rsid w:val="743957DE"/>
    <w:rsid w:val="74620891"/>
    <w:rsid w:val="747A9891"/>
    <w:rsid w:val="749F63CC"/>
    <w:rsid w:val="75CF9BB0"/>
    <w:rsid w:val="77D738F4"/>
    <w:rsid w:val="77FF1050"/>
    <w:rsid w:val="78E8662D"/>
    <w:rsid w:val="79EF0376"/>
    <w:rsid w:val="7A58F819"/>
    <w:rsid w:val="7A6B0822"/>
    <w:rsid w:val="7ACD414F"/>
    <w:rsid w:val="7B7C3152"/>
    <w:rsid w:val="7B8263B9"/>
    <w:rsid w:val="7BFA05A1"/>
    <w:rsid w:val="7CBEDE24"/>
    <w:rsid w:val="7CFDF11E"/>
    <w:rsid w:val="7D27A842"/>
    <w:rsid w:val="7DB5C69D"/>
    <w:rsid w:val="7DD640E2"/>
    <w:rsid w:val="7DEF75F4"/>
    <w:rsid w:val="7E1EA2E3"/>
    <w:rsid w:val="7EB1D854"/>
    <w:rsid w:val="7EBF6964"/>
    <w:rsid w:val="7EF7A914"/>
    <w:rsid w:val="7EFF4B93"/>
    <w:rsid w:val="7EFFBAC9"/>
    <w:rsid w:val="7F1F8A73"/>
    <w:rsid w:val="7F2E83BD"/>
    <w:rsid w:val="7F6E5195"/>
    <w:rsid w:val="7F7CC10D"/>
    <w:rsid w:val="7F8A4009"/>
    <w:rsid w:val="7FDDAD3A"/>
    <w:rsid w:val="7FED104F"/>
    <w:rsid w:val="7FF727CC"/>
    <w:rsid w:val="7FF9FFC0"/>
    <w:rsid w:val="7FFB7647"/>
    <w:rsid w:val="7FFBB098"/>
    <w:rsid w:val="7FFBEF01"/>
    <w:rsid w:val="867D18E8"/>
    <w:rsid w:val="8CCF2132"/>
    <w:rsid w:val="907F969D"/>
    <w:rsid w:val="975F0F56"/>
    <w:rsid w:val="9EFFE67E"/>
    <w:rsid w:val="A77C8E48"/>
    <w:rsid w:val="AEBEF9C5"/>
    <w:rsid w:val="AFFF5CAC"/>
    <w:rsid w:val="B37BE9D3"/>
    <w:rsid w:val="B4BF5315"/>
    <w:rsid w:val="B74D727F"/>
    <w:rsid w:val="B7E01EBB"/>
    <w:rsid w:val="B8F92EDB"/>
    <w:rsid w:val="BA8D6FD3"/>
    <w:rsid w:val="BABF2DDC"/>
    <w:rsid w:val="BBFADBDE"/>
    <w:rsid w:val="BC7110D6"/>
    <w:rsid w:val="BD56015E"/>
    <w:rsid w:val="BD765FDB"/>
    <w:rsid w:val="BDFF0B75"/>
    <w:rsid w:val="BF606127"/>
    <w:rsid w:val="BF6E559A"/>
    <w:rsid w:val="BFDF486B"/>
    <w:rsid w:val="CBEFC51E"/>
    <w:rsid w:val="CFABC9EE"/>
    <w:rsid w:val="CFEF98F9"/>
    <w:rsid w:val="D37B8FB9"/>
    <w:rsid w:val="D4332A08"/>
    <w:rsid w:val="D7BFD1BB"/>
    <w:rsid w:val="D7DCFE0F"/>
    <w:rsid w:val="DA7F85A3"/>
    <w:rsid w:val="DD6FDF1C"/>
    <w:rsid w:val="DF9F5D59"/>
    <w:rsid w:val="DFBFB286"/>
    <w:rsid w:val="DFFC987A"/>
    <w:rsid w:val="DFFCB122"/>
    <w:rsid w:val="E1F61EB0"/>
    <w:rsid w:val="E1FF60C4"/>
    <w:rsid w:val="E4BC5264"/>
    <w:rsid w:val="E5BC8F0C"/>
    <w:rsid w:val="E5BFF8ED"/>
    <w:rsid w:val="E6773123"/>
    <w:rsid w:val="E93813CB"/>
    <w:rsid w:val="E93F8D98"/>
    <w:rsid w:val="E9E5FB11"/>
    <w:rsid w:val="E9EFAEB6"/>
    <w:rsid w:val="EE748436"/>
    <w:rsid w:val="EFBE16E1"/>
    <w:rsid w:val="EFBE2DE9"/>
    <w:rsid w:val="EFC7C914"/>
    <w:rsid w:val="EFE4ABD8"/>
    <w:rsid w:val="EFFF926E"/>
    <w:rsid w:val="F2EEAC6B"/>
    <w:rsid w:val="F39F3506"/>
    <w:rsid w:val="F3B30F0B"/>
    <w:rsid w:val="F53FC12A"/>
    <w:rsid w:val="F563D4D6"/>
    <w:rsid w:val="F77F7DAE"/>
    <w:rsid w:val="F9F94F00"/>
    <w:rsid w:val="F9FF9DC5"/>
    <w:rsid w:val="FA76302F"/>
    <w:rsid w:val="FAF57A7C"/>
    <w:rsid w:val="FB2FD41B"/>
    <w:rsid w:val="FBF1F5D7"/>
    <w:rsid w:val="FBFB66B7"/>
    <w:rsid w:val="FBFD4F7E"/>
    <w:rsid w:val="FBFD7026"/>
    <w:rsid w:val="FCB3BAC7"/>
    <w:rsid w:val="FD5AA24A"/>
    <w:rsid w:val="FDB9BF71"/>
    <w:rsid w:val="FDDDEB24"/>
    <w:rsid w:val="FDFBB74D"/>
    <w:rsid w:val="FEFA3F8D"/>
    <w:rsid w:val="FEFD7D20"/>
    <w:rsid w:val="FF5FE488"/>
    <w:rsid w:val="FF6B72B9"/>
    <w:rsid w:val="FF7884F1"/>
    <w:rsid w:val="FF9EBE3E"/>
    <w:rsid w:val="FFDF2289"/>
    <w:rsid w:val="FFED4B84"/>
    <w:rsid w:val="FFEF22F7"/>
    <w:rsid w:val="FFF75FD1"/>
    <w:rsid w:val="FFFB43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9">
    <w:name w:val="页眉 Char Char"/>
    <w:basedOn w:val="7"/>
    <w:link w:val="5"/>
    <w:qFormat/>
    <w:uiPriority w:val="0"/>
    <w:rPr>
      <w:kern w:val="2"/>
      <w:sz w:val="18"/>
      <w:szCs w:val="18"/>
    </w:rPr>
  </w:style>
  <w:style w:type="character" w:customStyle="1" w:styleId="10">
    <w:name w:val="页脚 Char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jhc</Company>
  <Pages>1</Pages>
  <Words>392</Words>
  <Characters>395</Characters>
  <Lines>1</Lines>
  <Paragraphs>1</Paragraphs>
  <TotalTime>5</TotalTime>
  <ScaleCrop>false</ScaleCrop>
  <LinksUpToDate>false</LinksUpToDate>
  <CharactersWithSpaces>432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2015-02-21T07:18:00Z</dcterms:created>
  <dc:creator>YLMF</dc:creator>
  <cp:lastModifiedBy>pjxc</cp:lastModifiedBy>
  <cp:lastPrinted>2024-11-07T16:32:00Z</cp:lastPrinted>
  <dcterms:modified xsi:type="dcterms:W3CDTF">2024-11-07T15:45:19Z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A9147609C33F445696736A7A62073BDF</vt:lpwstr>
  </property>
</Properties>
</file>