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8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2022年度兴隆台区项目管家</w:t>
      </w:r>
    </w:p>
    <w:p>
      <w:pPr>
        <w:keepNext w:val="0"/>
        <w:keepLines w:val="0"/>
        <w:pageBreakBefore w:val="0"/>
        <w:widowControl w:val="0"/>
        <w:tabs>
          <w:tab w:val="left" w:pos="78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工作进展情况</w:t>
      </w:r>
    </w:p>
    <w:p>
      <w:pPr>
        <w:keepNext w:val="0"/>
        <w:keepLines w:val="0"/>
        <w:pageBreakBefore w:val="0"/>
        <w:widowControl w:val="0"/>
        <w:tabs>
          <w:tab w:val="left" w:pos="780"/>
        </w:tabs>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b/>
          <w:sz w:val="44"/>
          <w:szCs w:val="44"/>
          <w:lang w:val="en-US" w:eastAsia="zh-CN"/>
        </w:rPr>
      </w:pPr>
    </w:p>
    <w:p>
      <w:pPr>
        <w:keepNext w:val="0"/>
        <w:keepLines w:val="0"/>
        <w:pageBreakBefore w:val="0"/>
        <w:widowControl w:val="0"/>
        <w:tabs>
          <w:tab w:val="left" w:pos="78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根据省营商局《2022年项目管家服务企业工作方案》的通知，兴隆台区认真做好落实工作，</w:t>
      </w:r>
      <w:r>
        <w:rPr>
          <w:rFonts w:hint="eastAsia" w:ascii="仿宋_GB2312" w:hAnsi="仿宋_GB2312" w:eastAsia="仿宋_GB2312" w:cs="仿宋_GB2312"/>
          <w:sz w:val="32"/>
          <w:szCs w:val="32"/>
          <w:lang w:val="en-US" w:eastAsia="zh-CN"/>
        </w:rPr>
        <w:t>具体如下：</w:t>
      </w:r>
    </w:p>
    <w:p>
      <w:pPr>
        <w:keepNext w:val="0"/>
        <w:keepLines w:val="0"/>
        <w:pageBreakBefore w:val="0"/>
        <w:widowControl w:val="0"/>
        <w:tabs>
          <w:tab w:val="left" w:pos="78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bookmarkStart w:id="0" w:name="_GoBack"/>
      <w:bookmarkEnd w:id="0"/>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，为本区域内市场主体中小微企业配备“公共管家”588名，完成平台录入中小微企业32359户。积极服务企业，发挥项目管家精准服务企业作用。力求实现“全覆盖、以点带面”的服务体系。</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项目管家制度实施5000万元以上项目22项，其中新开工7项，复工15项。竣工项目 5 项。并配备了项目管家5名，全年项目管家采取现场调研、电话沟通、微信回访等多种方式为企业服务1</w:t>
      </w:r>
      <w:r>
        <w:rPr>
          <w:rFonts w:hint="eastAsia" w:ascii="仿宋_GB2312" w:hAnsi="仿宋_GB2312" w:eastAsia="仿宋_GB2312" w:cs="仿宋_GB2312"/>
          <w:sz w:val="32"/>
          <w:szCs w:val="32"/>
          <w:lang w:val="en-US" w:eastAsia="zh-CN"/>
        </w:rPr>
        <w:t>30余</w:t>
      </w:r>
      <w:r>
        <w:rPr>
          <w:rFonts w:hint="eastAsia" w:ascii="仿宋_GB2312" w:hAnsi="仿宋_GB2312" w:eastAsia="仿宋_GB2312" w:cs="仿宋_GB2312"/>
          <w:sz w:val="32"/>
          <w:szCs w:val="32"/>
        </w:rPr>
        <w:t>次。</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兴隆台区工业企业项目管家共28家企业，由区工信局4位领导班子成员担任管家。项目管家每月与企业沟通一次，掌握企业生产运行情况及存在的问题，2022年以来，共服务企业2</w:t>
      </w:r>
      <w:r>
        <w:rPr>
          <w:rFonts w:hint="eastAsia" w:ascii="仿宋_GB2312" w:hAnsi="仿宋_GB2312" w:eastAsia="仿宋_GB2312" w:cs="仿宋_GB2312"/>
          <w:sz w:val="32"/>
          <w:szCs w:val="32"/>
          <w:lang w:val="en-US" w:eastAsia="zh-CN"/>
        </w:rPr>
        <w:t>60余</w:t>
      </w:r>
      <w:r>
        <w:rPr>
          <w:rFonts w:hint="eastAsia" w:ascii="仿宋_GB2312" w:hAnsi="仿宋_GB2312" w:eastAsia="仿宋_GB2312" w:cs="仿宋_GB2312"/>
          <w:sz w:val="32"/>
          <w:szCs w:val="32"/>
        </w:rPr>
        <w:t>次，帮助企业解决问题72件。</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兴隆台区限额以上批零住餐企业实际情况，兴隆台区商务局目前共配备项目管家27人，按照“有求必应、无事不扰”的原则，各项目管家按时对所负责企业进行实地及电话调研。目前兴隆台区商务局限上商贸流通企业共84家通过进行现场走访、电话-回访，累积服务企业7</w:t>
      </w:r>
      <w:r>
        <w:rPr>
          <w:rFonts w:hint="eastAsia" w:ascii="仿宋_GB2312" w:hAnsi="仿宋_GB2312" w:eastAsia="仿宋_GB2312" w:cs="仿宋_GB2312"/>
          <w:sz w:val="32"/>
          <w:szCs w:val="32"/>
          <w:lang w:val="en-US" w:eastAsia="zh-CN"/>
        </w:rPr>
        <w:t>50余</w:t>
      </w:r>
      <w:r>
        <w:rPr>
          <w:rFonts w:hint="eastAsia" w:ascii="仿宋_GB2312" w:hAnsi="仿宋_GB2312" w:eastAsia="仿宋_GB2312" w:cs="仿宋_GB2312"/>
          <w:sz w:val="32"/>
          <w:szCs w:val="32"/>
        </w:rPr>
        <w:t>次，其中由姚红军局长，刘晓宝副局长带队对包括桔子广场、大厦、大商等在内的24家企业进行实地走访调研，由付强副局长带队对包括瀚新、新宇保利大酒店等在内的13家餐饮住宿企业进行实地走访调研。并联合市场局，应急局，消防等部门对兴隆大厦、大润发、桔子广场、新宇保利等在内大型商超的安全生产、疫情常态化防控工作进行联合督导检查，对其台账进行抽查，发现的问题要求其立即整改，并将相关问题做好统计与反馈。</w:t>
      </w:r>
    </w:p>
    <w:p>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兴隆台区营商环境建设局对我区项目管家工作开展情况进行抽查调研情况，通过电话回访和上门走访的形式先后抽查了60家余企业。企业对项目管家的了解和政策宣讲工作表示认可，也对未来下一步工作提出了具体的意见建议。我局将把企业反馈的问题第一时间转发到具体部门责任人，继续积极推进兴隆台区项目管家工作。</w:t>
      </w:r>
    </w:p>
    <w:p>
      <w:pPr>
        <w:keepNext w:val="0"/>
        <w:keepLines w:val="0"/>
        <w:pageBreakBefore w:val="0"/>
        <w:widowControl w:val="0"/>
        <w:tabs>
          <w:tab w:val="left" w:pos="780"/>
        </w:tabs>
        <w:kinsoku/>
        <w:wordWrap/>
        <w:overflowPunct/>
        <w:topLinePunct w:val="0"/>
        <w:autoSpaceDN/>
        <w:bidi w:val="0"/>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工作举措</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认真将服务企业</w:t>
      </w:r>
      <w:r>
        <w:rPr>
          <w:rFonts w:hint="eastAsia" w:ascii="仿宋_GB2312" w:hAnsi="仿宋_GB2312" w:eastAsia="仿宋_GB2312" w:cs="仿宋_GB2312"/>
          <w:sz w:val="32"/>
          <w:szCs w:val="32"/>
          <w:lang w:eastAsia="zh-CN"/>
        </w:rPr>
        <w:t>落到实处</w:t>
      </w:r>
      <w:r>
        <w:rPr>
          <w:rFonts w:hint="eastAsia" w:ascii="仿宋_GB2312" w:hAnsi="仿宋_GB2312" w:eastAsia="仿宋_GB2312" w:cs="仿宋_GB2312"/>
          <w:sz w:val="32"/>
          <w:szCs w:val="32"/>
        </w:rPr>
        <w:t>。根据市商务局、财政局《关于印发盘锦市申报2022年辽宁省全面开放资金（支持货物和服务贸易部分）实施细则的通知》（盘商联发〔2022〕12）文件要求，为我区符合申报条件的辽宁云智医疗科技有限公司申请贴息补助。</w:t>
      </w:r>
    </w:p>
    <w:p>
      <w:pPr>
        <w:pStyle w:val="3"/>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障工业企业重点生产物资运输。疫情爆发期，统筹兼顾疫情防控和企业复工复产，保障工业企业重点生产物资运输，为工业企业发放工业重点物资保供车辆通行证。工信局累计为辽河油田（含下属单位）、长城钻探（含下属单位）等118家单位发放通行证6224张，其中：蓝色通行证（盘锦牌照车辆使用）2621张，红色通行证（外地牌照车辆使用）3603张，有效保障了企业生产物资运输。</w:t>
      </w:r>
    </w:p>
    <w:p>
      <w:pPr>
        <w:pStyle w:val="3"/>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指导企业做好安全生产工作。实地指导盘锦鼎翔米业有限公司、盘锦辽河油田裕隆实业集团有限公司等多家企业做好安全生产工作，对企业用电安全、生产安全、消防设施等情况进行了现场指导和督促。</w:t>
      </w:r>
    </w:p>
    <w:p>
      <w:pPr>
        <w:pStyle w:val="3"/>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千人助千企”活动。年初，在做好项目管家工作的同时，我区出台了《兴隆台区落实“千人助千企”活动方案》（兴委办发﹝2022﹞3号），区本级268户企业纳入包保名单，由区副科级以上干部成立包保团队，对企业进行一对一帮扶，有效推动复工复产。截至目前，助企干部累计对接企业722次，其中：电话对接363次，现场走访359次。53家企业提出困难诉求涉及60项问题，其中，人才用工14项，融资困难6项，涉法涉诉3项，市场开拓9项，项目建设5项，政务服务23项。经助企干部的帮扶，已帮助企业解决问题39项，正在协调解决问题21项。主动帮扶对接企业，我区营商环境得到了企业的进一步认可。</w:t>
      </w:r>
    </w:p>
    <w:p>
      <w:pPr>
        <w:pStyle w:val="3"/>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帮助曙光地区灾害受损企业积极争取政策。共4家企业，预估损失3505万元。其中，盘锦鼎翔米业有限公司预估损失2136万元，盘锦辽河油田金宇集团有限公司预估损失620万元，辽宁高诚橡胶科技有限公司预估损失480万元，盘锦辽河油田泰成实业有限责任公司预估损失269万元。我区已将损失情况上报至市工信、区应急等相关部门，积极向上争取政策性补助，减轻企业损失。</w:t>
      </w:r>
    </w:p>
    <w:p>
      <w:pPr>
        <w:pStyle w:val="3"/>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存在的问题</w:t>
      </w:r>
    </w:p>
    <w:p>
      <w:pPr>
        <w:pStyle w:val="3"/>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1.受疫情影响，企业物流成本上涨，部分企业订单下降，同时受原材料价格上涨，部分企业被迫减产。</w:t>
      </w:r>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油田多种经营企业质量不高。近几年辽河油田原油稳产1000万吨左右，我区现有规模以上多种经营企业32家（含高新区），无超10亿产值企业，超亿元以上企业6家，多数企业依采油矿区而成立，分布在沈采、茨采、锦采、曙光、欢喜岭等地区，较为分散，未能形成集聚发展。同时，这些企业生产经营长期依赖油田市场，产品技术含量不高、缺乏创新、资金回流较慢等多种因素制约多种经营企业发展。</w:t>
      </w:r>
    </w:p>
    <w:p>
      <w:pPr>
        <w:pStyle w:val="3"/>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缺乏项目支撑。区本级缺少工业发展用地，除长城钻探外无500万元以上工业投资项目。</w:t>
      </w:r>
    </w:p>
    <w:p>
      <w:pPr>
        <w:pStyle w:val="3"/>
        <w:keepNext w:val="0"/>
        <w:keepLines w:val="0"/>
        <w:pageBreakBefore w:val="0"/>
        <w:widowControl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下一步工作安排</w:t>
      </w:r>
    </w:p>
    <w:p>
      <w:pPr>
        <w:keepNext w:val="0"/>
        <w:keepLines w:val="0"/>
        <w:pageBreakBefore w:val="0"/>
        <w:widowControl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1.开展专项对接，与辽河油田公司共同研究如何推动多种经营企业发展问题，共同出台有利于多种经营企业发展的相关政策，助推多种经营企业发展。</w:t>
      </w:r>
    </w:p>
    <w:p>
      <w:pPr>
        <w:keepNext w:val="0"/>
        <w:keepLines w:val="0"/>
        <w:pageBreakBefore w:val="0"/>
        <w:widowControl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2.加强与长城钻探和西部钻井公司沟通，推进域外石油工程项目服务公司在我区注册，加快形成石油工程技术服务企业集聚发展，形成新的增长点。</w:t>
      </w:r>
    </w:p>
    <w:p>
      <w:pPr>
        <w:keepNext w:val="0"/>
        <w:keepLines w:val="0"/>
        <w:pageBreakBefore w:val="0"/>
        <w:widowControl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3.利用闲置土地统筹城市发展与工业发展规划，围绕油气技术服务、高端装备制造、高新技术产业招商引资，发展工业经济。</w:t>
      </w:r>
    </w:p>
    <w:p>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spacing w:line="560" w:lineRule="exact"/>
        <w:ind w:firstLine="4160" w:firstLineChars="1300"/>
        <w:textAlignment w:val="auto"/>
        <w:rPr>
          <w:rFonts w:hint="eastAsia" w:ascii="仿宋_GB2312" w:hAnsi="仿宋_GB2312" w:eastAsia="仿宋_GB2312" w:cs="仿宋_GB2312"/>
          <w:sz w:val="32"/>
          <w:szCs w:val="32"/>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CC6FDF-3631-4A17-A409-75A82A57C2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1C216F4E-F995-4C36-AEF7-1402250B2CF4}"/>
  </w:font>
  <w:font w:name="仿宋_GB2312">
    <w:panose1 w:val="02010609030101010101"/>
    <w:charset w:val="86"/>
    <w:family w:val="modern"/>
    <w:pitch w:val="default"/>
    <w:sig w:usb0="00000001" w:usb1="080E0000" w:usb2="00000000" w:usb3="00000000" w:csb0="00040000" w:csb1="00000000"/>
    <w:embedRegular r:id="rId3" w:fontKey="{B7CB4990-D61F-45AC-AAF4-586B8F875D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YWNiNTFmNzVmOWZhYzM3NGE3NTNiOTU4NmRkZGIifQ=="/>
  </w:docVars>
  <w:rsids>
    <w:rsidRoot w:val="321E63B6"/>
    <w:rsid w:val="0001447A"/>
    <w:rsid w:val="000348C4"/>
    <w:rsid w:val="00047CCC"/>
    <w:rsid w:val="000B46D2"/>
    <w:rsid w:val="001B709C"/>
    <w:rsid w:val="00246D53"/>
    <w:rsid w:val="00280CD6"/>
    <w:rsid w:val="00470F7B"/>
    <w:rsid w:val="006018DA"/>
    <w:rsid w:val="009077BF"/>
    <w:rsid w:val="009551A7"/>
    <w:rsid w:val="0097144E"/>
    <w:rsid w:val="009C5E91"/>
    <w:rsid w:val="00AE4B4D"/>
    <w:rsid w:val="00B27062"/>
    <w:rsid w:val="00B60B84"/>
    <w:rsid w:val="00BA381E"/>
    <w:rsid w:val="00C04850"/>
    <w:rsid w:val="00C16290"/>
    <w:rsid w:val="00C97B9E"/>
    <w:rsid w:val="00EA7C59"/>
    <w:rsid w:val="00FA76CE"/>
    <w:rsid w:val="00FB561F"/>
    <w:rsid w:val="01331A42"/>
    <w:rsid w:val="01CB3786"/>
    <w:rsid w:val="051931EE"/>
    <w:rsid w:val="05C00A91"/>
    <w:rsid w:val="05EB4399"/>
    <w:rsid w:val="08644E2E"/>
    <w:rsid w:val="0BD63545"/>
    <w:rsid w:val="1167294D"/>
    <w:rsid w:val="12403708"/>
    <w:rsid w:val="13926175"/>
    <w:rsid w:val="13D62F93"/>
    <w:rsid w:val="172F3B39"/>
    <w:rsid w:val="1D725253"/>
    <w:rsid w:val="1D8C7FE7"/>
    <w:rsid w:val="1D9F5685"/>
    <w:rsid w:val="1F2E6945"/>
    <w:rsid w:val="2006274D"/>
    <w:rsid w:val="26236C2F"/>
    <w:rsid w:val="3073537B"/>
    <w:rsid w:val="321E63B6"/>
    <w:rsid w:val="38FB1B92"/>
    <w:rsid w:val="3A6C1E86"/>
    <w:rsid w:val="3B6139BC"/>
    <w:rsid w:val="3C4D4494"/>
    <w:rsid w:val="458C2B1C"/>
    <w:rsid w:val="474B00E1"/>
    <w:rsid w:val="4B367F9A"/>
    <w:rsid w:val="4B8877EA"/>
    <w:rsid w:val="4FC85BB2"/>
    <w:rsid w:val="53BB6616"/>
    <w:rsid w:val="68EA172D"/>
    <w:rsid w:val="6A4804E2"/>
    <w:rsid w:val="6ADA5A6E"/>
    <w:rsid w:val="6AEE06C3"/>
    <w:rsid w:val="6CA85906"/>
    <w:rsid w:val="6CBC1103"/>
    <w:rsid w:val="6E6D081B"/>
    <w:rsid w:val="6F0B745E"/>
    <w:rsid w:val="71F206D2"/>
    <w:rsid w:val="7BE9300C"/>
    <w:rsid w:val="7D2C792B"/>
    <w:rsid w:val="7E383CBC"/>
    <w:rsid w:val="7F664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basedOn w:val="1"/>
    <w:unhideWhenUsed/>
    <w:qFormat/>
    <w:uiPriority w:val="99"/>
    <w:rPr>
      <w:rFonts w:ascii="Calibri" w:hAnsi="Calibri" w:eastAsia="宋体" w:cs="Times New Roman"/>
      <w:sz w:val="3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2063</Words>
  <Characters>2161</Characters>
  <Lines>16</Lines>
  <Paragraphs>4</Paragraphs>
  <TotalTime>15</TotalTime>
  <ScaleCrop>false</ScaleCrop>
  <LinksUpToDate>false</LinksUpToDate>
  <CharactersWithSpaces>2170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2019-12-09T02:10:00Z</dcterms:created>
  <dc:creator>阿秋变小田</dc:creator>
  <cp:lastModifiedBy>小铁块儿</cp:lastModifiedBy>
  <dcterms:modified xsi:type="dcterms:W3CDTF">2024-11-07T06:57:47Z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6651EE4D079742449A2FB325855FAE92</vt:lpwstr>
  </property>
</Properties>
</file>