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兴隆台区项目管家</w:t>
      </w:r>
      <w:r>
        <w:rPr>
          <w:rFonts w:hint="eastAsia"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rPr>
        <w:t>年工作总结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兴隆台区通过已有项目管家工作，搭建政策供给平台。及时向区内企业提供政策咨询、反映诉求、建言献策、举报投诉等服务。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兴隆台区总投资5000万元以上重点产业</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项，其中，</w:t>
      </w:r>
      <w:r>
        <w:rPr>
          <w:rFonts w:hint="eastAsia" w:ascii="仿宋_GB2312" w:hAnsi="仿宋_GB2312" w:eastAsia="仿宋_GB2312" w:cs="仿宋_GB2312"/>
          <w:sz w:val="32"/>
          <w:szCs w:val="32"/>
          <w:lang w:val="en-US" w:eastAsia="zh-CN"/>
        </w:rPr>
        <w:t>新开工7项，复工15项。竣工项目 5 项</w:t>
      </w:r>
      <w:r>
        <w:rPr>
          <w:rFonts w:hint="eastAsia" w:ascii="仿宋_GB2312" w:hAnsi="仿宋_GB2312" w:eastAsia="仿宋_GB2312" w:cs="仿宋_GB2312"/>
          <w:sz w:val="32"/>
          <w:szCs w:val="32"/>
        </w:rPr>
        <w:t>。并配备了项目管家</w:t>
      </w:r>
      <w:r>
        <w:rPr>
          <w:rFonts w:hint="eastAsia" w:ascii="仿宋_GB2312" w:hAnsi="仿宋_GB2312" w:eastAsia="仿宋_GB2312" w:cs="仿宋_GB2312"/>
          <w:sz w:val="32"/>
          <w:szCs w:val="32"/>
          <w:lang w:eastAsia="zh-CN"/>
        </w:rPr>
        <w:t>和店小二</w:t>
      </w:r>
      <w:r>
        <w:rPr>
          <w:rFonts w:hint="eastAsia" w:ascii="仿宋_GB2312" w:hAnsi="仿宋_GB2312" w:eastAsia="仿宋_GB2312" w:cs="仿宋_GB2312"/>
          <w:sz w:val="32"/>
          <w:szCs w:val="32"/>
        </w:rPr>
        <w:t>5名，采取现场调研、电话沟通、微信回访等多种方式为企业服务</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兴隆台区规模以上工业企业共2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家，兴隆台区工信局4位领导班子成员</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担任管家。项目管家每月与企业沟通一次，掌握企业生产运行情况及存在的问题，</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年以来，共服务企业</w:t>
      </w:r>
      <w:r>
        <w:rPr>
          <w:rFonts w:hint="eastAsia" w:ascii="仿宋_GB2312" w:hAnsi="仿宋_GB2312" w:eastAsia="仿宋_GB2312" w:cs="仿宋_GB2312"/>
          <w:color w:val="auto"/>
          <w:sz w:val="32"/>
          <w:szCs w:val="32"/>
          <w:lang w:val="en-US" w:eastAsia="zh-CN"/>
        </w:rPr>
        <w:t>324</w:t>
      </w:r>
      <w:r>
        <w:rPr>
          <w:rFonts w:hint="eastAsia" w:ascii="仿宋_GB2312" w:hAnsi="仿宋_GB2312" w:eastAsia="仿宋_GB2312" w:cs="仿宋_GB2312"/>
          <w:color w:val="auto"/>
          <w:sz w:val="32"/>
          <w:szCs w:val="32"/>
        </w:rPr>
        <w:t>次，帮助企业解决问题</w:t>
      </w:r>
      <w:r>
        <w:rPr>
          <w:rFonts w:hint="eastAsia" w:ascii="仿宋_GB2312" w:hAnsi="仿宋_GB2312" w:eastAsia="仿宋_GB2312" w:cs="仿宋_GB2312"/>
          <w:color w:val="auto"/>
          <w:sz w:val="32"/>
          <w:szCs w:val="32"/>
          <w:lang w:val="en-US" w:eastAsia="zh-CN"/>
        </w:rPr>
        <w:t>82</w:t>
      </w:r>
      <w:r>
        <w:rPr>
          <w:rFonts w:hint="eastAsia" w:ascii="仿宋_GB2312" w:hAnsi="仿宋_GB2312" w:eastAsia="仿宋_GB2312" w:cs="仿宋_GB2312"/>
          <w:color w:val="auto"/>
          <w:sz w:val="32"/>
          <w:szCs w:val="32"/>
        </w:rPr>
        <w:t>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兴隆台区限额以上批零住餐企业共有84家，</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kern w:val="0"/>
          <w:sz w:val="32"/>
          <w:szCs w:val="32"/>
          <w:lang w:val="en-US" w:eastAsia="zh-CN" w:bidi="ar"/>
        </w:rPr>
        <w:t>目管家26人。其中按照行业类目划分：批零企业71家，占比84%；住餐企业13家，占比16%。</w:t>
      </w:r>
      <w:r>
        <w:rPr>
          <w:rFonts w:hint="eastAsia" w:ascii="仿宋_GB2312" w:hAnsi="仿宋_GB2312" w:eastAsia="仿宋_GB2312" w:cs="仿宋_GB2312"/>
          <w:sz w:val="32"/>
          <w:szCs w:val="32"/>
        </w:rPr>
        <w:t>兴隆台区商务局结合各项目管家工作职责分工及时调整项目管家，重新划分了项目管家分管领导和联络员，选派责任心强、业务能力突出的人员担任项目管家，切实履行信息员、联络员、协调员、宣传员的职责。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兴隆台区市场主体中小微企业配备“公共管家”</w:t>
      </w:r>
      <w:r>
        <w:rPr>
          <w:rFonts w:hint="eastAsia" w:ascii="仿宋_GB2312" w:hAnsi="仿宋_GB2312" w:eastAsia="仿宋_GB2312" w:cs="仿宋_GB2312"/>
          <w:sz w:val="32"/>
          <w:szCs w:val="32"/>
          <w:lang w:val="en-US" w:eastAsia="zh-CN"/>
        </w:rPr>
        <w:t>。完成平台录入中小微企业3</w:t>
      </w:r>
      <w:r>
        <w:rPr>
          <w:rFonts w:hint="eastAsia" w:ascii="仿宋_GB2312" w:hAnsi="仿宋_GB2312" w:eastAsia="仿宋_GB2312" w:cs="仿宋_GB2312"/>
          <w:sz w:val="32"/>
          <w:szCs w:val="32"/>
          <w:lang w:val="en-US" w:eastAsia="zh-CN"/>
        </w:rPr>
        <w:t>1433户，配备</w:t>
      </w:r>
      <w:r>
        <w:rPr>
          <w:rFonts w:hint="eastAsia" w:ascii="仿宋_GB2312" w:hAnsi="仿宋_GB2312" w:eastAsia="仿宋_GB2312" w:cs="仿宋_GB2312"/>
          <w:sz w:val="32"/>
          <w:szCs w:val="32"/>
          <w:lang w:val="en-US" w:eastAsia="zh-CN"/>
        </w:rPr>
        <w:t>606名公共管家。</w:t>
      </w:r>
      <w:r>
        <w:rPr>
          <w:rFonts w:hint="eastAsia" w:ascii="仿宋_GB2312" w:hAnsi="仿宋_GB2312" w:eastAsia="仿宋_GB2312" w:cs="仿宋_GB2312"/>
          <w:sz w:val="32"/>
          <w:szCs w:val="32"/>
          <w:lang w:eastAsia="zh-CN"/>
        </w:rPr>
        <w:t>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二、落实“千人助千企”活动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我区出台了《兴隆台区落实“千人助千企”活动方案》（兴委办发﹝2022﹞3号），区本级268户企业纳入包保名单，由区副科级以上干部成立包保团队，对企业进行一对一帮扶，有效推动复工复产。截至目前，</w:t>
      </w:r>
      <w:r>
        <w:rPr>
          <w:rFonts w:hint="eastAsia" w:ascii="仿宋_GB2312" w:hAnsi="仿宋_GB2312" w:eastAsia="仿宋_GB2312" w:cs="仿宋_GB2312"/>
          <w:color w:val="auto"/>
          <w:kern w:val="2"/>
          <w:sz w:val="32"/>
          <w:szCs w:val="32"/>
          <w:lang w:val="en-US" w:eastAsia="zh-CN" w:bidi="ar-SA"/>
        </w:rPr>
        <w:t>助企干部累计对接企业722次，其中：电话对接363次，现场走访359次。53家企业提出困难诉求涉及65项问题，经助企干部的帮扶，已帮助企业解决问题43项，正在协调解决问题22项。主动帮扶对接企业，我区营商环境得到了企业的进一步认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三、积极服务疫情防控大局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2022年初面对复杂严峻的疫情防控局势，我们以科学之策，应非常之难，</w:t>
      </w:r>
      <w:r>
        <w:rPr>
          <w:rFonts w:hint="eastAsia" w:ascii="仿宋_GB2312" w:hAnsi="仿宋_GB2312" w:eastAsia="仿宋_GB2312" w:cs="仿宋_GB2312"/>
          <w:b w:val="0"/>
          <w:bCs w:val="0"/>
          <w:sz w:val="32"/>
          <w:szCs w:val="32"/>
          <w:lang w:eastAsia="zh-CN"/>
        </w:rPr>
        <w:t>始终秉持人民至上、生命至上，坚持外防输入内防反弹的方针</w:t>
      </w:r>
      <w:r>
        <w:rPr>
          <w:rFonts w:hint="eastAsia" w:ascii="仿宋_GB2312" w:hAnsi="仿宋_GB2312" w:eastAsia="仿宋_GB2312" w:cs="仿宋_GB2312"/>
          <w:b w:val="0"/>
          <w:bCs w:val="0"/>
          <w:kern w:val="2"/>
          <w:sz w:val="32"/>
          <w:szCs w:val="32"/>
          <w:lang w:val="en-US" w:eastAsia="zh-CN" w:bidi="ar-SA"/>
        </w:rPr>
        <w:t>，服务于疫情防控大局。为</w:t>
      </w:r>
      <w:r>
        <w:rPr>
          <w:rFonts w:hint="eastAsia" w:ascii="仿宋_GB2312" w:hAnsi="仿宋_GB2312" w:eastAsia="仿宋_GB2312" w:cs="仿宋_GB2312"/>
          <w:b w:val="0"/>
          <w:bCs w:val="0"/>
          <w:sz w:val="32"/>
          <w:szCs w:val="32"/>
          <w:lang w:eastAsia="zh-CN"/>
        </w:rPr>
        <w:t>确保重要民生商品供应充足、价格平稳，</w:t>
      </w:r>
      <w:r>
        <w:rPr>
          <w:rFonts w:hint="eastAsia" w:ascii="仿宋_GB2312" w:hAnsi="仿宋_GB2312" w:eastAsia="仿宋_GB2312" w:cs="仿宋_GB2312"/>
          <w:b w:val="0"/>
          <w:bCs w:val="0"/>
          <w:kern w:val="2"/>
          <w:sz w:val="32"/>
          <w:szCs w:val="32"/>
          <w:lang w:val="en-US" w:eastAsia="zh-CN" w:bidi="ar-SA"/>
        </w:rPr>
        <w:t>区商务局认真梳理我区疫情防控重点民生保障企业运行情况，为全区包括全都有、大润发等在内的保供企业办理绿色通行证3000多张，在物流保通保畅、遏制疫情传播等方面做出了积极努力。</w:t>
      </w:r>
      <w:r>
        <w:rPr>
          <w:rFonts w:hint="eastAsia" w:ascii="仿宋_GB2312" w:hAnsi="仿宋_GB2312" w:eastAsia="仿宋_GB2312" w:cs="仿宋_GB2312"/>
          <w:sz w:val="32"/>
          <w:szCs w:val="32"/>
        </w:rPr>
        <w:t>区工信局在疫情爆发期，统筹兼顾疫情防控和复工复产，保障工业企业重点生产物资运输，为工业企业发放工业重点物资保供车辆通行证。工信局累计为辽河油田（含下属单位）、长城钻探（含下属单位）等118家单位发放通行证6224张，其中：蓝色通行证（盘锦牌照车辆使用）2621张，红色通行证（外地牌照车辆使用）3603张，有效保障了企业生产物资运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四、工作</w:t>
      </w:r>
      <w:r>
        <w:rPr>
          <w:rFonts w:hint="eastAsia" w:ascii="黑体" w:hAnsi="黑体" w:eastAsia="黑体" w:cs="黑体"/>
          <w:b w:val="0"/>
          <w:bCs w:val="0"/>
          <w:sz w:val="32"/>
          <w:szCs w:val="32"/>
        </w:rPr>
        <w:t>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区商务局</w:t>
      </w:r>
      <w:r>
        <w:rPr>
          <w:rFonts w:hint="eastAsia" w:ascii="仿宋_GB2312" w:hAnsi="仿宋_GB2312" w:eastAsia="仿宋_GB2312" w:cs="仿宋_GB2312"/>
          <w:b w:val="0"/>
          <w:bCs w:val="0"/>
          <w:sz w:val="32"/>
          <w:szCs w:val="32"/>
          <w:lang w:val="en-US" w:eastAsia="zh-CN"/>
        </w:rPr>
        <w:t>积极推进企业生产发展，</w:t>
      </w:r>
      <w:r>
        <w:rPr>
          <w:rFonts w:hint="eastAsia" w:ascii="仿宋_GB2312" w:hAnsi="仿宋_GB2312" w:eastAsia="仿宋_GB2312" w:cs="仿宋_GB2312"/>
          <w:b w:val="0"/>
          <w:bCs w:val="0"/>
          <w:kern w:val="2"/>
          <w:sz w:val="32"/>
          <w:szCs w:val="32"/>
          <w:lang w:val="en-US" w:eastAsia="zh-CN" w:bidi="ar-SA"/>
        </w:rPr>
        <w:t>以项目管家为依托，及时向企业传达国家、省、市相关惠企政策，确保各企业应知尽知，应享尽享，帮助企业积极争取相关政策支持；积极协调解决企业发展中遇到的资金难题，上半年与区金融局对接，组织有资金需求的企业积极参加银企对接会，与工信局对接组织发生贷款企业申请贴息补助；积极帮助企业向上争取扶持资金，对包括东方银座铂尔曼、瀚新国际酒店在内的5家“绿色餐厅”企业向上争取国家和省评定示范主体奖补资金25万元；</w:t>
      </w:r>
      <w:r>
        <w:rPr>
          <w:rFonts w:hint="eastAsia" w:ascii="仿宋_GB2312" w:hAnsi="仿宋_GB2312" w:eastAsia="仿宋_GB2312" w:cs="仿宋_GB2312"/>
          <w:b w:val="0"/>
          <w:bCs w:val="0"/>
          <w:kern w:val="2"/>
          <w:sz w:val="32"/>
          <w:szCs w:val="32"/>
          <w:lang w:val="en-US" w:eastAsia="zh-CN" w:bidi="ar"/>
        </w:rPr>
        <w:t>根据市商务局、财政局《关于印发盘锦市申报2022年辽宁省全面开放资金（支持货物和服务贸易部分）实施细则的通知》（盘商联发〔2022〕12）文件要求，为我区符合申报条件的辽宁云智医疗科技有限公司申请贴息补助，</w:t>
      </w:r>
      <w:r>
        <w:rPr>
          <w:rFonts w:hint="eastAsia" w:ascii="仿宋_GB2312" w:hAnsi="仿宋_GB2312" w:eastAsia="仿宋_GB2312" w:cs="仿宋_GB2312"/>
          <w:b w:val="0"/>
          <w:bCs w:val="0"/>
          <w:kern w:val="2"/>
          <w:sz w:val="32"/>
          <w:szCs w:val="32"/>
          <w:lang w:val="en-US" w:eastAsia="zh-CN" w:bidi="ar-SA"/>
        </w:rPr>
        <w:t>为</w:t>
      </w:r>
      <w:r>
        <w:rPr>
          <w:rFonts w:hint="eastAsia" w:ascii="仿宋_GB2312" w:hAnsi="仿宋_GB2312" w:eastAsia="仿宋_GB2312" w:cs="仿宋_GB2312"/>
          <w:b w:val="0"/>
          <w:bCs w:val="0"/>
          <w:sz w:val="32"/>
          <w:szCs w:val="32"/>
        </w:rPr>
        <w:t>全力恢复和发展经济</w:t>
      </w:r>
      <w:r>
        <w:rPr>
          <w:rFonts w:hint="eastAsia" w:ascii="仿宋_GB2312" w:hAnsi="仿宋_GB2312" w:eastAsia="仿宋_GB2312" w:cs="仿宋_GB2312"/>
          <w:b w:val="0"/>
          <w:bCs w:val="0"/>
          <w:sz w:val="32"/>
          <w:szCs w:val="32"/>
          <w:lang w:eastAsia="zh-CN"/>
        </w:rPr>
        <w:t>提供动力</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与统计局合力发掘限上企业，截至目前，新发掘意向企业4家，后续服务持续跟进。</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区工信局助力企业向上争取资金全年累计480万元。</w:t>
      </w:r>
      <w:r>
        <w:rPr>
          <w:rFonts w:hint="eastAsia" w:ascii="仿宋_GB2312" w:hAnsi="仿宋_GB2312" w:eastAsia="仿宋_GB2312" w:cs="仿宋_GB2312"/>
          <w:color w:val="auto"/>
          <w:kern w:val="2"/>
          <w:sz w:val="32"/>
          <w:szCs w:val="32"/>
          <w:lang w:val="en-US" w:eastAsia="zh-CN" w:bidi="ar-SA"/>
        </w:rPr>
        <w:t>天意石油被评为国家级专精特新重点“小巨人”企业，获得奖励资金200万元。北新禹王被评为国家级绿色工厂，获得奖励资金50万元。辽宁华孚环境工程股份有限公司被评为国家级专精特新“小巨人”企业，获得奖励资金50万元；被评为省级服务型制造示范企业，获得奖励资金30万元。辽宁金玺装备制造有限公司、盘锦道博尔环保科技股份有限公司、盘锦海兴科技股份有限公司3家被评为辽宁省专精特新“小巨人”企业，分别获得奖励资金30万元。辽宁美滋林药业有限公司被评为辽宁省“专精特新”中小企业，获得奖励资金30万元。盘锦市兴隆台区辽河成人教育培训中心被评为省级中小企业公共服务示范平台，获得奖励资金30万元。支持企业“专精特新”发展。</w:t>
      </w:r>
      <w:r>
        <w:rPr>
          <w:rFonts w:hint="eastAsia" w:ascii="仿宋_GB2312" w:hAnsi="仿宋_GB2312" w:eastAsia="仿宋_GB2312" w:cs="仿宋_GB2312"/>
          <w:color w:val="auto"/>
          <w:kern w:val="2"/>
          <w:sz w:val="32"/>
          <w:szCs w:val="32"/>
          <w:lang w:val="en-US" w:eastAsia="zh-CN" w:bidi="ar-SA"/>
        </w:rPr>
        <w:t>获评省“专精特新”中小企业、产品（技术）共3项，分别为：盘锦辽河油田通信实业有限公司获评2022年省“专精特新”中小企业，辽宁金孚抑尘科技股份有限公司的空气动力抑尘设备和盘锦辽河油田通信实业有限公司的油田通信运营管理设计技术获评2022年省“专精特新”产品（技术）。组织企业参加优质中小企业梯度培育线上培训，帮助2家专精特新企业与大企业对接。加快工业智能化数字化转型升级。</w:t>
      </w:r>
      <w:r>
        <w:rPr>
          <w:rFonts w:hint="eastAsia" w:ascii="仿宋_GB2312" w:hAnsi="仿宋_GB2312" w:eastAsia="仿宋_GB2312" w:cs="仿宋_GB2312"/>
          <w:color w:val="auto"/>
          <w:kern w:val="2"/>
          <w:sz w:val="32"/>
          <w:szCs w:val="32"/>
          <w:lang w:val="en-US" w:eastAsia="zh-CN" w:bidi="ar-SA"/>
        </w:rPr>
        <w:t>开展绿色体系创建，盘锦鼎翔米业有限公司获评“2022年度（第七批）省级绿色工厂”。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区发改局全力推进项目建设。坚决做实项目包扶责任制和项目管家制度，继续保持对项目的跟踪服务，落实好我区“规建会”安排部署，让解决问题出效果、出成绩。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bookmarkStart w:id="0" w:name="_GoBack"/>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、下一步工作安排</w:t>
      </w:r>
    </w:p>
    <w:bookmarkEnd w:id="0"/>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项目管家制度，主要目的是为项目（企业）解难题、办实事，在今后的项目管家工作当中，兴隆台区将加大服务力度，切实转变工作思想，激发调动各方面的积极性、主动性和创造性，发现和培育一批区内企业先进典型，强化示范引领，做实做细项目管家各项任务，对服务企业过程中发现的问题，建立分类解决问题机制和定期调度机制，确保问题能够得到及时妥善解决。同时，建立容错纠错机制，鼓励大胆探索，创新企业服务方式，勇于担当，敢于作为，结合工作实际不断改进与创新服务方式，将工作做到实处，为我区中小微企业发展壮大提供更好的发展环境，进一步助力优化我区营商环境。</w:t>
      </w:r>
    </w:p>
    <w:p>
      <w:pPr>
        <w:pStyle w:val="3"/>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兴隆台区营商环境建设局</w:t>
      </w:r>
    </w:p>
    <w:p>
      <w:pPr>
        <w:pStyle w:val="3"/>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pStyle w:val="3"/>
      </w:pP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0NTE3MDA1ZDE3N2YzY2FmNzliYTZmYWM2ZjE5ZmEifQ=="/>
  </w:docVars>
  <w:rsids>
    <w:rsidRoot w:val="695C0C61"/>
    <w:rsid w:val="0068797A"/>
    <w:rsid w:val="009145F5"/>
    <w:rsid w:val="00AF7D34"/>
    <w:rsid w:val="00BF50B0"/>
    <w:rsid w:val="00CA1374"/>
    <w:rsid w:val="00D738E0"/>
    <w:rsid w:val="0C21398A"/>
    <w:rsid w:val="10E42958"/>
    <w:rsid w:val="147A2B30"/>
    <w:rsid w:val="3BAA664E"/>
    <w:rsid w:val="3C805EE5"/>
    <w:rsid w:val="3DB54430"/>
    <w:rsid w:val="44840816"/>
    <w:rsid w:val="695C0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99"/>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2216</Words>
  <Characters>2305</Characters>
  <Lines>9</Lines>
  <Paragraphs>2</Paragraphs>
  <TotalTime>6</TotalTime>
  <ScaleCrop>false</ScaleCrop>
  <LinksUpToDate>false</LinksUpToDate>
  <CharactersWithSpaces>2333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2022-06-13T06:59:00Z</dcterms:created>
  <dc:creator>阿秋变小田</dc:creator>
  <cp:lastModifiedBy>小铁块儿</cp:lastModifiedBy>
  <dcterms:modified xsi:type="dcterms:W3CDTF">2024-11-07T02:32:50Z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6EEF760FCB9E464B96AA295C573F3C05</vt:lpwstr>
  </property>
</Properties>
</file>