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52"/>
          <w:szCs w:val="52"/>
          <w:shd w:val="clear" w:fill="FFFFFF"/>
          <w:lang w:val="en-US" w:eastAsia="zh-CN" w:bidi="ar"/>
        </w:rPr>
        <w:t>盘锦市兴隆台区城市建设和管理服务中心2024年度部门预算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kern w:val="0"/>
          <w:sz w:val="32"/>
          <w:szCs w:val="32"/>
          <w:shd w:val="clear" w:fill="FFFFFF"/>
          <w:lang w:val="en-US" w:eastAsia="zh-CN" w:bidi="ar"/>
        </w:rPr>
        <w:t>第一部分</w:t>
      </w:r>
      <w:r>
        <w:rPr>
          <w:rFonts w:hint="eastAsia" w:ascii="黑体" w:hAnsi="宋体" w:eastAsia="黑体" w:cs="黑体"/>
          <w:i w:val="0"/>
          <w:iCs w:val="0"/>
          <w:caps w:val="0"/>
          <w:color w:val="333333"/>
          <w:spacing w:val="0"/>
          <w:kern w:val="0"/>
          <w:sz w:val="32"/>
          <w:szCs w:val="32"/>
          <w:shd w:val="clear" w:fill="FFFFFF"/>
          <w:lang w:val="en-US" w:eastAsia="zh-CN" w:bidi="ar"/>
        </w:rPr>
        <w:t>  盘锦市兴隆台区城市建设和管理服务中心部门概况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仿宋" w:hAnsi="仿宋" w:eastAsia="仿宋" w:cs="仿宋"/>
          <w:i w:val="0"/>
          <w:iCs w:val="0"/>
          <w:caps w:val="0"/>
          <w:color w:val="333333"/>
          <w:spacing w:val="0"/>
          <w:kern w:val="0"/>
          <w:sz w:val="32"/>
          <w:szCs w:val="32"/>
          <w:shd w:val="clear" w:fill="FFFFFF"/>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三、部门预算单位构成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第二部分  盘锦市兴隆台区城市建设和管理服务中心2024年度部门预算报表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支出预算总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年度一般公共预算支出表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年度一般公共预算基本支出表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年度一般公共预算“三公”经费支出表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年度政府性基金预算支出表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2024</w:t>
      </w:r>
      <w:r>
        <w:rPr>
          <w:rFonts w:hint="eastAsia" w:ascii="仿宋" w:hAnsi="仿宋" w:eastAsia="仿宋" w:cs="仿宋"/>
          <w:sz w:val="32"/>
          <w:szCs w:val="32"/>
          <w:lang w:val="en-US" w:eastAsia="zh-CN"/>
        </w:rPr>
        <w:t>年度</w:t>
      </w:r>
      <w:r>
        <w:rPr>
          <w:rFonts w:hint="eastAsia" w:ascii="仿宋" w:hAnsi="仿宋" w:eastAsia="仿宋" w:cs="仿宋"/>
          <w:sz w:val="32"/>
          <w:szCs w:val="32"/>
          <w:lang w:eastAsia="zh-CN"/>
        </w:rPr>
        <w:t>部门支出功能分类预算表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w:t>
      </w:r>
      <w:r>
        <w:rPr>
          <w:rFonts w:hint="eastAsia" w:ascii="仿宋_GB2312" w:hAnsi="仿宋_GB2312" w:eastAsia="仿宋_GB2312" w:cs="仿宋_GB2312"/>
          <w:sz w:val="32"/>
          <w:szCs w:val="32"/>
          <w:lang w:val="en-US" w:eastAsia="zh-CN"/>
        </w:rPr>
        <w:t>2024</w:t>
      </w:r>
      <w:r>
        <w:rPr>
          <w:rFonts w:hint="eastAsia" w:ascii="仿宋" w:hAnsi="仿宋" w:eastAsia="仿宋" w:cs="仿宋"/>
          <w:sz w:val="32"/>
          <w:szCs w:val="32"/>
          <w:lang w:val="en-US" w:eastAsia="zh-CN"/>
        </w:rPr>
        <w:t>年度</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支出经济分类预算表（政府预算）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二</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年度部门支出经济分类预算表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十三2024</w:t>
      </w:r>
      <w:r>
        <w:rPr>
          <w:rFonts w:hint="eastAsia" w:ascii="仿宋_GB2312" w:hAnsi="仿宋_GB2312" w:eastAsia="仿宋_GB2312" w:cs="仿宋_GB2312"/>
          <w:sz w:val="32"/>
          <w:szCs w:val="32"/>
        </w:rPr>
        <w:t>年度部门债务支出预算表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十四2024</w:t>
      </w:r>
      <w:r>
        <w:rPr>
          <w:rFonts w:hint="eastAsia" w:ascii="仿宋_GB2312" w:hAnsi="仿宋_GB2312" w:eastAsia="仿宋_GB2312" w:cs="仿宋_GB2312"/>
          <w:sz w:val="32"/>
          <w:szCs w:val="32"/>
        </w:rPr>
        <w:t>年度部门政府采购支出预算表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十五2024</w:t>
      </w:r>
      <w:r>
        <w:rPr>
          <w:rFonts w:hint="eastAsia" w:ascii="仿宋_GB2312" w:hAnsi="仿宋_GB2312" w:eastAsia="仿宋_GB2312" w:cs="仿宋_GB2312"/>
          <w:sz w:val="32"/>
          <w:szCs w:val="32"/>
        </w:rPr>
        <w:t>年度部门政府购买服务支出预算表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十六2024</w:t>
      </w:r>
      <w:r>
        <w:rPr>
          <w:rFonts w:hint="eastAsia" w:ascii="仿宋_GB2312" w:hAnsi="仿宋_GB2312" w:eastAsia="仿宋_GB2312" w:cs="仿宋_GB2312"/>
          <w:sz w:val="32"/>
          <w:szCs w:val="32"/>
        </w:rPr>
        <w:t>年度部门政府（单位）整体绩效目标表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十七2024</w:t>
      </w:r>
      <w:r>
        <w:rPr>
          <w:rFonts w:hint="eastAsia" w:ascii="仿宋_GB2312" w:hAnsi="仿宋_GB2312" w:eastAsia="仿宋_GB2312" w:cs="仿宋_GB2312"/>
          <w:sz w:val="32"/>
          <w:szCs w:val="32"/>
        </w:rPr>
        <w:t>年度部门政府预算项目（政策）绩效目标表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第三部分  盘锦市兴隆台区城市建设和管理服务中心 2024年度部门预算情况说明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第一部分  盘锦市兴隆台区城市建设和管理服务中心部门概况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360" w:right="0" w:hanging="72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（一）负责辖区内市政基础设施（包括城市园林绿化、亮化、环境卫生等工作）的监管；负责城市生活垃圾分类的监督指导；负责辖区内排污、排涝、泵站等服务的日常监管、运行。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二）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根据本部门主要职责，内设机构如下：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ascii="楷体" w:hAnsi="楷体" w:eastAsia="楷体" w:cs="楷体"/>
          <w:i w:val="0"/>
          <w:iCs w:val="0"/>
          <w:caps w:val="0"/>
          <w:color w:val="333333"/>
          <w:spacing w:val="0"/>
          <w:sz w:val="32"/>
          <w:szCs w:val="32"/>
          <w:shd w:val="clear" w:fill="FFFFFF"/>
        </w:rPr>
        <w:t>（一）内设机构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根据上述职责，兴隆台区城市建设和管理服务中心设10个内设机构，具体为：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负责本单位文件收发（包括政府各部门之间文件的接收，红头文件、会议记录、纪要的撰写），外宣，人事（职工保险、考勤、绩效等）等机关事务。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2.财务办公室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负责固定资产的管理和统计，账务报账、财务请示、预算、决算等工作。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3.党群办公室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4.档案办公室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负责档案资料的收集、整理、立卷、归档、电子录入等工作。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5.信访法规投诉办公室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城市管理网格化中心、智慧化城市平台、数字化平台、12345热线、民心网和市民投诉热线电话等投诉、举报案件受理、转办、督促、回复工作，负责各数字化平台的日常维护，并做好诉处理等各类基础台账的建设、管理、汇总及归档。负责本单位政策法规、业务指导与培训、文字材料、人员和业务督查、案件监督、信访接待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6.综合业务管理办公室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负责招投标项目前期工作、非招投标项目施工单位抽选工作</w:t>
      </w:r>
      <w:bookmarkStart w:id="0" w:name="_GoBack"/>
      <w:bookmarkEnd w:id="0"/>
      <w:r>
        <w:rPr>
          <w:rFonts w:hint="eastAsia" w:ascii="仿宋" w:hAnsi="仿宋" w:eastAsia="仿宋" w:cs="仿宋"/>
          <w:i w:val="0"/>
          <w:iCs w:val="0"/>
          <w:caps w:val="0"/>
          <w:color w:val="333333"/>
          <w:spacing w:val="0"/>
          <w:sz w:val="32"/>
          <w:szCs w:val="32"/>
          <w:shd w:val="clear" w:fill="FFFFFF"/>
        </w:rPr>
        <w:t>及项目单位之间的协调、验收等工作；负责主街主路环境卫生的检查及发现市政设施损坏的通报。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7. 市政设施管理办公室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负责辖区内道路、路灯、排污、排涝、泵站等服务的日常监管运行维修维护，占道挖掘初审及公共基础设施的新建工作。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8.环卫综合管理办公室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71"/>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负责辖区内环境卫生的监察及垃圾分类的推广、运行与监管等工作。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9.绿化综合管理办公室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负责辖区内园林绿化、美化的工作，监督检查辖区内绿化建设完成情况，并参与各类绿化工程的验收工作。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10.城建管理办公室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负责辖区内市政基础设施的新建及维修等工作。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纳入盘锦市兴隆台区城市建设和管理服务中心2024年度部门预算编制范围的二级预算单位包括：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sz w:val="32"/>
          <w:highlight w:val="none"/>
          <w:lang w:eastAsia="zh-CN"/>
        </w:rPr>
        <w:t>无下设二级预算单位。</w:t>
      </w:r>
      <w:r>
        <w:rPr>
          <w:rFonts w:hint="eastAsia" w:ascii="宋体" w:hAnsi="宋体" w:eastAsia="宋体" w:cs="宋体"/>
          <w:b/>
          <w:bCs/>
          <w:i w:val="0"/>
          <w:iCs w:val="0"/>
          <w:caps w:val="0"/>
          <w:color w:val="333333"/>
          <w:spacing w:val="0"/>
          <w:kern w:val="0"/>
          <w:sz w:val="36"/>
          <w:szCs w:val="36"/>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44"/>
          <w:szCs w:val="44"/>
          <w:shd w:val="clear" w:fill="FFFFFF"/>
          <w:lang w:val="en-US" w:eastAsia="zh-CN" w:bidi="ar"/>
        </w:rPr>
        <w:t>第二部分 </w:t>
      </w:r>
      <w:r>
        <w:rPr>
          <w:rFonts w:hint="eastAsia" w:ascii="宋体" w:hAnsi="宋体" w:eastAsia="宋体" w:cs="宋体"/>
          <w:b/>
          <w:bCs/>
          <w:i w:val="0"/>
          <w:iCs w:val="0"/>
          <w:caps w:val="0"/>
          <w:color w:val="333333"/>
          <w:spacing w:val="0"/>
          <w:kern w:val="0"/>
          <w:sz w:val="44"/>
          <w:szCs w:val="44"/>
          <w:shd w:val="clear" w:fill="FFFFFF"/>
          <w:lang w:val="en-US" w:eastAsia="zh-CN" w:bidi="ar"/>
        </w:rPr>
        <w:t>盘锦市兴隆台区城市建设和管理服务中心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2024年度部门预算公开表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ascii="仿宋_GB2312" w:hAnsi="微软雅黑" w:eastAsia="仿宋_GB2312" w:cs="仿宋_GB2312"/>
          <w:b/>
          <w:bCs/>
          <w:i w:val="0"/>
          <w:iCs w:val="0"/>
          <w:caps w:val="0"/>
          <w:color w:val="333333"/>
          <w:spacing w:val="0"/>
          <w:kern w:val="0"/>
          <w:sz w:val="32"/>
          <w:szCs w:val="32"/>
          <w:shd w:val="clear" w:fill="FFFFFF"/>
          <w:lang w:val="en-US" w:eastAsia="zh-CN" w:bidi="ar"/>
        </w:rPr>
        <w:t>（该部分内容详见附件）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第三部分盘锦市兴隆台区城市建设和管理服务中心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2024年度部门预算情况说明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36"/>
          <w:szCs w:val="3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一、收支预算的总体情况说明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按照综合预算的原则，2024年盘锦市兴隆台区城市建设和管理服务中心所有收入和支出均纳入部门预算管理。其中：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（一）收入预算26147.18万元，包括：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1.财政拨款收入26147.18万元；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（二）支出预算26147.18万元，包括：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1.基本支出2244.13万元；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2.项目支出23903.05万元。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_GB2312" w:hAnsi="仿宋_GB2312" w:eastAsia="仿宋_GB2312" w:cs="仿宋_GB2312"/>
          <w:sz w:val="32"/>
          <w:lang w:val="en-US" w:eastAsia="zh-CN"/>
        </w:rPr>
        <w:t>2024年预算同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 w:hAnsi="仿宋" w:eastAsia="仿宋" w:cs="仿宋"/>
          <w:i w:val="0"/>
          <w:iCs w:val="0"/>
          <w:caps w:val="0"/>
          <w:color w:val="333333"/>
          <w:spacing w:val="0"/>
          <w:kern w:val="0"/>
          <w:sz w:val="32"/>
          <w:szCs w:val="32"/>
          <w:shd w:val="clear" w:fill="FFFFFF"/>
          <w:lang w:val="en-US" w:eastAsia="zh-CN" w:bidi="ar"/>
        </w:rPr>
        <w:t>，收入减少2585.43万元，减少9%；支出减少2585.43万元，减少9%。减少主要原因是</w:t>
      </w:r>
      <w:r>
        <w:rPr>
          <w:rFonts w:hint="eastAsia" w:ascii="仿宋" w:hAnsi="仿宋" w:eastAsia="仿宋" w:cs="仿宋"/>
          <w:i w:val="0"/>
          <w:iCs w:val="0"/>
          <w:caps w:val="0"/>
          <w:color w:val="auto"/>
          <w:spacing w:val="0"/>
          <w:kern w:val="0"/>
          <w:sz w:val="32"/>
          <w:szCs w:val="32"/>
          <w:shd w:val="clear" w:fill="FFFFFF"/>
          <w:lang w:val="en-US" w:eastAsia="zh-CN" w:bidi="ar"/>
        </w:rPr>
        <w:t>经费压缩，牢固树立“过紧日子”的思想。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二、“三公”经费预算安排使用情况说明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2024年度“三公”经费预算支出安排69万元，比2023年度减少0万元，减少0%。其中：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default" w:ascii="微软雅黑" w:hAnsi="微软雅黑" w:eastAsia="微软雅黑" w:cs="微软雅黑"/>
          <w:i w:val="0"/>
          <w:iCs w:val="0"/>
          <w:caps w:val="0"/>
          <w:color w:val="333333"/>
          <w:spacing w:val="0"/>
          <w:sz w:val="22"/>
          <w:szCs w:val="22"/>
          <w:lang w:val="en-US"/>
        </w:rPr>
      </w:pPr>
      <w:r>
        <w:rPr>
          <w:rFonts w:hint="eastAsia" w:ascii="仿宋" w:hAnsi="仿宋" w:eastAsia="仿宋" w:cs="仿宋"/>
          <w:i w:val="0"/>
          <w:iCs w:val="0"/>
          <w:caps w:val="0"/>
          <w:color w:val="333333"/>
          <w:spacing w:val="0"/>
          <w:kern w:val="0"/>
          <w:sz w:val="32"/>
          <w:szCs w:val="32"/>
          <w:shd w:val="clear" w:fill="FFFFFF"/>
          <w:lang w:val="en-US" w:eastAsia="zh-CN" w:bidi="ar"/>
        </w:rPr>
        <w:t>1.因公出国（境）费0万元。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2.公务接待费0万元。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3.公务用车购置及运行费69万元，比2023年度减少0万元，减少0%。主要原因无变化</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三、机关运行经费预算安排使用情况说明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FFFFF"/>
          <w:lang w:val="en-US" w:eastAsia="zh-CN" w:bidi="ar"/>
        </w:rPr>
        <w:t>2024年机关运行经费预算安排48.26元，比2023年预算减少10.83万元，减少18.33%，主要原因是经费压缩，牢固树立“过紧日子”的思想。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四、政府采购安排情况说明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2024年政府采购项目包括保险费68.5万元、泵站设备维修费300万元、道路维护费450万元、公园广场雕塑防腐木铁艺维修养护100万元、清淤费400万元、市民投诉费200万元、污水处理费500万元。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五、国有资产占用情况说明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截至2023年12月31日，盘锦市兴隆台区城市建设和管理服务中心资产总额40251.54万</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元，其中，流动资产601.14万元，非流动资产39650.4万元。固定资产原值3845.62万元。固定资产中共有车辆306辆（应急保障用车15辆、执法执勤用车1辆、特种专业技术用车70辆、其他用车220辆），价值3093.97万元。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六、项目预算绩效目标情况说明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根据预算绩效管理要求，盘锦市兴隆台城市建设和管理服务中心2024年应编制绩效目标的项目共0个，实际编制绩效目标的项目共0个，涉及资金0万元，编制绩效目标的项目覆盖率（实际编制绩效目标的项目/应编制绩效目标的项目）为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6"/>
          <w:szCs w:val="3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1.财政拨款收入：指市级财政当年拨付的资金。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2.基本支出：指保障机构正常运转、完成日常工作任务而发生的人员支出和公用支出。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3.项目支出：指在基本支出之外为完成特定行政任务和事业发展目标所发生的支出。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7.其他收入：指除上述“财政拨款收入”、“行政事业性收费收入”、“政府性基金收入”以外的收入。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9.一般公共服务（类）财政事务（款）行政运行（项）：反映行政单位（包括实行公务员管理的事业单位）的基本支出。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10.一般公共服务（类）财政事务（款）一般行政管理事务（项）：反映行政单位（包括实行公务员管理的事业单位）未单独设置项级科目的其他项目支出。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11.一般公共服务（类）财政事务（款）预算改革业务（项）：反映财政部门用于预算改革方面的支出。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12.一般公共服务（类）财政事务（款）财政国库业务（项）：反映财政部门用于财政国库集中收付业务方面的支出。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13.一般公共服务（类）财政事务（款）事业运行（项）：反映事业单位的基本支出，不包括行政单位（包括实行公务员管理的事业单位）后勤服务中心、医务室等附属事业单位。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14.一般公共服务（类）财政事务（款）其他财政事务支出（项）：反映除上述项目以外其他财政事务方面的支出。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15.社会保障和就业（类）行政事业单位离退休（款）归口管理的行政单位离退休（项）：反映实行归口管理的行政单位（包括实行公务员管理的事业单位）开支的离退休经费。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16.社会保障和就业（类）行政事业单位离退休（款）事业单位离退休（项）：反映实行归口管理的事业单位开支的离退休经费。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19.住房保障（类）住房改革（款）住房公积金（项）：反映行政事业单位按人力资源和社会保障部、财政部规定的基本工资和津贴补贴以及规定比例为职工缴纳的住房公积金。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000000"/>
    <w:rsid w:val="028D0613"/>
    <w:rsid w:val="03630793"/>
    <w:rsid w:val="04B6174F"/>
    <w:rsid w:val="04C64E6C"/>
    <w:rsid w:val="067A7CBC"/>
    <w:rsid w:val="06B07634"/>
    <w:rsid w:val="08C05A81"/>
    <w:rsid w:val="092F02CB"/>
    <w:rsid w:val="09E07D4B"/>
    <w:rsid w:val="0A1421D6"/>
    <w:rsid w:val="0AFD5EAB"/>
    <w:rsid w:val="0B986C5B"/>
    <w:rsid w:val="0C686809"/>
    <w:rsid w:val="0E434661"/>
    <w:rsid w:val="13B660AC"/>
    <w:rsid w:val="15684125"/>
    <w:rsid w:val="16D2144F"/>
    <w:rsid w:val="1774138F"/>
    <w:rsid w:val="1A8B2040"/>
    <w:rsid w:val="1AC71042"/>
    <w:rsid w:val="1C205F15"/>
    <w:rsid w:val="1D4330A6"/>
    <w:rsid w:val="1F3C2AF0"/>
    <w:rsid w:val="20C656C0"/>
    <w:rsid w:val="225455D2"/>
    <w:rsid w:val="27D737DB"/>
    <w:rsid w:val="28C036C6"/>
    <w:rsid w:val="2A4628E6"/>
    <w:rsid w:val="2BC2163A"/>
    <w:rsid w:val="2E110657"/>
    <w:rsid w:val="2ED43C69"/>
    <w:rsid w:val="31A8317B"/>
    <w:rsid w:val="322A23D3"/>
    <w:rsid w:val="391A2D19"/>
    <w:rsid w:val="3B0F6C4B"/>
    <w:rsid w:val="3C2711C8"/>
    <w:rsid w:val="3DAC3EF8"/>
    <w:rsid w:val="402D5ADF"/>
    <w:rsid w:val="48D66C28"/>
    <w:rsid w:val="48FA32DD"/>
    <w:rsid w:val="4EC723CD"/>
    <w:rsid w:val="518A568C"/>
    <w:rsid w:val="51AF0E22"/>
    <w:rsid w:val="565548B5"/>
    <w:rsid w:val="56D62543"/>
    <w:rsid w:val="5B6F4A8B"/>
    <w:rsid w:val="5C4D5AB6"/>
    <w:rsid w:val="5D2B6790"/>
    <w:rsid w:val="5F9C5723"/>
    <w:rsid w:val="62F70847"/>
    <w:rsid w:val="64F940DE"/>
    <w:rsid w:val="65B80DDC"/>
    <w:rsid w:val="67386679"/>
    <w:rsid w:val="682B5466"/>
    <w:rsid w:val="6A266C5C"/>
    <w:rsid w:val="6A3E7FCC"/>
    <w:rsid w:val="6B2A6921"/>
    <w:rsid w:val="6E6A4DC6"/>
    <w:rsid w:val="6EFB6DB3"/>
    <w:rsid w:val="735008A6"/>
    <w:rsid w:val="73506AF8"/>
    <w:rsid w:val="77212C85"/>
    <w:rsid w:val="780F7923"/>
    <w:rsid w:val="7A991F3A"/>
    <w:rsid w:val="7AF91823"/>
    <w:rsid w:val="7B9353AB"/>
    <w:rsid w:val="7C4C2475"/>
    <w:rsid w:val="7D442589"/>
    <w:rsid w:val="7DA0242A"/>
    <w:rsid w:val="7E374B3D"/>
    <w:rsid w:val="7FDECA34"/>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3704</Words>
  <Characters>3966</Characters>
  <Lines>0</Lines>
  <Paragraphs>0</Paragraphs>
  <TotalTime>10</TotalTime>
  <ScaleCrop>false</ScaleCrop>
  <LinksUpToDate>false</LinksUpToDate>
  <CharactersWithSpaces>4033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pjxc</cp:lastModifiedBy>
  <dcterms:modified xsi:type="dcterms:W3CDTF">2024-11-06T16:52:33Z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6F224DA31D6E4D00AF107E21360D2BFA_13</vt:lpwstr>
  </property>
</Properties>
</file>