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ascii="仿宋" w:hAnsi="仿宋"/>
          <w:b/>
          <w:bCs/>
          <w:sz w:val="36"/>
          <w:szCs w:val="36"/>
        </w:rPr>
      </w:pPr>
      <w:r>
        <w:rPr>
          <w:rFonts w:hint="eastAsia" w:ascii="仿宋" w:hAnsi="仿宋"/>
          <w:b/>
          <w:bCs/>
          <w:sz w:val="36"/>
          <w:szCs w:val="36"/>
        </w:rPr>
        <w:t>2023年盘锦市危险化学品氯碱产品质量监督抽查</w:t>
      </w:r>
    </w:p>
    <w:p>
      <w:pPr>
        <w:spacing w:line="240" w:lineRule="auto"/>
        <w:ind w:firstLine="0" w:firstLineChars="0"/>
        <w:jc w:val="center"/>
        <w:rPr>
          <w:rFonts w:ascii="仿宋" w:hAnsi="仿宋"/>
          <w:b/>
          <w:bCs/>
          <w:sz w:val="36"/>
          <w:szCs w:val="36"/>
        </w:rPr>
      </w:pPr>
      <w:r>
        <w:rPr>
          <w:rFonts w:hint="eastAsia" w:ascii="仿宋" w:hAnsi="仿宋"/>
          <w:b/>
          <w:bCs/>
          <w:sz w:val="36"/>
          <w:szCs w:val="36"/>
        </w:rPr>
        <w:t>实施细则</w:t>
      </w:r>
    </w:p>
    <w:p>
      <w:pPr>
        <w:spacing w:beforeLines="50" w:line="594" w:lineRule="exact"/>
        <w:ind w:firstLine="560"/>
        <w:rPr>
          <w:rFonts w:hint="eastAsia" w:ascii="仿宋" w:hAnsi="仿宋" w:eastAsia="仿宋" w:cs="仿宋"/>
          <w:b/>
          <w:bCs w:val="0"/>
        </w:rPr>
      </w:pPr>
      <w:r>
        <w:rPr>
          <w:rFonts w:hint="eastAsia" w:ascii="仿宋" w:hAnsi="仿宋" w:eastAsia="仿宋" w:cs="仿宋"/>
          <w:b/>
          <w:bCs w:val="0"/>
        </w:rPr>
        <w:t>1 适用范围</w:t>
      </w:r>
    </w:p>
    <w:p>
      <w:pPr>
        <w:spacing w:line="594" w:lineRule="exact"/>
        <w:ind w:firstLine="560"/>
        <w:rPr>
          <w:rFonts w:hint="eastAsia" w:ascii="仿宋" w:hAnsi="仿宋" w:eastAsia="仿宋" w:cs="仿宋"/>
        </w:rPr>
      </w:pPr>
      <w:r>
        <w:rPr>
          <w:rFonts w:hint="eastAsia" w:ascii="仿宋" w:hAnsi="仿宋" w:eastAsia="仿宋" w:cs="仿宋"/>
        </w:rPr>
        <w:t>本细则适用于盘锦市危险化学品氯碱产品质量监督抽查。本细则内容包括产品分类、术语和定义、生产企业规模划分、检验依据、抽样、检验要求、判定原则、异议处理</w:t>
      </w:r>
      <w:r>
        <w:rPr>
          <w:rFonts w:hint="eastAsia" w:ascii="仿宋" w:hAnsi="仿宋" w:cs="仿宋"/>
          <w:lang w:val="en-US" w:eastAsia="zh-CN"/>
        </w:rPr>
        <w:t>及细则</w:t>
      </w:r>
      <w:r>
        <w:rPr>
          <w:rFonts w:hint="eastAsia" w:ascii="仿宋" w:hAnsi="仿宋" w:eastAsia="仿宋" w:cs="仿宋"/>
        </w:rPr>
        <w:t>。</w:t>
      </w:r>
    </w:p>
    <w:p>
      <w:pPr>
        <w:spacing w:beforeLines="50" w:line="594" w:lineRule="exact"/>
        <w:ind w:firstLine="560"/>
        <w:rPr>
          <w:rFonts w:hint="eastAsia" w:ascii="仿宋" w:hAnsi="仿宋" w:eastAsia="仿宋" w:cs="仿宋"/>
          <w:b/>
          <w:bCs w:val="0"/>
        </w:rPr>
      </w:pPr>
      <w:r>
        <w:rPr>
          <w:rFonts w:hint="eastAsia" w:ascii="仿宋" w:hAnsi="仿宋" w:eastAsia="仿宋" w:cs="仿宋"/>
          <w:b/>
          <w:bCs w:val="0"/>
        </w:rPr>
        <w:t>2 产品种类</w:t>
      </w:r>
    </w:p>
    <w:p>
      <w:pPr>
        <w:spacing w:beforeLines="50" w:afterLines="50" w:line="594" w:lineRule="exact"/>
        <w:ind w:firstLine="560"/>
        <w:rPr>
          <w:rFonts w:hint="eastAsia" w:ascii="仿宋" w:hAnsi="仿宋" w:eastAsia="仿宋" w:cs="仿宋"/>
          <w:bCs/>
        </w:rPr>
      </w:pPr>
      <w:r>
        <w:rPr>
          <w:rFonts w:hint="eastAsia" w:ascii="仿宋" w:hAnsi="仿宋" w:eastAsia="仿宋" w:cs="仿宋"/>
          <w:bCs/>
        </w:rPr>
        <w:t>2.1产品分类及代码见表1。</w:t>
      </w:r>
    </w:p>
    <w:p>
      <w:pPr>
        <w:spacing w:line="594" w:lineRule="atLeast"/>
        <w:ind w:firstLine="0" w:firstLineChars="0"/>
        <w:jc w:val="center"/>
        <w:rPr>
          <w:rFonts w:ascii="宋体" w:hAnsi="宋体" w:eastAsia="宋体" w:cs="仿宋"/>
          <w:sz w:val="24"/>
          <w:szCs w:val="24"/>
        </w:rPr>
      </w:pPr>
      <w:r>
        <w:rPr>
          <w:rFonts w:hint="eastAsia" w:ascii="宋体" w:hAnsi="宋体" w:eastAsia="宋体" w:cs="仿宋"/>
          <w:sz w:val="24"/>
          <w:szCs w:val="24"/>
        </w:rPr>
        <w:t>表1 产品分类及代码</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20"/>
        <w:gridCol w:w="2220"/>
        <w:gridCol w:w="2220"/>
        <w:gridCol w:w="25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产品分类</w:t>
            </w:r>
          </w:p>
        </w:tc>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一级分类</w:t>
            </w:r>
          </w:p>
        </w:tc>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二级分类</w:t>
            </w:r>
          </w:p>
        </w:tc>
        <w:tc>
          <w:tcPr>
            <w:tcW w:w="25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三级分类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分类代码</w:t>
            </w:r>
          </w:p>
        </w:tc>
        <w:tc>
          <w:tcPr>
            <w:tcW w:w="2220" w:type="dxa"/>
            <w:vAlign w:val="center"/>
          </w:tcPr>
          <w:p>
            <w:pPr>
              <w:spacing w:line="240" w:lineRule="auto"/>
              <w:ind w:firstLine="0" w:firstLineChars="0"/>
              <w:jc w:val="center"/>
              <w:rPr>
                <w:rFonts w:ascii="宋体" w:hAnsi="宋体" w:eastAsia="宋体" w:cs="仿宋"/>
                <w:bCs/>
                <w:sz w:val="24"/>
                <w:szCs w:val="24"/>
              </w:rPr>
            </w:pPr>
            <w:r>
              <w:rPr>
                <w:rFonts w:ascii="宋体" w:hAnsi="宋体" w:eastAsia="宋体" w:cs="仿宋"/>
                <w:bCs/>
                <w:sz w:val="24"/>
                <w:szCs w:val="24"/>
              </w:rPr>
              <w:t>2</w:t>
            </w:r>
          </w:p>
        </w:tc>
        <w:tc>
          <w:tcPr>
            <w:tcW w:w="2220" w:type="dxa"/>
            <w:vAlign w:val="center"/>
          </w:tcPr>
          <w:p>
            <w:pPr>
              <w:spacing w:line="240" w:lineRule="auto"/>
              <w:ind w:firstLine="0" w:firstLineChars="0"/>
              <w:jc w:val="center"/>
              <w:rPr>
                <w:rFonts w:ascii="宋体" w:hAnsi="宋体" w:eastAsia="宋体" w:cs="仿宋"/>
                <w:bCs/>
                <w:sz w:val="24"/>
                <w:szCs w:val="24"/>
              </w:rPr>
            </w:pPr>
            <w:r>
              <w:rPr>
                <w:rFonts w:ascii="宋体" w:hAnsi="宋体" w:eastAsia="宋体" w:cs="仿宋"/>
                <w:bCs/>
                <w:sz w:val="24"/>
                <w:szCs w:val="24"/>
              </w:rPr>
              <w:t>26</w:t>
            </w:r>
          </w:p>
        </w:tc>
        <w:tc>
          <w:tcPr>
            <w:tcW w:w="2520" w:type="dxa"/>
            <w:vAlign w:val="center"/>
          </w:tcPr>
          <w:p>
            <w:pPr>
              <w:spacing w:line="240" w:lineRule="auto"/>
              <w:ind w:firstLine="0" w:firstLineChars="0"/>
              <w:jc w:val="center"/>
              <w:rPr>
                <w:rFonts w:ascii="宋体" w:hAnsi="宋体" w:eastAsia="宋体" w:cs="仿宋"/>
                <w:bCs/>
                <w:sz w:val="24"/>
                <w:szCs w:val="24"/>
              </w:rPr>
            </w:pPr>
            <w:r>
              <w:rPr>
                <w:rFonts w:ascii="宋体" w:hAnsi="宋体" w:eastAsia="宋体" w:cs="仿宋"/>
                <w:bCs/>
                <w:sz w:val="24"/>
                <w:szCs w:val="24"/>
              </w:rPr>
              <w:t>261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分类名称</w:t>
            </w:r>
          </w:p>
        </w:tc>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化工</w:t>
            </w:r>
          </w:p>
        </w:tc>
        <w:tc>
          <w:tcPr>
            <w:tcW w:w="22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化学原料和化学品</w:t>
            </w:r>
          </w:p>
        </w:tc>
        <w:tc>
          <w:tcPr>
            <w:tcW w:w="2520" w:type="dxa"/>
            <w:vAlign w:val="center"/>
          </w:tcPr>
          <w:p>
            <w:pPr>
              <w:spacing w:line="240" w:lineRule="auto"/>
              <w:ind w:firstLine="0" w:firstLineChars="0"/>
              <w:jc w:val="center"/>
              <w:rPr>
                <w:rFonts w:ascii="宋体" w:hAnsi="宋体" w:eastAsia="宋体" w:cs="仿宋"/>
                <w:bCs/>
                <w:sz w:val="24"/>
                <w:szCs w:val="24"/>
              </w:rPr>
            </w:pPr>
            <w:r>
              <w:rPr>
                <w:rFonts w:hint="eastAsia" w:ascii="宋体" w:hAnsi="宋体" w:eastAsia="宋体" w:cs="仿宋"/>
                <w:bCs/>
                <w:sz w:val="24"/>
                <w:szCs w:val="24"/>
              </w:rPr>
              <w:t>氯碱化学原料</w:t>
            </w:r>
          </w:p>
        </w:tc>
      </w:tr>
    </w:tbl>
    <w:p>
      <w:pPr>
        <w:spacing w:beforeLines="100" w:line="594" w:lineRule="exact"/>
        <w:ind w:firstLine="560"/>
        <w:rPr>
          <w:rFonts w:hint="eastAsia" w:ascii="仿宋" w:hAnsi="仿宋" w:eastAsia="仿宋" w:cs="仿宋"/>
          <w:bCs/>
        </w:rPr>
      </w:pPr>
      <w:r>
        <w:rPr>
          <w:rFonts w:hint="eastAsia" w:ascii="仿宋" w:hAnsi="仿宋" w:eastAsia="仿宋" w:cs="仿宋"/>
          <w:bCs/>
        </w:rPr>
        <w:t>2.2产品种类</w:t>
      </w:r>
    </w:p>
    <w:p>
      <w:pPr>
        <w:spacing w:line="594" w:lineRule="exact"/>
        <w:ind w:firstLine="560"/>
        <w:rPr>
          <w:rFonts w:hint="eastAsia" w:ascii="仿宋" w:hAnsi="仿宋" w:eastAsia="仿宋" w:cs="仿宋"/>
        </w:rPr>
      </w:pPr>
      <w:r>
        <w:rPr>
          <w:rFonts w:hint="eastAsia" w:ascii="仿宋" w:hAnsi="仿宋" w:eastAsia="仿宋" w:cs="仿宋"/>
        </w:rPr>
        <w:t>氯碱产品种类包括苛性碱、盐酸、次氯酸盐3大类5种产品。</w:t>
      </w:r>
    </w:p>
    <w:p>
      <w:pPr>
        <w:spacing w:line="594" w:lineRule="exact"/>
        <w:ind w:firstLine="560"/>
        <w:rPr>
          <w:rFonts w:hint="eastAsia" w:ascii="仿宋" w:hAnsi="仿宋" w:eastAsia="仿宋" w:cs="仿宋"/>
        </w:rPr>
      </w:pPr>
      <w:r>
        <w:rPr>
          <w:rFonts w:hint="eastAsia" w:ascii="仿宋" w:hAnsi="仿宋" w:eastAsia="仿宋" w:cs="仿宋"/>
        </w:rPr>
        <w:t>产品形态包括固体、液体和液化气体。</w:t>
      </w:r>
    </w:p>
    <w:p>
      <w:pPr>
        <w:spacing w:line="594" w:lineRule="exact"/>
        <w:ind w:firstLine="560"/>
        <w:rPr>
          <w:rFonts w:hint="eastAsia" w:ascii="仿宋" w:hAnsi="仿宋" w:eastAsia="仿宋" w:cs="仿宋"/>
        </w:rPr>
      </w:pPr>
      <w:r>
        <w:rPr>
          <w:rFonts w:hint="eastAsia" w:ascii="仿宋" w:hAnsi="仿宋" w:eastAsia="仿宋" w:cs="仿宋"/>
        </w:rPr>
        <w:t>产品规格一般分为优等品、一等品和合格品3种，产品单元及产品品种详见表2。</w:t>
      </w:r>
    </w:p>
    <w:p>
      <w:pPr>
        <w:spacing w:line="594" w:lineRule="exact"/>
        <w:ind w:firstLine="0" w:firstLineChars="0"/>
        <w:jc w:val="center"/>
        <w:rPr>
          <w:rFonts w:ascii="宋体" w:hAnsi="宋体" w:eastAsia="宋体" w:cs="仿宋"/>
          <w:sz w:val="21"/>
        </w:rPr>
      </w:pPr>
      <w:r>
        <w:rPr>
          <w:rFonts w:hint="eastAsia" w:ascii="宋体" w:hAnsi="宋体" w:eastAsia="宋体" w:cs="仿宋"/>
          <w:sz w:val="21"/>
        </w:rPr>
        <w:t>表2氯碱产品单元及品种</w:t>
      </w:r>
    </w:p>
    <w:tbl>
      <w:tblPr>
        <w:tblStyle w:val="14"/>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1768"/>
        <w:gridCol w:w="1391"/>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152" w:type="dxa"/>
            <w:vAlign w:val="center"/>
          </w:tcPr>
          <w:p>
            <w:pPr>
              <w:spacing w:line="240" w:lineRule="auto"/>
              <w:ind w:firstLine="0" w:firstLineChars="0"/>
              <w:jc w:val="center"/>
              <w:rPr>
                <w:rFonts w:ascii="宋体" w:hAnsi="宋体" w:eastAsia="宋体" w:cs="仿宋"/>
                <w:bCs/>
                <w:kern w:val="0"/>
                <w:sz w:val="24"/>
                <w:szCs w:val="24"/>
              </w:rPr>
            </w:pPr>
            <w:r>
              <w:rPr>
                <w:rFonts w:hint="eastAsia" w:ascii="宋体" w:hAnsi="宋体" w:eastAsia="宋体" w:cs="仿宋"/>
                <w:bCs/>
                <w:kern w:val="0"/>
                <w:sz w:val="24"/>
                <w:szCs w:val="24"/>
              </w:rPr>
              <w:t>单元序号</w:t>
            </w:r>
          </w:p>
        </w:tc>
        <w:tc>
          <w:tcPr>
            <w:tcW w:w="1768" w:type="dxa"/>
            <w:vAlign w:val="center"/>
          </w:tcPr>
          <w:p>
            <w:pPr>
              <w:spacing w:line="240" w:lineRule="auto"/>
              <w:ind w:firstLine="0" w:firstLineChars="0"/>
              <w:jc w:val="center"/>
              <w:rPr>
                <w:rFonts w:ascii="宋体" w:hAnsi="宋体" w:eastAsia="宋体" w:cs="仿宋"/>
                <w:bCs/>
                <w:kern w:val="0"/>
                <w:sz w:val="24"/>
                <w:szCs w:val="24"/>
              </w:rPr>
            </w:pPr>
            <w:r>
              <w:rPr>
                <w:rFonts w:hint="eastAsia" w:ascii="宋体" w:hAnsi="宋体" w:eastAsia="宋体" w:cs="仿宋"/>
                <w:bCs/>
                <w:kern w:val="0"/>
                <w:sz w:val="24"/>
                <w:szCs w:val="24"/>
              </w:rPr>
              <w:t>产品单元</w:t>
            </w:r>
          </w:p>
        </w:tc>
        <w:tc>
          <w:tcPr>
            <w:tcW w:w="1391" w:type="dxa"/>
            <w:vAlign w:val="center"/>
          </w:tcPr>
          <w:p>
            <w:pPr>
              <w:spacing w:line="240" w:lineRule="auto"/>
              <w:ind w:firstLine="0" w:firstLineChars="0"/>
              <w:jc w:val="center"/>
              <w:rPr>
                <w:rFonts w:ascii="宋体" w:hAnsi="宋体" w:eastAsia="宋体" w:cs="仿宋"/>
                <w:bCs/>
                <w:kern w:val="0"/>
                <w:sz w:val="24"/>
                <w:szCs w:val="24"/>
              </w:rPr>
            </w:pPr>
            <w:r>
              <w:rPr>
                <w:rFonts w:hint="eastAsia" w:ascii="宋体" w:hAnsi="宋体" w:eastAsia="宋体" w:cs="仿宋"/>
                <w:bCs/>
                <w:kern w:val="0"/>
                <w:sz w:val="24"/>
                <w:szCs w:val="24"/>
              </w:rPr>
              <w:t>品种序号</w:t>
            </w:r>
          </w:p>
        </w:tc>
        <w:tc>
          <w:tcPr>
            <w:tcW w:w="3633" w:type="dxa"/>
            <w:vAlign w:val="center"/>
          </w:tcPr>
          <w:p>
            <w:pPr>
              <w:spacing w:line="240" w:lineRule="auto"/>
              <w:ind w:firstLine="0" w:firstLineChars="0"/>
              <w:jc w:val="center"/>
              <w:rPr>
                <w:rFonts w:ascii="宋体" w:hAnsi="宋体" w:eastAsia="宋体" w:cs="仿宋"/>
                <w:bCs/>
                <w:kern w:val="0"/>
                <w:sz w:val="24"/>
                <w:szCs w:val="24"/>
              </w:rPr>
            </w:pPr>
            <w:r>
              <w:rPr>
                <w:rFonts w:hint="eastAsia" w:ascii="宋体" w:hAnsi="宋体" w:eastAsia="宋体" w:cs="仿宋"/>
                <w:bCs/>
                <w:kern w:val="0"/>
                <w:sz w:val="24"/>
                <w:szCs w:val="24"/>
              </w:rPr>
              <w:t>产品品种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2"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1</w:t>
            </w:r>
          </w:p>
        </w:tc>
        <w:tc>
          <w:tcPr>
            <w:tcW w:w="1768"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苛性碱</w:t>
            </w:r>
          </w:p>
        </w:tc>
        <w:tc>
          <w:tcPr>
            <w:tcW w:w="1391"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1</w:t>
            </w:r>
          </w:p>
        </w:tc>
        <w:tc>
          <w:tcPr>
            <w:tcW w:w="3633"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工业用氢氧化钠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2" w:type="dxa"/>
            <w:vMerge w:val="restart"/>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2</w:t>
            </w:r>
          </w:p>
        </w:tc>
        <w:tc>
          <w:tcPr>
            <w:tcW w:w="1768" w:type="dxa"/>
            <w:vMerge w:val="restart"/>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盐酸</w:t>
            </w:r>
          </w:p>
        </w:tc>
        <w:tc>
          <w:tcPr>
            <w:tcW w:w="1391"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2</w:t>
            </w:r>
          </w:p>
        </w:tc>
        <w:tc>
          <w:tcPr>
            <w:tcW w:w="3633"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工业用合成盐酸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2" w:type="dxa"/>
            <w:vMerge w:val="continue"/>
            <w:vAlign w:val="center"/>
          </w:tcPr>
          <w:p>
            <w:pPr>
              <w:spacing w:line="240" w:lineRule="auto"/>
              <w:ind w:firstLine="0" w:firstLineChars="0"/>
              <w:jc w:val="center"/>
              <w:rPr>
                <w:rFonts w:ascii="宋体" w:hAnsi="宋体" w:eastAsia="宋体" w:cs="仿宋"/>
                <w:kern w:val="0"/>
                <w:sz w:val="24"/>
                <w:szCs w:val="24"/>
              </w:rPr>
            </w:pPr>
          </w:p>
        </w:tc>
        <w:tc>
          <w:tcPr>
            <w:tcW w:w="1768" w:type="dxa"/>
            <w:vMerge w:val="continue"/>
            <w:vAlign w:val="center"/>
          </w:tcPr>
          <w:p>
            <w:pPr>
              <w:spacing w:line="240" w:lineRule="auto"/>
              <w:ind w:firstLine="0" w:firstLineChars="0"/>
              <w:jc w:val="center"/>
              <w:rPr>
                <w:rFonts w:ascii="宋体" w:hAnsi="宋体" w:eastAsia="宋体" w:cs="仿宋"/>
                <w:kern w:val="0"/>
                <w:sz w:val="24"/>
                <w:szCs w:val="24"/>
              </w:rPr>
            </w:pPr>
          </w:p>
        </w:tc>
        <w:tc>
          <w:tcPr>
            <w:tcW w:w="1391"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3</w:t>
            </w:r>
          </w:p>
        </w:tc>
        <w:tc>
          <w:tcPr>
            <w:tcW w:w="3633"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副产盐酸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2"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3</w:t>
            </w:r>
          </w:p>
        </w:tc>
        <w:tc>
          <w:tcPr>
            <w:tcW w:w="1768"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次氯酸盐</w:t>
            </w:r>
          </w:p>
        </w:tc>
        <w:tc>
          <w:tcPr>
            <w:tcW w:w="1391"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4</w:t>
            </w:r>
          </w:p>
        </w:tc>
        <w:tc>
          <w:tcPr>
            <w:tcW w:w="3633" w:type="dxa"/>
            <w:vAlign w:val="center"/>
          </w:tcPr>
          <w:p>
            <w:pPr>
              <w:spacing w:line="240" w:lineRule="auto"/>
              <w:ind w:firstLine="0" w:firstLineChars="0"/>
              <w:jc w:val="center"/>
              <w:rPr>
                <w:rFonts w:ascii="宋体" w:hAnsi="宋体" w:eastAsia="宋体" w:cs="仿宋"/>
                <w:kern w:val="0"/>
                <w:sz w:val="24"/>
                <w:szCs w:val="24"/>
              </w:rPr>
            </w:pPr>
            <w:r>
              <w:rPr>
                <w:rFonts w:hint="eastAsia" w:ascii="宋体" w:hAnsi="宋体" w:eastAsia="宋体" w:cs="仿宋"/>
                <w:kern w:val="0"/>
                <w:sz w:val="24"/>
                <w:szCs w:val="24"/>
              </w:rPr>
              <w:t>次氯酸钠</w:t>
            </w:r>
          </w:p>
        </w:tc>
      </w:tr>
    </w:tbl>
    <w:p>
      <w:pPr>
        <w:spacing w:line="594" w:lineRule="exact"/>
        <w:ind w:firstLine="560"/>
        <w:rPr>
          <w:rFonts w:hint="eastAsia" w:ascii="仿宋" w:hAnsi="仿宋" w:eastAsia="仿宋" w:cs="仿宋"/>
          <w:bCs/>
        </w:rPr>
      </w:pPr>
      <w:r>
        <w:rPr>
          <w:rFonts w:hint="eastAsia" w:ascii="仿宋" w:hAnsi="仿宋" w:eastAsia="仿宋" w:cs="仿宋"/>
          <w:bCs/>
        </w:rPr>
        <w:t>2.3 术语和定义</w:t>
      </w:r>
    </w:p>
    <w:p>
      <w:pPr>
        <w:spacing w:line="594" w:lineRule="exact"/>
        <w:ind w:firstLine="560"/>
        <w:rPr>
          <w:rFonts w:hint="eastAsia" w:ascii="仿宋" w:hAnsi="仿宋" w:eastAsia="仿宋" w:cs="仿宋"/>
          <w:bCs/>
        </w:rPr>
      </w:pPr>
      <w:r>
        <w:rPr>
          <w:rFonts w:hint="eastAsia" w:ascii="仿宋" w:hAnsi="仿宋" w:eastAsia="仿宋" w:cs="仿宋"/>
          <w:bCs/>
        </w:rPr>
        <w:t>下列术语和定义适用于本细则。</w:t>
      </w:r>
    </w:p>
    <w:p>
      <w:pPr>
        <w:spacing w:line="594" w:lineRule="exact"/>
        <w:ind w:firstLine="560"/>
        <w:rPr>
          <w:rFonts w:hint="eastAsia" w:ascii="仿宋" w:hAnsi="仿宋" w:eastAsia="仿宋" w:cs="仿宋"/>
          <w:bCs/>
        </w:rPr>
      </w:pPr>
      <w:r>
        <w:rPr>
          <w:rFonts w:hint="eastAsia" w:ascii="仿宋" w:hAnsi="仿宋" w:eastAsia="仿宋" w:cs="仿宋"/>
          <w:bCs/>
        </w:rPr>
        <w:t>2.3.1危险化学品氯碱产品是指使用饱和</w:t>
      </w:r>
      <w:r>
        <w:rPr>
          <w:rFonts w:hint="eastAsia" w:ascii="仿宋" w:hAnsi="仿宋" w:eastAsia="仿宋" w:cs="仿宋"/>
        </w:rPr>
        <w:fldChar w:fldCharType="begin"/>
      </w:r>
      <w:r>
        <w:rPr>
          <w:rFonts w:hint="eastAsia" w:ascii="仿宋" w:hAnsi="仿宋" w:eastAsia="仿宋" w:cs="仿宋"/>
        </w:rPr>
        <w:instrText xml:space="preserve"> HYPERLINK "http://baike.so.com/doc/776298-821355.html" \t "_blank" </w:instrText>
      </w:r>
      <w:r>
        <w:rPr>
          <w:rFonts w:hint="eastAsia" w:ascii="仿宋" w:hAnsi="仿宋" w:eastAsia="仿宋" w:cs="仿宋"/>
        </w:rPr>
        <w:fldChar w:fldCharType="separate"/>
      </w:r>
      <w:r>
        <w:rPr>
          <w:rFonts w:hint="eastAsia" w:ascii="仿宋" w:hAnsi="仿宋" w:eastAsia="仿宋" w:cs="仿宋"/>
          <w:bCs/>
        </w:rPr>
        <w:t>食盐水</w:t>
      </w:r>
      <w:r>
        <w:rPr>
          <w:rFonts w:hint="eastAsia" w:ascii="仿宋" w:hAnsi="仿宋" w:eastAsia="仿宋" w:cs="仿宋"/>
          <w:bCs/>
        </w:rPr>
        <w:fldChar w:fldCharType="end"/>
      </w:r>
      <w:r>
        <w:rPr>
          <w:rFonts w:hint="eastAsia" w:ascii="仿宋" w:hAnsi="仿宋" w:eastAsia="仿宋" w:cs="仿宋"/>
          <w:bCs/>
        </w:rPr>
        <w:t>制</w:t>
      </w:r>
      <w:r>
        <w:rPr>
          <w:rFonts w:hint="eastAsia" w:ascii="仿宋" w:hAnsi="仿宋" w:eastAsia="仿宋" w:cs="仿宋"/>
        </w:rPr>
        <w:fldChar w:fldCharType="begin"/>
      </w:r>
      <w:r>
        <w:rPr>
          <w:rFonts w:hint="eastAsia" w:ascii="仿宋" w:hAnsi="仿宋" w:eastAsia="仿宋" w:cs="仿宋"/>
        </w:rPr>
        <w:instrText xml:space="preserve"> HYPERLINK "http://baike.so.com/doc/6840103-7057377.html" \t "_blank" </w:instrText>
      </w:r>
      <w:r>
        <w:rPr>
          <w:rFonts w:hint="eastAsia" w:ascii="仿宋" w:hAnsi="仿宋" w:eastAsia="仿宋" w:cs="仿宋"/>
        </w:rPr>
        <w:fldChar w:fldCharType="separate"/>
      </w:r>
      <w:r>
        <w:rPr>
          <w:rFonts w:hint="eastAsia" w:ascii="仿宋" w:hAnsi="仿宋" w:eastAsia="仿宋" w:cs="仿宋"/>
          <w:bCs/>
        </w:rPr>
        <w:t>氯气</w:t>
      </w:r>
      <w:r>
        <w:rPr>
          <w:rFonts w:hint="eastAsia" w:ascii="仿宋" w:hAnsi="仿宋" w:eastAsia="仿宋" w:cs="仿宋"/>
          <w:bCs/>
        </w:rPr>
        <w:fldChar w:fldCharType="end"/>
      </w:r>
      <w:r>
        <w:rPr>
          <w:rFonts w:hint="eastAsia" w:ascii="仿宋" w:hAnsi="仿宋" w:eastAsia="仿宋" w:cs="仿宋"/>
          <w:bCs/>
        </w:rPr>
        <w:t>氢气烧碱的方法。工业上用电解饱和NaCl（KCl）溶液的方法来制取NaOH(KOH)、Cl2和H2，以及它们为原料生产一系列化工产品，称为氯碱产品。本细则所指危化品氯碱产品为列入应急管理部颁发的《危险化学品目录》上的氯碱化工产品，为工业产品生产许可证发证产品。</w:t>
      </w:r>
    </w:p>
    <w:p>
      <w:pPr>
        <w:spacing w:line="594" w:lineRule="exact"/>
        <w:ind w:firstLine="560"/>
        <w:rPr>
          <w:rFonts w:hint="eastAsia" w:ascii="仿宋" w:hAnsi="仿宋" w:eastAsia="仿宋" w:cs="仿宋"/>
          <w:bCs/>
        </w:rPr>
      </w:pPr>
      <w:r>
        <w:rPr>
          <w:rFonts w:hint="eastAsia" w:ascii="仿宋" w:hAnsi="仿宋" w:eastAsia="仿宋" w:cs="仿宋"/>
          <w:bCs/>
        </w:rPr>
        <w:t>2.3.2 其他</w:t>
      </w:r>
    </w:p>
    <w:p>
      <w:pPr>
        <w:spacing w:line="594" w:lineRule="exact"/>
        <w:ind w:firstLine="560"/>
        <w:rPr>
          <w:rFonts w:hint="eastAsia" w:ascii="仿宋" w:hAnsi="仿宋" w:eastAsia="仿宋" w:cs="仿宋"/>
          <w:bCs/>
        </w:rPr>
      </w:pPr>
      <w:r>
        <w:rPr>
          <w:rFonts w:hint="eastAsia" w:ascii="仿宋" w:hAnsi="仿宋" w:eastAsia="仿宋" w:cs="仿宋"/>
          <w:bCs/>
        </w:rPr>
        <w:t>其他术语和定义见相应产品标准规定。</w:t>
      </w:r>
    </w:p>
    <w:p>
      <w:pPr>
        <w:spacing w:line="594" w:lineRule="exact"/>
        <w:ind w:firstLine="560"/>
        <w:rPr>
          <w:rFonts w:hint="eastAsia" w:ascii="仿宋" w:hAnsi="仿宋" w:eastAsia="仿宋" w:cs="仿宋"/>
          <w:b/>
          <w:bCs w:val="0"/>
        </w:rPr>
      </w:pPr>
      <w:r>
        <w:rPr>
          <w:rFonts w:hint="eastAsia" w:ascii="仿宋" w:hAnsi="仿宋" w:eastAsia="仿宋" w:cs="仿宋"/>
          <w:b/>
          <w:bCs w:val="0"/>
        </w:rPr>
        <w:t>3生产企业规模划分</w:t>
      </w:r>
    </w:p>
    <w:p>
      <w:pPr>
        <w:spacing w:line="594" w:lineRule="exact"/>
        <w:ind w:firstLine="560"/>
        <w:rPr>
          <w:rFonts w:hint="eastAsia" w:ascii="仿宋" w:hAnsi="仿宋" w:eastAsia="仿宋" w:cs="仿宋"/>
          <w:bCs/>
        </w:rPr>
      </w:pPr>
      <w:r>
        <w:rPr>
          <w:rFonts w:hint="eastAsia" w:ascii="仿宋" w:hAnsi="仿宋" w:eastAsia="仿宋" w:cs="仿宋"/>
          <w:bCs/>
        </w:rPr>
        <w:t>根据国家统计局印发的相关管理办法，确定企业规模。</w:t>
      </w:r>
    </w:p>
    <w:p>
      <w:pPr>
        <w:spacing w:line="594" w:lineRule="exact"/>
        <w:ind w:firstLine="560"/>
        <w:rPr>
          <w:rFonts w:hint="eastAsia" w:ascii="仿宋" w:hAnsi="仿宋" w:eastAsia="仿宋" w:cs="仿宋"/>
          <w:b/>
          <w:bCs w:val="0"/>
        </w:rPr>
      </w:pPr>
      <w:r>
        <w:rPr>
          <w:rFonts w:hint="eastAsia" w:ascii="仿宋" w:hAnsi="仿宋" w:eastAsia="仿宋" w:cs="仿宋"/>
          <w:b/>
          <w:bCs w:val="0"/>
        </w:rPr>
        <w:t>4 检验依据</w:t>
      </w:r>
    </w:p>
    <w:p>
      <w:pPr>
        <w:spacing w:line="594" w:lineRule="exact"/>
        <w:ind w:firstLine="560"/>
        <w:rPr>
          <w:rFonts w:hint="eastAsia" w:ascii="仿宋" w:hAnsi="仿宋" w:eastAsia="仿宋" w:cs="仿宋"/>
          <w:bCs/>
        </w:rPr>
      </w:pPr>
      <w:r>
        <w:rPr>
          <w:rFonts w:hint="eastAsia" w:ascii="仿宋" w:hAnsi="仿宋" w:eastAsia="仿宋" w:cs="仿宋"/>
          <w:bCs/>
        </w:rPr>
        <w:t>下列文件凡是注明日期的，其随后所有的修改单或修订版均不适用于本细则。凡是不注明日期的，其最新版本适用于本细则。氯碱产品执行标准和相关标准详见表3。</w:t>
      </w:r>
    </w:p>
    <w:p>
      <w:pPr>
        <w:spacing w:line="594" w:lineRule="exact"/>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表3 氯碱产品执行标准和相关标准</w:t>
      </w:r>
    </w:p>
    <w:tbl>
      <w:tblPr>
        <w:tblStyle w:val="14"/>
        <w:tblW w:w="8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124"/>
        <w:gridCol w:w="1449"/>
        <w:gridCol w:w="3402"/>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Align w:val="center"/>
          </w:tcPr>
          <w:p>
            <w:pPr>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产品</w:t>
            </w:r>
          </w:p>
          <w:p>
            <w:pPr>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单元</w:t>
            </w:r>
          </w:p>
        </w:tc>
        <w:tc>
          <w:tcPr>
            <w:tcW w:w="1124" w:type="dxa"/>
            <w:vAlign w:val="center"/>
          </w:tcPr>
          <w:p>
            <w:pPr>
              <w:widowControl/>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产品标准名称</w:t>
            </w:r>
          </w:p>
        </w:tc>
        <w:tc>
          <w:tcPr>
            <w:tcW w:w="1449" w:type="dxa"/>
            <w:vAlign w:val="center"/>
          </w:tcPr>
          <w:p>
            <w:pPr>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产品标准号</w:t>
            </w:r>
          </w:p>
        </w:tc>
        <w:tc>
          <w:tcPr>
            <w:tcW w:w="3402" w:type="dxa"/>
            <w:vAlign w:val="center"/>
          </w:tcPr>
          <w:p>
            <w:pPr>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相关标准名称</w:t>
            </w:r>
          </w:p>
        </w:tc>
        <w:tc>
          <w:tcPr>
            <w:tcW w:w="2190" w:type="dxa"/>
            <w:vAlign w:val="center"/>
          </w:tcPr>
          <w:p>
            <w:pPr>
              <w:spacing w:line="240" w:lineRule="auto"/>
              <w:ind w:firstLine="0" w:firstLineChars="0"/>
              <w:jc w:val="center"/>
              <w:rPr>
                <w:rFonts w:hint="eastAsia" w:ascii="仿宋_GB2312" w:hAnsi="宋体" w:eastAsia="仿宋_GB2312" w:cs="仿宋"/>
                <w:bCs/>
                <w:kern w:val="0"/>
                <w:sz w:val="24"/>
                <w:szCs w:val="24"/>
              </w:rPr>
            </w:pPr>
            <w:r>
              <w:rPr>
                <w:rFonts w:hint="eastAsia" w:ascii="仿宋_GB2312" w:hAnsi="宋体" w:eastAsia="仿宋_GB2312" w:cs="仿宋"/>
                <w:bCs/>
                <w:kern w:val="0"/>
                <w:sz w:val="24"/>
                <w:szCs w:val="24"/>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restart"/>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苛性碱</w:t>
            </w:r>
          </w:p>
        </w:tc>
        <w:tc>
          <w:tcPr>
            <w:tcW w:w="1124" w:type="dxa"/>
            <w:vMerge w:val="restart"/>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工业用氢氧化钠</w:t>
            </w:r>
          </w:p>
        </w:tc>
        <w:tc>
          <w:tcPr>
            <w:tcW w:w="1449" w:type="dxa"/>
            <w:vMerge w:val="restart"/>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209-2018</w:t>
            </w: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工业用氢氧化钠中氢氧化钠和碳酸钠含量的测定</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4348.1-2013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124"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44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工业用氢氧化钠 氯化钠含量的测定 汞量法</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4348.2-2014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124"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44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工业用氢氧化钠 铁含量的测定 1,10－菲</w:t>
            </w:r>
            <w:r>
              <w:rPr>
                <w:rFonts w:hint="eastAsia" w:ascii="仿宋_GB2312" w:hAnsi="宋体" w:eastAsia="宋体" w:cs="仿宋"/>
                <w:kern w:val="0"/>
                <w:sz w:val="24"/>
                <w:szCs w:val="24"/>
              </w:rPr>
              <w:t>啰</w:t>
            </w:r>
            <w:r>
              <w:rPr>
                <w:rFonts w:hint="eastAsia" w:ascii="仿宋_GB2312" w:hAnsi="宋体" w:eastAsia="仿宋_GB2312" w:cs="仿宋"/>
                <w:kern w:val="0"/>
                <w:sz w:val="24"/>
                <w:szCs w:val="24"/>
              </w:rPr>
              <w:t>啉分光光度法</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4348.3-2012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124"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44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工业用氢氧化钠 碳酸盐含量的测定 滴定法</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7698-2014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124"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44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化纤用氢氧化钠 氯化钠含量的测定 分光光度法</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11213.2-2007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restart"/>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盐酸</w:t>
            </w:r>
          </w:p>
        </w:tc>
        <w:tc>
          <w:tcPr>
            <w:tcW w:w="1124"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工业用合成盐酸</w:t>
            </w:r>
          </w:p>
        </w:tc>
        <w:tc>
          <w:tcPr>
            <w:tcW w:w="1449"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GB/T320-2006</w:t>
            </w: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Merge w:val="continue"/>
            <w:vAlign w:val="center"/>
          </w:tcPr>
          <w:p>
            <w:pPr>
              <w:spacing w:line="240" w:lineRule="auto"/>
              <w:ind w:firstLine="0" w:firstLineChars="0"/>
              <w:jc w:val="center"/>
              <w:rPr>
                <w:rFonts w:hint="eastAsia" w:ascii="仿宋_GB2312" w:hAnsi="宋体" w:eastAsia="仿宋_GB2312" w:cs="仿宋"/>
                <w:kern w:val="0"/>
                <w:sz w:val="24"/>
                <w:szCs w:val="24"/>
              </w:rPr>
            </w:pPr>
          </w:p>
        </w:tc>
        <w:tc>
          <w:tcPr>
            <w:tcW w:w="1124"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副产盐酸</w:t>
            </w:r>
          </w:p>
        </w:tc>
        <w:tc>
          <w:tcPr>
            <w:tcW w:w="1449"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HG/T3783-2021</w:t>
            </w:r>
          </w:p>
        </w:tc>
        <w:tc>
          <w:tcPr>
            <w:tcW w:w="3402"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工业用合成盐酸</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320-2006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9"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次氯酸盐</w:t>
            </w:r>
          </w:p>
        </w:tc>
        <w:tc>
          <w:tcPr>
            <w:tcW w:w="1124"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次氯酸钠</w:t>
            </w:r>
          </w:p>
        </w:tc>
        <w:tc>
          <w:tcPr>
            <w:tcW w:w="1449"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19106-2013</w:t>
            </w:r>
          </w:p>
        </w:tc>
        <w:tc>
          <w:tcPr>
            <w:tcW w:w="3402" w:type="dxa"/>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kern w:val="0"/>
                <w:sz w:val="24"/>
                <w:szCs w:val="24"/>
              </w:rPr>
              <w:t>次氯酸钠溶液包装要求</w:t>
            </w:r>
          </w:p>
        </w:tc>
        <w:tc>
          <w:tcPr>
            <w:tcW w:w="2190" w:type="dxa"/>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19107-2003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74" w:type="dxa"/>
            <w:gridSpan w:val="5"/>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危险化学品（氯碱）产品生产许可证实施细则；</w:t>
            </w:r>
          </w:p>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相关的法律法规、部门规章和规范；</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sz w:val="24"/>
                <w:szCs w:val="24"/>
              </w:rPr>
              <w:t>现行有效的企业标准及产品明示质量要求。</w:t>
            </w:r>
          </w:p>
        </w:tc>
      </w:tr>
    </w:tbl>
    <w:p>
      <w:pPr>
        <w:spacing w:line="594" w:lineRule="exact"/>
        <w:ind w:firstLine="560"/>
        <w:rPr>
          <w:rFonts w:ascii="仿宋_GB2312" w:hAnsi="仿宋" w:eastAsia="仿宋_GB2312" w:cs="仿宋"/>
          <w:b/>
          <w:bCs w:val="0"/>
        </w:rPr>
      </w:pPr>
      <w:r>
        <w:rPr>
          <w:rFonts w:hint="eastAsia" w:ascii="仿宋_GB2312" w:hAnsi="仿宋" w:eastAsia="仿宋_GB2312" w:cs="仿宋"/>
          <w:b/>
          <w:bCs w:val="0"/>
        </w:rPr>
        <w:t>5 抽样</w:t>
      </w:r>
    </w:p>
    <w:p>
      <w:pPr>
        <w:spacing w:line="594" w:lineRule="exact"/>
        <w:ind w:firstLine="560"/>
        <w:rPr>
          <w:rFonts w:hint="eastAsia" w:ascii="仿宋" w:hAnsi="仿宋" w:eastAsia="仿宋" w:cs="仿宋"/>
          <w:bCs/>
        </w:rPr>
      </w:pPr>
      <w:r>
        <w:rPr>
          <w:rFonts w:hint="eastAsia" w:ascii="仿宋" w:hAnsi="仿宋" w:eastAsia="仿宋" w:cs="仿宋"/>
          <w:bCs/>
        </w:rPr>
        <w:t>5.1 抽样型号或规格、品种</w:t>
      </w:r>
    </w:p>
    <w:p>
      <w:pPr>
        <w:spacing w:line="594" w:lineRule="exact"/>
        <w:ind w:firstLine="560"/>
        <w:rPr>
          <w:rFonts w:hint="eastAsia" w:ascii="仿宋" w:hAnsi="仿宋" w:eastAsia="仿宋" w:cs="仿宋"/>
          <w:bCs/>
        </w:rPr>
      </w:pPr>
      <w:r>
        <w:rPr>
          <w:rFonts w:hint="eastAsia" w:ascii="仿宋" w:hAnsi="仿宋" w:eastAsia="仿宋" w:cs="仿宋"/>
          <w:bCs/>
        </w:rPr>
        <w:t>按照获证企业生产产品类型，每个类型分别抽取样品。</w:t>
      </w:r>
    </w:p>
    <w:p>
      <w:pPr>
        <w:spacing w:line="594" w:lineRule="exact"/>
        <w:ind w:firstLine="560"/>
        <w:rPr>
          <w:rFonts w:hint="eastAsia" w:ascii="仿宋" w:hAnsi="仿宋" w:eastAsia="仿宋" w:cs="仿宋"/>
          <w:bCs/>
        </w:rPr>
      </w:pPr>
      <w:r>
        <w:rPr>
          <w:rFonts w:hint="eastAsia" w:ascii="仿宋" w:hAnsi="仿宋" w:eastAsia="仿宋" w:cs="仿宋"/>
          <w:bCs/>
        </w:rPr>
        <w:t>企业如生产同一产品品种的不同规格产品时，同一品种抽取生产的最高规格的样品。</w:t>
      </w:r>
    </w:p>
    <w:p>
      <w:pPr>
        <w:spacing w:line="594" w:lineRule="exact"/>
        <w:ind w:firstLine="560"/>
        <w:rPr>
          <w:rFonts w:hint="eastAsia" w:ascii="仿宋" w:hAnsi="仿宋" w:eastAsia="仿宋" w:cs="仿宋"/>
          <w:bCs/>
        </w:rPr>
      </w:pPr>
      <w:r>
        <w:rPr>
          <w:rFonts w:hint="eastAsia" w:ascii="仿宋" w:hAnsi="仿宋" w:eastAsia="仿宋" w:cs="仿宋"/>
          <w:bCs/>
        </w:rPr>
        <w:t>5.2抽样方法、抽样基数及抽样数量</w:t>
      </w:r>
    </w:p>
    <w:p>
      <w:pPr>
        <w:spacing w:line="594" w:lineRule="exact"/>
        <w:ind w:firstLine="560"/>
        <w:rPr>
          <w:rFonts w:hint="eastAsia" w:ascii="仿宋" w:hAnsi="仿宋" w:eastAsia="仿宋" w:cs="仿宋"/>
          <w:bCs/>
        </w:rPr>
      </w:pPr>
      <w:r>
        <w:rPr>
          <w:rFonts w:hint="eastAsia" w:ascii="仿宋" w:hAnsi="仿宋" w:eastAsia="仿宋" w:cs="仿宋"/>
          <w:bCs/>
        </w:rPr>
        <w:t>5.2.1抽样方法</w:t>
      </w:r>
    </w:p>
    <w:p>
      <w:pPr>
        <w:spacing w:line="594" w:lineRule="exact"/>
        <w:ind w:firstLine="560"/>
        <w:rPr>
          <w:rFonts w:hint="eastAsia" w:ascii="仿宋" w:hAnsi="仿宋" w:eastAsia="仿宋" w:cs="仿宋"/>
          <w:bCs/>
        </w:rPr>
      </w:pPr>
      <w:r>
        <w:rPr>
          <w:rFonts w:hint="eastAsia" w:ascii="仿宋" w:hAnsi="仿宋" w:eastAsia="仿宋" w:cs="仿宋"/>
          <w:bCs/>
        </w:rPr>
        <w:t>抽样应在生产企业成品贮罐或仓库内进行抽取。原则上应抽取最高等级的样品。</w:t>
      </w:r>
    </w:p>
    <w:p>
      <w:pPr>
        <w:spacing w:line="594" w:lineRule="exact"/>
        <w:ind w:firstLine="560"/>
        <w:rPr>
          <w:rFonts w:hint="eastAsia" w:ascii="仿宋" w:hAnsi="仿宋" w:eastAsia="仿宋" w:cs="仿宋"/>
          <w:bCs/>
        </w:rPr>
      </w:pPr>
      <w:r>
        <w:rPr>
          <w:rFonts w:hint="eastAsia" w:ascii="仿宋" w:hAnsi="仿宋" w:eastAsia="仿宋" w:cs="仿宋"/>
          <w:bCs/>
        </w:rPr>
        <w:t>样品应自抽样之日止前12个月内生产的企业自检合格的产品中抽取,抽样时，应有被检企业代表现场确认。不同生产场所应当分别抽取样品。</w:t>
      </w:r>
    </w:p>
    <w:p>
      <w:pPr>
        <w:spacing w:line="594" w:lineRule="exact"/>
        <w:ind w:firstLine="560"/>
        <w:rPr>
          <w:rFonts w:hint="eastAsia" w:ascii="仿宋" w:hAnsi="仿宋" w:eastAsia="仿宋" w:cs="仿宋"/>
          <w:bCs/>
        </w:rPr>
      </w:pPr>
      <w:r>
        <w:rPr>
          <w:rFonts w:hint="eastAsia" w:ascii="仿宋" w:hAnsi="仿宋" w:eastAsia="仿宋" w:cs="仿宋"/>
          <w:bCs/>
        </w:rPr>
        <w:t>根据相关产品标准的规定，并按GB/T 6678-2003《化工产品采样总则》、GB/T 6679-2003《固体化工产品采样通则》、GB/T 6680-2003《液体化工产品采样通则》进行随机抽样。</w:t>
      </w:r>
    </w:p>
    <w:p>
      <w:pPr>
        <w:spacing w:line="594" w:lineRule="exact"/>
        <w:ind w:firstLine="560"/>
        <w:rPr>
          <w:rFonts w:hint="eastAsia" w:ascii="仿宋" w:hAnsi="仿宋" w:eastAsia="仿宋" w:cs="仿宋"/>
          <w:bCs/>
        </w:rPr>
      </w:pPr>
      <w:r>
        <w:rPr>
          <w:rFonts w:hint="eastAsia" w:ascii="仿宋" w:hAnsi="仿宋" w:eastAsia="仿宋" w:cs="仿宋"/>
          <w:bCs/>
        </w:rPr>
        <w:t>5.2.2抽样基数</w:t>
      </w:r>
    </w:p>
    <w:p>
      <w:pPr>
        <w:spacing w:line="594" w:lineRule="exact"/>
        <w:ind w:firstLine="560"/>
        <w:rPr>
          <w:rFonts w:hint="eastAsia" w:ascii="仿宋" w:hAnsi="仿宋" w:eastAsia="仿宋" w:cs="仿宋"/>
          <w:bCs/>
        </w:rPr>
      </w:pPr>
      <w:r>
        <w:rPr>
          <w:rFonts w:hint="eastAsia" w:ascii="仿宋" w:hAnsi="仿宋" w:eastAsia="仿宋" w:cs="仿宋"/>
          <w:bCs/>
        </w:rPr>
        <w:t>按照抽样相关产品标准的规定进行确认。标准无规定的原则上不得少于单批产量的三分之一，连续生产的，不得少于贮罐的三分之一；桶装或袋包装的，总数不得少于50件。</w:t>
      </w:r>
    </w:p>
    <w:p>
      <w:pPr>
        <w:spacing w:line="594" w:lineRule="exact"/>
        <w:ind w:firstLine="560"/>
        <w:rPr>
          <w:rFonts w:hint="eastAsia" w:ascii="仿宋" w:hAnsi="仿宋" w:eastAsia="仿宋" w:cs="仿宋"/>
          <w:bCs/>
        </w:rPr>
      </w:pPr>
      <w:r>
        <w:rPr>
          <w:rFonts w:hint="eastAsia" w:ascii="仿宋" w:hAnsi="仿宋" w:eastAsia="仿宋" w:cs="仿宋"/>
          <w:bCs/>
        </w:rPr>
        <w:t>5.2.3抽样量</w:t>
      </w:r>
    </w:p>
    <w:p>
      <w:pPr>
        <w:spacing w:line="594" w:lineRule="exact"/>
        <w:ind w:firstLine="560"/>
        <w:rPr>
          <w:rFonts w:hint="eastAsia" w:ascii="仿宋" w:hAnsi="仿宋" w:eastAsia="仿宋" w:cs="仿宋"/>
          <w:bCs/>
        </w:rPr>
      </w:pPr>
      <w:r>
        <w:rPr>
          <w:rFonts w:hint="eastAsia" w:ascii="仿宋" w:hAnsi="仿宋" w:eastAsia="仿宋" w:cs="仿宋"/>
          <w:bCs/>
        </w:rPr>
        <w:t>产品标准有规定的，执行标准。产品标准无规定的，将抽取的样品充分混匀后，固体样品至少取500g,储于清洁干燥的广口玻璃瓶或塑料包装物中；液体样品至少取500mL,储于清洁干燥的细口玻璃瓶或塑料包装瓶中。</w:t>
      </w:r>
    </w:p>
    <w:p>
      <w:pPr>
        <w:spacing w:line="594" w:lineRule="exact"/>
        <w:ind w:firstLine="560"/>
        <w:rPr>
          <w:rFonts w:hint="eastAsia" w:ascii="仿宋" w:hAnsi="仿宋" w:eastAsia="仿宋" w:cs="仿宋"/>
          <w:bCs/>
        </w:rPr>
      </w:pPr>
      <w:r>
        <w:rPr>
          <w:rFonts w:hint="eastAsia" w:ascii="仿宋" w:hAnsi="仿宋" w:eastAsia="仿宋" w:cs="仿宋"/>
          <w:bCs/>
        </w:rPr>
        <w:t>本次拟定抽查的5类氯碱产品相关的抽样技术要求，详见表4。</w:t>
      </w:r>
    </w:p>
    <w:p>
      <w:pPr>
        <w:spacing w:line="594" w:lineRule="exact"/>
        <w:ind w:firstLine="0" w:firstLineChars="0"/>
        <w:jc w:val="center"/>
        <w:rPr>
          <w:rFonts w:ascii="宋体" w:hAnsi="宋体" w:eastAsia="宋体" w:cs="仿宋"/>
          <w:sz w:val="24"/>
          <w:szCs w:val="24"/>
        </w:rPr>
      </w:pPr>
      <w:r>
        <w:rPr>
          <w:rFonts w:hint="eastAsia" w:ascii="宋体" w:hAnsi="宋体" w:eastAsia="宋体" w:cs="仿宋"/>
          <w:sz w:val="24"/>
          <w:szCs w:val="24"/>
        </w:rPr>
        <w:t>表4抽查的5类氯碱产品的抽样技术要求</w:t>
      </w:r>
    </w:p>
    <w:tbl>
      <w:tblPr>
        <w:tblStyle w:val="15"/>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985"/>
        <w:gridCol w:w="975"/>
        <w:gridCol w:w="1260"/>
        <w:gridCol w:w="1170"/>
        <w:gridCol w:w="4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序号</w:t>
            </w:r>
          </w:p>
        </w:tc>
        <w:tc>
          <w:tcPr>
            <w:tcW w:w="98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产品</w:t>
            </w:r>
          </w:p>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名称</w:t>
            </w:r>
          </w:p>
        </w:tc>
        <w:tc>
          <w:tcPr>
            <w:tcW w:w="97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采样量</w:t>
            </w:r>
          </w:p>
        </w:tc>
        <w:tc>
          <w:tcPr>
            <w:tcW w:w="126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包装器材</w:t>
            </w:r>
          </w:p>
        </w:tc>
        <w:tc>
          <w:tcPr>
            <w:tcW w:w="117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采样基数</w:t>
            </w:r>
          </w:p>
        </w:tc>
        <w:tc>
          <w:tcPr>
            <w:tcW w:w="474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8" w:type="dxa"/>
            <w:vAlign w:val="center"/>
          </w:tcPr>
          <w:p>
            <w:pPr>
              <w:pStyle w:val="23"/>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98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工业氢氧化钠</w:t>
            </w:r>
          </w:p>
        </w:tc>
        <w:tc>
          <w:tcPr>
            <w:tcW w:w="97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固体500g/液体500ml</w:t>
            </w:r>
          </w:p>
        </w:tc>
        <w:tc>
          <w:tcPr>
            <w:tcW w:w="126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清洁、干燥的聚乙烯瓶或具塞的广口瓶中，密封。</w:t>
            </w:r>
          </w:p>
        </w:tc>
        <w:tc>
          <w:tcPr>
            <w:tcW w:w="117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5t及以上，桶装固碱不少于3桶。</w:t>
            </w:r>
          </w:p>
        </w:tc>
        <w:tc>
          <w:tcPr>
            <w:tcW w:w="474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铁桶包装按单批总桶数的5%随机抽样，小批量时不得少于3桶。顺桶竖接口处剖开桶皮，将氢氧化钠劈开，自上、中、下三处迅速取样，装于清洁、干燥的聚乙烯瓶或具塞的广口瓶中，密封。袋装的固体氢氧化钠产品按GB/T 6678中规定的采样单元数随机抽样，拆开包装袋，宜用GB/T 6679中规定的适宜的采样器和方式迅速采取有代表性的样品，将样品混匀，装于清洁、干燥的聚乙烯瓶或具塞广口瓶中，密封。液体氢氧化钠产品宜用GB/T 6680中规定的适宜的采样器自槽车或贮槽的上、中、下三处采取等量的有代表性的样品，将采取的样品混匀，装于清洁、干燥的聚乙烯瓶或具塞广口瓶中，密封。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8" w:type="dxa"/>
            <w:vAlign w:val="center"/>
          </w:tcPr>
          <w:p>
            <w:pPr>
              <w:pStyle w:val="23"/>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98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工业合成盐酸</w:t>
            </w:r>
          </w:p>
        </w:tc>
        <w:tc>
          <w:tcPr>
            <w:tcW w:w="97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500ml</w:t>
            </w:r>
          </w:p>
        </w:tc>
        <w:tc>
          <w:tcPr>
            <w:tcW w:w="126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清洁、干燥的塑料瓶或具磨口塞的玻璃瓶中，密封。</w:t>
            </w:r>
          </w:p>
        </w:tc>
        <w:tc>
          <w:tcPr>
            <w:tcW w:w="117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5t及以上</w:t>
            </w:r>
          </w:p>
        </w:tc>
        <w:tc>
          <w:tcPr>
            <w:tcW w:w="474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工业用合成盐酸从槽车或贮槽中采样时，宜用GB/T 6680中规定的适宜的耐酸采样器自上、中、下三处采取等量的有体表性的样品。工业用合成盐酸从塑料桶或陶瓷坛中采样时，按GB/T 6678中规定的采样单元随机抽样，拆开包装，宜采用GB/T 6680中规定的适宜的耐酸采样器自上、中、下三处采取等量的有体表性的样品。将采取的样品混匀，装于清洁、干燥的塑料瓶或具磨口塞的玻璃瓶中，密封。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8" w:type="dxa"/>
            <w:vAlign w:val="center"/>
          </w:tcPr>
          <w:p>
            <w:pPr>
              <w:pStyle w:val="23"/>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98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副产盐酸</w:t>
            </w:r>
          </w:p>
        </w:tc>
        <w:tc>
          <w:tcPr>
            <w:tcW w:w="97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500ml</w:t>
            </w:r>
          </w:p>
        </w:tc>
        <w:tc>
          <w:tcPr>
            <w:tcW w:w="126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清洁、干燥、具有磨口塞的玻璃瓶或塑料瓶中，密封。</w:t>
            </w:r>
          </w:p>
        </w:tc>
        <w:tc>
          <w:tcPr>
            <w:tcW w:w="117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5t及以上</w:t>
            </w:r>
          </w:p>
        </w:tc>
        <w:tc>
          <w:tcPr>
            <w:tcW w:w="474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副产盐酸从槽车或贮槽中采样时，宜用GB/T 6680中规定的适宜的耐酸取样器自上、中、下三处采取等量的有体表性的样品。副产盐酸用塑料桶包装时，按GB/T 6678中规定的采样单元随机抽样，拆开包装，宜采用GB/T 6680中规定的适宜的耐酸采样器自上、中、下三处采取等量的有体表性的样品。将采取的样品混匀，分装于两个清洁、干燥、具有磨口塞的玻璃瓶中，密封。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8" w:type="dxa"/>
            <w:vAlign w:val="center"/>
          </w:tcPr>
          <w:p>
            <w:pPr>
              <w:pStyle w:val="23"/>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4</w:t>
            </w:r>
          </w:p>
        </w:tc>
        <w:tc>
          <w:tcPr>
            <w:tcW w:w="98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次氯酸钠</w:t>
            </w:r>
          </w:p>
        </w:tc>
        <w:tc>
          <w:tcPr>
            <w:tcW w:w="97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200ml</w:t>
            </w:r>
          </w:p>
        </w:tc>
        <w:tc>
          <w:tcPr>
            <w:tcW w:w="126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清洁、干燥的带磨口塞的棕色瓶中，密封。</w:t>
            </w:r>
          </w:p>
        </w:tc>
        <w:tc>
          <w:tcPr>
            <w:tcW w:w="1170"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5t及以上或10（袋）桶以上</w:t>
            </w:r>
          </w:p>
        </w:tc>
        <w:tc>
          <w:tcPr>
            <w:tcW w:w="474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次氯酸钠用槽车或贮槽中装运时，用GB/T 6680中规定的耐氧化的采样器，从深度不同的上、中、下三处（上部离液面1/10液层，下部离液体底部1/10液层）采取等量的样品。次氯酸钠从塑料桶、塑料罐和由塑料瓶包装和纤维板箱组成的组合包装（包括瓦楞纸箱）中采样时，应按GB/T 6678中规定的采样单元数，用GB/T 6680中规定的耐氧化的采样器采取样品。将采取的样品混匀，装于清洁、干燥、带磨口塞的棕色瓶中，密封。</w:t>
            </w:r>
          </w:p>
        </w:tc>
      </w:tr>
    </w:tbl>
    <w:p>
      <w:pPr>
        <w:spacing w:line="594" w:lineRule="exact"/>
        <w:ind w:firstLine="560"/>
        <w:rPr>
          <w:rFonts w:hint="eastAsia" w:ascii="仿宋" w:hAnsi="仿宋" w:eastAsia="仿宋" w:cs="仿宋"/>
          <w:bCs/>
        </w:rPr>
      </w:pPr>
      <w:r>
        <w:rPr>
          <w:rFonts w:hint="eastAsia" w:ascii="仿宋" w:hAnsi="仿宋" w:eastAsia="仿宋" w:cs="仿宋"/>
          <w:bCs/>
        </w:rPr>
        <w:t>5.2.3抽样时应注意的问题</w:t>
      </w:r>
    </w:p>
    <w:p>
      <w:pPr>
        <w:spacing w:line="594" w:lineRule="exact"/>
        <w:ind w:firstLine="560"/>
        <w:rPr>
          <w:rFonts w:hint="eastAsia" w:ascii="仿宋" w:hAnsi="仿宋" w:eastAsia="仿宋" w:cs="仿宋"/>
          <w:bCs/>
        </w:rPr>
      </w:pPr>
      <w:r>
        <w:rPr>
          <w:rFonts w:hint="eastAsia" w:ascii="仿宋" w:hAnsi="仿宋" w:eastAsia="仿宋" w:cs="仿宋"/>
          <w:bCs/>
        </w:rPr>
        <w:t>5.2.3.1抽样工作要求</w:t>
      </w:r>
    </w:p>
    <w:p>
      <w:pPr>
        <w:spacing w:line="594" w:lineRule="exact"/>
        <w:ind w:firstLine="560"/>
        <w:rPr>
          <w:rFonts w:hint="eastAsia" w:ascii="仿宋" w:hAnsi="仿宋" w:eastAsia="仿宋" w:cs="仿宋"/>
          <w:bCs/>
        </w:rPr>
      </w:pPr>
      <w:r>
        <w:rPr>
          <w:rFonts w:hint="eastAsia" w:ascii="仿宋" w:hAnsi="仿宋" w:eastAsia="仿宋" w:cs="仿宋"/>
          <w:bCs/>
        </w:rPr>
        <w:t>抽样前应对参与抽查任务的抽样、检验、报告编制等相关人员进行培训，按照相关规定确定抽样人员，并进行分组分工。抽查工作应采取突击抽查方式，不得预先通知企业。抽样时，抽样人员应当认真核实营业执照等被抽查企业的相关信息，按照规定进行抽样、封样和填写抽样单。通过拍照或录像进行现场取证，并将照片或录像保留48个月。对因转产、停产等原因导致无样品可抽的，需在《未抽到样品企业情况说明表》上签字,并应经当地市场监管部门签署意见，有关材料与总结汇总材料一并上报。对无正当理由不配合或者拒绝监督抽查抽样的，应在《产品质量监督抽查企业拒检认定表》上签字，同时需向抽查任务下达部门报告情况。</w:t>
      </w:r>
    </w:p>
    <w:p>
      <w:pPr>
        <w:spacing w:line="594" w:lineRule="exact"/>
        <w:ind w:firstLine="560"/>
        <w:rPr>
          <w:rFonts w:hint="eastAsia" w:ascii="仿宋" w:hAnsi="仿宋" w:eastAsia="仿宋" w:cs="仿宋"/>
          <w:bCs/>
        </w:rPr>
      </w:pPr>
      <w:r>
        <w:rPr>
          <w:rFonts w:hint="eastAsia" w:ascii="仿宋" w:hAnsi="仿宋" w:eastAsia="仿宋" w:cs="仿宋"/>
          <w:bCs/>
        </w:rPr>
        <w:t>5.2.3.2样品交接、核查、盲样制作等工作要求</w:t>
      </w:r>
    </w:p>
    <w:p>
      <w:pPr>
        <w:spacing w:line="594" w:lineRule="exact"/>
        <w:ind w:firstLine="560"/>
        <w:rPr>
          <w:rFonts w:hint="eastAsia" w:ascii="仿宋" w:hAnsi="仿宋" w:eastAsia="仿宋" w:cs="仿宋"/>
          <w:bCs/>
        </w:rPr>
      </w:pPr>
      <w:r>
        <w:rPr>
          <w:rFonts w:hint="eastAsia" w:ascii="仿宋" w:hAnsi="仿宋" w:eastAsia="仿宋" w:cs="仿宋"/>
          <w:bCs/>
        </w:rPr>
        <w:t>严格按照监督抽查的相关规定进行样品的接收、传递及处理等，同时做好样品管理全过程的详细记录以及全部证明材料。接收样品时应当检查、记录样品的外观、状态、封样单有无破损及其他可能对检验结果或者综合判定产生影响的情况，并确认样品与抽样文书的记录是否相符，对检验和备用样品按照盲样制作要求，能够遮盖样品的原生产标识，分别加贴相应样品编号及待检标识后入库，按存放要求妥善保管。将入库后的待检样品按照检验任务通知单分配给相应检验人员。完成检验后，将剩余样品再次交还样品管理人员，并登记入库，并标识为已检样品。监督抽查工作期间，质管部应指定监督员对抽样情况的符合性进行监督。</w:t>
      </w:r>
    </w:p>
    <w:p>
      <w:pPr>
        <w:spacing w:line="594" w:lineRule="exact"/>
        <w:ind w:firstLine="560"/>
        <w:rPr>
          <w:rFonts w:hint="eastAsia" w:ascii="仿宋" w:hAnsi="仿宋" w:eastAsia="仿宋" w:cs="仿宋"/>
          <w:bCs/>
        </w:rPr>
      </w:pPr>
      <w:r>
        <w:rPr>
          <w:rFonts w:hint="eastAsia" w:ascii="仿宋" w:hAnsi="仿宋" w:eastAsia="仿宋" w:cs="仿宋"/>
          <w:bCs/>
        </w:rPr>
        <w:t>5.3 样品处置</w:t>
      </w:r>
    </w:p>
    <w:p>
      <w:pPr>
        <w:spacing w:line="594" w:lineRule="exact"/>
        <w:ind w:firstLine="560"/>
        <w:rPr>
          <w:rFonts w:hint="eastAsia" w:ascii="仿宋" w:hAnsi="仿宋" w:eastAsia="仿宋" w:cs="仿宋"/>
          <w:bCs/>
        </w:rPr>
      </w:pPr>
      <w:r>
        <w:rPr>
          <w:rFonts w:hint="eastAsia" w:ascii="仿宋" w:hAnsi="仿宋" w:eastAsia="仿宋" w:cs="仿宋"/>
          <w:bCs/>
        </w:rPr>
        <w:t>抽样后，对检验样品和备用样品分别包装，样品由抽样人员监督包装，单独封装后加贴封条，在封条上面应加盖抽样单位公章，并由双方人员签字。检验样品由抽样人员自行带回，备用样品存放在企业的成品库。如样品标签上标明特殊储存要求（如避免阳光直射等条件），样品应按要求进行处置，在运输和存放过程应注意防碰、防潮、防压、防晒、防挥发。</w:t>
      </w:r>
    </w:p>
    <w:p>
      <w:pPr>
        <w:spacing w:line="594" w:lineRule="exact"/>
        <w:ind w:firstLine="560"/>
        <w:rPr>
          <w:rFonts w:hint="eastAsia" w:ascii="仿宋" w:hAnsi="仿宋" w:eastAsia="仿宋" w:cs="仿宋"/>
          <w:bCs/>
        </w:rPr>
      </w:pPr>
      <w:r>
        <w:rPr>
          <w:rFonts w:hint="eastAsia" w:ascii="仿宋" w:hAnsi="仿宋" w:eastAsia="仿宋" w:cs="仿宋"/>
          <w:bCs/>
        </w:rPr>
        <w:t>5.4抽样单</w:t>
      </w:r>
    </w:p>
    <w:p>
      <w:pPr>
        <w:spacing w:line="594" w:lineRule="exact"/>
        <w:ind w:firstLine="560"/>
        <w:rPr>
          <w:rFonts w:hint="eastAsia" w:ascii="仿宋" w:hAnsi="仿宋" w:eastAsia="仿宋" w:cs="仿宋"/>
          <w:bCs/>
        </w:rPr>
      </w:pPr>
      <w:r>
        <w:rPr>
          <w:rFonts w:hint="eastAsia" w:ascii="仿宋" w:hAnsi="仿宋" w:eastAsia="仿宋" w:cs="仿宋"/>
          <w:bCs/>
        </w:rPr>
        <w:t>应按有关规定填写抽样单，并记录被抽查产品及企业相关信息。同时记录被抽查企业上一年度生产的产品的销售总额，以万元计；若被抽查企业上一年未生产此类产品，则记录本年度已实际生产此类产品的销售总额。对于产品检测、判定所需的技术参数（如规格）等产品信息，需要被抽企业提供，要在抽样现场获取并记录，并经企业确认据此信息对抽查产品检测、判定，企业对信息准确性负责。抽样单应有抽样人员签字和受检企业负责人的签字盖章。</w:t>
      </w:r>
    </w:p>
    <w:p>
      <w:pPr>
        <w:spacing w:line="594" w:lineRule="exact"/>
        <w:ind w:firstLine="560"/>
        <w:rPr>
          <w:rFonts w:hint="eastAsia" w:ascii="仿宋" w:hAnsi="仿宋" w:eastAsia="仿宋" w:cs="仿宋"/>
          <w:bCs/>
        </w:rPr>
      </w:pPr>
      <w:r>
        <w:rPr>
          <w:rFonts w:hint="eastAsia" w:ascii="仿宋" w:hAnsi="仿宋" w:eastAsia="仿宋" w:cs="仿宋"/>
          <w:bCs/>
        </w:rPr>
        <w:t>如被检产品执行企业标准，抽样时应向企业索要产品所执行的明示的企业标准文本。</w:t>
      </w:r>
    </w:p>
    <w:p>
      <w:pPr>
        <w:spacing w:line="594" w:lineRule="exact"/>
        <w:ind w:firstLine="560"/>
        <w:rPr>
          <w:rFonts w:hint="eastAsia" w:ascii="仿宋" w:hAnsi="仿宋" w:eastAsia="仿宋" w:cs="仿宋"/>
          <w:bCs/>
        </w:rPr>
      </w:pPr>
      <w:r>
        <w:rPr>
          <w:rFonts w:hint="eastAsia" w:ascii="仿宋" w:hAnsi="仿宋" w:eastAsia="仿宋" w:cs="仿宋"/>
          <w:bCs/>
        </w:rPr>
        <w:t>5.5样品购买</w:t>
      </w:r>
    </w:p>
    <w:p>
      <w:pPr>
        <w:spacing w:line="594" w:lineRule="exact"/>
        <w:ind w:firstLine="560"/>
        <w:rPr>
          <w:rFonts w:hint="eastAsia" w:ascii="仿宋" w:hAnsi="仿宋" w:eastAsia="仿宋" w:cs="仿宋"/>
          <w:bCs/>
        </w:rPr>
      </w:pPr>
      <w:r>
        <w:rPr>
          <w:rFonts w:hint="eastAsia" w:ascii="仿宋" w:hAnsi="仿宋" w:eastAsia="仿宋" w:cs="仿宋"/>
          <w:bCs/>
        </w:rPr>
        <w:t>样品获取严格按照《产品质量监督抽查管理暂行办法》（国家市场监督管理总局令第18号）要求执行。样品购买费用由抽样单位支付，受检单位开具发票，抽样单位保留付款凭证，所需费用计入监督抽查经费（“材料费”科目）列支。备用样品可暂不购买，封存于受检单位。</w:t>
      </w:r>
    </w:p>
    <w:p>
      <w:pPr>
        <w:spacing w:line="594" w:lineRule="exact"/>
        <w:ind w:firstLine="560"/>
        <w:rPr>
          <w:rFonts w:hint="eastAsia" w:ascii="仿宋" w:hAnsi="仿宋" w:eastAsia="仿宋" w:cs="仿宋"/>
          <w:bCs/>
        </w:rPr>
      </w:pPr>
      <w:r>
        <w:rPr>
          <w:rFonts w:hint="eastAsia" w:ascii="仿宋" w:hAnsi="仿宋" w:eastAsia="仿宋" w:cs="仿宋"/>
          <w:bCs/>
        </w:rPr>
        <w:t>当需要启用备用样品进行复检时，若备用样品封存在受检单位，由抽样机构支付备用样品购买费用，所需费用计入监督抽查经费列支。</w:t>
      </w:r>
    </w:p>
    <w:p>
      <w:pPr>
        <w:spacing w:line="594" w:lineRule="exact"/>
        <w:ind w:firstLine="560"/>
        <w:rPr>
          <w:rFonts w:ascii="仿宋_GB2312" w:hAnsi="仿宋" w:eastAsia="仿宋_GB2312" w:cs="仿宋"/>
          <w:bCs/>
        </w:rPr>
      </w:pPr>
      <w:r>
        <w:rPr>
          <w:rFonts w:hint="eastAsia" w:ascii="仿宋" w:hAnsi="仿宋" w:eastAsia="仿宋" w:cs="仿宋"/>
          <w:b/>
          <w:bCs w:val="0"/>
        </w:rPr>
        <w:t>6 检验要求</w:t>
      </w:r>
    </w:p>
    <w:p>
      <w:pPr>
        <w:spacing w:line="594" w:lineRule="exact"/>
        <w:ind w:firstLine="560"/>
        <w:rPr>
          <w:rFonts w:hint="eastAsia" w:ascii="仿宋" w:hAnsi="仿宋" w:eastAsia="仿宋" w:cs="仿宋"/>
          <w:bCs/>
        </w:rPr>
      </w:pPr>
      <w:r>
        <w:rPr>
          <w:rFonts w:hint="eastAsia" w:ascii="仿宋" w:hAnsi="仿宋" w:eastAsia="仿宋" w:cs="仿宋"/>
          <w:bCs/>
        </w:rPr>
        <w:t>6.1 检验项目见表5。</w:t>
      </w:r>
    </w:p>
    <w:p>
      <w:pPr>
        <w:snapToGrid w:val="0"/>
        <w:spacing w:line="594" w:lineRule="exact"/>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表5 危险化学品氯碱产品检验项目</w:t>
      </w:r>
    </w:p>
    <w:tbl>
      <w:tblPr>
        <w:tblStyle w:val="14"/>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552"/>
        <w:gridCol w:w="1559"/>
        <w:gridCol w:w="3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产品名称</w:t>
            </w:r>
          </w:p>
        </w:tc>
        <w:tc>
          <w:tcPr>
            <w:tcW w:w="2552"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检验项目</w:t>
            </w:r>
          </w:p>
        </w:tc>
        <w:tc>
          <w:tcPr>
            <w:tcW w:w="155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依据法律法规或标准</w:t>
            </w:r>
          </w:p>
        </w:tc>
        <w:tc>
          <w:tcPr>
            <w:tcW w:w="3438"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次氯酸钠</w:t>
            </w:r>
          </w:p>
        </w:tc>
        <w:tc>
          <w:tcPr>
            <w:tcW w:w="2552"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有效氯</w:t>
            </w:r>
          </w:p>
        </w:tc>
        <w:tc>
          <w:tcPr>
            <w:tcW w:w="155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_GB2312"/>
                <w:sz w:val="24"/>
                <w:szCs w:val="24"/>
              </w:rPr>
              <w:t>GB/T19106-2013</w:t>
            </w: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GB/T19106-2013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游离碱</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GB/T19106-2013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铁</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GB/T19106-2013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重金属</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GB/T19106-2013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砷</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GB/T19106-2013 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副产盐酸</w:t>
            </w: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总酸度</w:t>
            </w:r>
          </w:p>
        </w:tc>
        <w:tc>
          <w:tcPr>
            <w:tcW w:w="155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_GB2312"/>
                <w:bCs/>
                <w:sz w:val="24"/>
                <w:szCs w:val="24"/>
              </w:rPr>
              <w:t>HG/T 3783-2021</w:t>
            </w: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重金属</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HG/T 3783-2005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工业用氢氧化钠</w:t>
            </w: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氢氧化钠质量分数</w:t>
            </w:r>
          </w:p>
        </w:tc>
        <w:tc>
          <w:tcPr>
            <w:tcW w:w="1559" w:type="dxa"/>
            <w:vMerge w:val="restart"/>
            <w:vAlign w:val="center"/>
          </w:tcPr>
          <w:p>
            <w:pPr>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GB/T209-</w:t>
            </w:r>
          </w:p>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_GB2312"/>
                <w:bCs/>
                <w:sz w:val="24"/>
                <w:szCs w:val="24"/>
              </w:rPr>
              <w:t>2018</w:t>
            </w: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 4348.1-2013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碳酸钠的质量分数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 4348.1-2013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氯化钠的质量分数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bCs/>
                <w:sz w:val="24"/>
                <w:szCs w:val="24"/>
              </w:rPr>
              <w:t>GB/T 4348.2-2014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pacing w:val="-20"/>
                <w:sz w:val="24"/>
                <w:szCs w:val="24"/>
              </w:rPr>
              <w:t>三氧化二铁质量分</w:t>
            </w:r>
            <w:r>
              <w:rPr>
                <w:rFonts w:hint="eastAsia" w:ascii="仿宋_GB2312" w:hAnsi="宋体" w:eastAsia="仿宋_GB2312" w:cs="仿宋_GB2312"/>
                <w:bCs/>
                <w:sz w:val="24"/>
                <w:szCs w:val="24"/>
              </w:rPr>
              <w:t>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sz w:val="24"/>
                <w:szCs w:val="24"/>
              </w:rPr>
            </w:pPr>
            <w:r>
              <w:rPr>
                <w:rFonts w:hint="eastAsia" w:ascii="仿宋_GB2312" w:hAnsi="宋体" w:eastAsia="仿宋_GB2312" w:cs="仿宋_GB2312"/>
                <w:bCs/>
                <w:sz w:val="24"/>
                <w:szCs w:val="24"/>
              </w:rPr>
              <w:t>GB/T 4348.3-2012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restart"/>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工业用合成盐酸</w:t>
            </w: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总酸度的质量分数</w:t>
            </w:r>
          </w:p>
        </w:tc>
        <w:tc>
          <w:tcPr>
            <w:tcW w:w="1559" w:type="dxa"/>
            <w:vMerge w:val="restart"/>
            <w:vAlign w:val="center"/>
          </w:tcPr>
          <w:p>
            <w:pPr>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w:t>
            </w:r>
          </w:p>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_GB2312"/>
                <w:bCs/>
                <w:sz w:val="24"/>
                <w:szCs w:val="24"/>
              </w:rPr>
              <w:t>2006</w:t>
            </w: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铁的质量分数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灼烧残渣质量分数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砷的质量分数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 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7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2552"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硫酸盐的质量分数</w:t>
            </w:r>
          </w:p>
        </w:tc>
        <w:tc>
          <w:tcPr>
            <w:tcW w:w="1559" w:type="dxa"/>
            <w:vMerge w:val="continue"/>
            <w:vAlign w:val="center"/>
          </w:tcPr>
          <w:p>
            <w:pPr>
              <w:spacing w:line="240" w:lineRule="auto"/>
              <w:ind w:firstLine="0" w:firstLineChars="0"/>
              <w:jc w:val="center"/>
              <w:rPr>
                <w:rFonts w:hint="eastAsia" w:ascii="仿宋_GB2312" w:hAnsi="宋体" w:eastAsia="仿宋_GB2312" w:cs="仿宋"/>
                <w:sz w:val="24"/>
                <w:szCs w:val="24"/>
              </w:rPr>
            </w:pPr>
          </w:p>
        </w:tc>
        <w:tc>
          <w:tcPr>
            <w:tcW w:w="3438" w:type="dxa"/>
            <w:vAlign w:val="center"/>
          </w:tcPr>
          <w:p>
            <w:pPr>
              <w:adjustRightInd w:val="0"/>
              <w:spacing w:line="240" w:lineRule="auto"/>
              <w:ind w:firstLine="0" w:firstLineChars="0"/>
              <w:jc w:val="center"/>
              <w:rPr>
                <w:rFonts w:hint="eastAsia" w:ascii="仿宋_GB2312" w:hAnsi="宋体" w:eastAsia="仿宋_GB2312" w:cs="仿宋_GB2312"/>
                <w:bCs/>
                <w:sz w:val="24"/>
                <w:szCs w:val="24"/>
              </w:rPr>
            </w:pPr>
            <w:r>
              <w:rPr>
                <w:rFonts w:hint="eastAsia" w:ascii="仿宋_GB2312" w:hAnsi="宋体" w:eastAsia="仿宋_GB2312" w:cs="仿宋_GB2312"/>
                <w:bCs/>
                <w:sz w:val="24"/>
                <w:szCs w:val="24"/>
              </w:rPr>
              <w:t>GB/T320-2006 5.87</w:t>
            </w:r>
          </w:p>
        </w:tc>
      </w:tr>
    </w:tbl>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6.2试样制备</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所抽取的试样均按照相应的产品标准或相应检验方法标准进行制备，制备好的样品待检。</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 检验应注意的问题</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6.3.1标准依据</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若被检产品明示的质量要求高于本方案中检验项目依据的标准要求时，应按被检产品明示的质量要求判定。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若被检产品明示的质量要求低于本方案中检验项目依据的强制性标准要求时，应按照强制性标准要求判定。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若被检产品明示的质量要求低于或包含方案中检验项目依据的推荐性标准要求时，应以被检产品明示的质量要求判定。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若被检产品明示的质量要求缺少本方案中检验项目依据的强制性标准要求时，应按照强制性标准要求判定。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若有国家标准或行业标准的产品，被检产品明示的质量要求缺少本方案中检验项目依据的推荐性标准要求时，该项目不参与判定，但应在检验报告备注中进行说明。</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 xml:space="preserve">若没有国家标准或行业标准的产品，强制性检验项目按被检产品相应国家或行业强制性标准要求进行检验并判定，推荐性检验项目按被检产品执行的企业标准或明示的质量要求进行检验并判定，企业标准或明示的质量要求没有规定的推荐性检验项目不检。 </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6.3.2样品保存与流转</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检验用样品应在最短的时间内由抽样人员带回检验机构，并按样品的储藏要求保存。检验机构接收样品应当有专人负责检查、记录样品的外观、状态、封条有无破损及其他可能对检测结果或者综合判定产生影</w:t>
      </w:r>
      <w:bookmarkStart w:id="0" w:name="_GoBack"/>
      <w:bookmarkEnd w:id="0"/>
      <w:r>
        <w:rPr>
          <w:rFonts w:hint="eastAsia" w:ascii="仿宋" w:hAnsi="仿宋" w:eastAsia="仿宋" w:cs="仿宋"/>
          <w:bCs/>
          <w:sz w:val="28"/>
          <w:szCs w:val="28"/>
        </w:rPr>
        <w:t>响的情况，并确认样品与抽样单的记录是否相符，对检测样品加贴相应标识后入库。</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7 判定原则</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经检验，检验项目全部合格，判定为被抽查产品所检项目未发现不合格；检验项目中任一项或一项以上不合格，判定为被抽查产品不合格。</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8 异议处理</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对被判定不合格产品进行异议处理时，按以下方式进行：</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8.1核查不合格项目相关证据、能够以记录（纸质记录或电子记录或影像记录）或与不合格项目相关联的其它质量数据等检验证据证明。</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8.2对需要复检并具备检验条件的，处理企业异议的市场监督管理部门或者指定检验机构应当按原监督抽查方案对留存的备用样品组织复检，并出具检验报告。复检结论为最终结论。</w:t>
      </w:r>
    </w:p>
    <w:p>
      <w:pPr>
        <w:snapToGrid w:val="0"/>
        <w:spacing w:line="360" w:lineRule="auto"/>
        <w:ind w:firstLine="551" w:firstLineChars="196"/>
        <w:rPr>
          <w:rFonts w:ascii="仿宋" w:hAnsi="仿宋" w:eastAsia="仿宋"/>
          <w:b/>
          <w:sz w:val="28"/>
          <w:szCs w:val="28"/>
        </w:rPr>
      </w:pPr>
      <w:r>
        <w:rPr>
          <w:rFonts w:hint="eastAsia" w:ascii="仿宋" w:hAnsi="仿宋" w:eastAsia="仿宋"/>
          <w:b/>
          <w:sz w:val="28"/>
          <w:szCs w:val="28"/>
        </w:rPr>
        <w:t>9附则</w:t>
      </w:r>
    </w:p>
    <w:p>
      <w:pPr>
        <w:adjustRightInd w:val="0"/>
        <w:snapToGrid w:val="0"/>
        <w:spacing w:line="594" w:lineRule="exact"/>
        <w:ind w:firstLine="560" w:firstLineChars="200"/>
        <w:jc w:val="left"/>
        <w:rPr>
          <w:rFonts w:ascii="仿宋" w:hAnsi="仿宋" w:eastAsia="仿宋"/>
          <w:sz w:val="28"/>
          <w:szCs w:val="28"/>
        </w:rPr>
      </w:pPr>
      <w:r>
        <w:rPr>
          <w:rFonts w:hint="eastAsia" w:ascii="仿宋" w:hAnsi="仿宋" w:eastAsia="仿宋"/>
          <w:sz w:val="28"/>
          <w:szCs w:val="28"/>
        </w:rPr>
        <w:t>本细则编写单位:大连产品质量检验检测研究院有限公司。</w:t>
      </w:r>
    </w:p>
    <w:p>
      <w:pPr>
        <w:adjustRightInd w:val="0"/>
        <w:snapToGrid w:val="0"/>
        <w:spacing w:line="594" w:lineRule="exact"/>
        <w:ind w:firstLine="560" w:firstLineChars="200"/>
        <w:jc w:val="left"/>
        <w:rPr>
          <w:rFonts w:ascii="仿宋" w:hAnsi="仿宋" w:eastAsia="仿宋"/>
          <w:sz w:val="28"/>
          <w:szCs w:val="28"/>
        </w:rPr>
      </w:pPr>
      <w:r>
        <w:rPr>
          <w:rFonts w:hint="eastAsia" w:ascii="仿宋" w:hAnsi="仿宋" w:eastAsia="仿宋"/>
          <w:sz w:val="28"/>
          <w:szCs w:val="28"/>
        </w:rPr>
        <w:t>本细则由盘锦市市场监督管理局管理。</w:t>
      </w:r>
    </w:p>
    <w:p>
      <w:pPr>
        <w:spacing w:line="594" w:lineRule="exact"/>
        <w:ind w:firstLine="560"/>
        <w:rPr>
          <w:rFonts w:hint="eastAsia" w:ascii="仿宋" w:hAnsi="仿宋" w:eastAsia="仿宋" w:cs="仿宋"/>
          <w:bCs/>
          <w:sz w:val="28"/>
          <w:szCs w:val="28"/>
        </w:rPr>
      </w:pPr>
    </w:p>
    <w:sectPr>
      <w:headerReference r:id="rId7" w:type="first"/>
      <w:footerReference r:id="rId10" w:type="first"/>
      <w:headerReference r:id="rId5" w:type="default"/>
      <w:footerReference r:id="rId8" w:type="default"/>
      <w:headerReference r:id="rId6" w:type="even"/>
      <w:footerReference r:id="rId9" w:type="even"/>
      <w:pgSz w:w="11850" w:h="16783"/>
      <w:pgMar w:top="1588" w:right="1418" w:bottom="1588" w:left="1418" w:header="851" w:footer="992" w:gutter="0"/>
      <w:pgNumType w:fmt="numberInDash"/>
      <w:cols w:space="720" w:num="1"/>
      <w:titlePg/>
      <w:docGrid w:linePitch="4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44076"/>
    </w:sdtPr>
    <w:sdtContent>
      <w:p>
        <w:pPr>
          <w:pStyle w:val="9"/>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9 -</w:t>
        </w:r>
        <w:r>
          <w:rPr>
            <w:rFonts w:ascii="宋体" w:hAnsi="宋体" w:eastAsia="宋体"/>
            <w:sz w:val="21"/>
            <w:szCs w:val="21"/>
          </w:rPr>
          <w:fldChar w:fldCharType="end"/>
        </w:r>
      </w:p>
    </w:sdtContent>
  </w:sdt>
  <w:p>
    <w:pPr>
      <w:pStyle w:val="9"/>
      <w:tabs>
        <w:tab w:val="center" w:pos="4153"/>
        <w:tab w:val="right" w:pos="8306"/>
      </w:tabs>
      <w:ind w:firstLine="0" w:firstLineChars="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44077"/>
    </w:sdtPr>
    <w:sdtContent>
      <w:p>
        <w:pPr>
          <w:pStyle w:val="9"/>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1 -</w:t>
        </w:r>
        <w:r>
          <w:rPr>
            <w:rFonts w:ascii="宋体" w:hAnsi="宋体" w:eastAsia="宋体"/>
            <w:sz w:val="21"/>
            <w:szCs w:val="21"/>
          </w:rPr>
          <w:fldChar w:fldCharType="end"/>
        </w:r>
      </w:p>
    </w:sdtContent>
  </w:sdt>
  <w:p>
    <w:pPr>
      <w:pStyle w:val="9"/>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pStyle w:val="21"/>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0"/>
      <w:suff w:val="nothing"/>
      <w:lvlText w:val="%1.%2　"/>
      <w:lvlJc w:val="left"/>
      <w:pPr>
        <w:ind w:left="315"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lkY2M1N2QxMjRjZTE0YjgwMTg4N2E1ZmUyNzU5ZDYifQ=="/>
    <w:docVar w:name="KSO_WPS_MARK_KEY" w:val="d5e1c32e-c6e3-4d39-a90e-ed6331c6c8a5"/>
  </w:docVars>
  <w:rsids>
    <w:rsidRoot w:val="00314652"/>
    <w:rsid w:val="0000104C"/>
    <w:rsid w:val="00001F79"/>
    <w:rsid w:val="00010FFB"/>
    <w:rsid w:val="0009151E"/>
    <w:rsid w:val="000B695A"/>
    <w:rsid w:val="000C5282"/>
    <w:rsid w:val="000C6B96"/>
    <w:rsid w:val="000C710F"/>
    <w:rsid w:val="000F0B4D"/>
    <w:rsid w:val="00101DD0"/>
    <w:rsid w:val="00102065"/>
    <w:rsid w:val="00110150"/>
    <w:rsid w:val="0018556E"/>
    <w:rsid w:val="00194B1F"/>
    <w:rsid w:val="00207DA5"/>
    <w:rsid w:val="0025166A"/>
    <w:rsid w:val="00270B5A"/>
    <w:rsid w:val="00276B37"/>
    <w:rsid w:val="002D0BE4"/>
    <w:rsid w:val="002D7988"/>
    <w:rsid w:val="002F0635"/>
    <w:rsid w:val="00303746"/>
    <w:rsid w:val="00314652"/>
    <w:rsid w:val="003607A8"/>
    <w:rsid w:val="0038674F"/>
    <w:rsid w:val="00390472"/>
    <w:rsid w:val="003A513C"/>
    <w:rsid w:val="003C4F64"/>
    <w:rsid w:val="003C75C3"/>
    <w:rsid w:val="003E4576"/>
    <w:rsid w:val="00410137"/>
    <w:rsid w:val="00441A5F"/>
    <w:rsid w:val="00481777"/>
    <w:rsid w:val="00483ACD"/>
    <w:rsid w:val="004C0B15"/>
    <w:rsid w:val="004C5F45"/>
    <w:rsid w:val="00505F04"/>
    <w:rsid w:val="005532FB"/>
    <w:rsid w:val="00572756"/>
    <w:rsid w:val="00577038"/>
    <w:rsid w:val="00584A92"/>
    <w:rsid w:val="0059464C"/>
    <w:rsid w:val="005B44F3"/>
    <w:rsid w:val="005F3883"/>
    <w:rsid w:val="006810D8"/>
    <w:rsid w:val="00681D08"/>
    <w:rsid w:val="006A09F8"/>
    <w:rsid w:val="006C64CE"/>
    <w:rsid w:val="006C65BB"/>
    <w:rsid w:val="006D2F05"/>
    <w:rsid w:val="006F0C94"/>
    <w:rsid w:val="007143EE"/>
    <w:rsid w:val="00775B8D"/>
    <w:rsid w:val="0078113C"/>
    <w:rsid w:val="007830CD"/>
    <w:rsid w:val="007A284F"/>
    <w:rsid w:val="007D3FCC"/>
    <w:rsid w:val="007D4AAE"/>
    <w:rsid w:val="00810CAA"/>
    <w:rsid w:val="00855B3E"/>
    <w:rsid w:val="0087184B"/>
    <w:rsid w:val="008718E9"/>
    <w:rsid w:val="008861A8"/>
    <w:rsid w:val="008A0589"/>
    <w:rsid w:val="008A1194"/>
    <w:rsid w:val="008B5C69"/>
    <w:rsid w:val="008C70F8"/>
    <w:rsid w:val="008D4BF9"/>
    <w:rsid w:val="009170ED"/>
    <w:rsid w:val="00923327"/>
    <w:rsid w:val="00933E76"/>
    <w:rsid w:val="00954257"/>
    <w:rsid w:val="00960FF5"/>
    <w:rsid w:val="00982A23"/>
    <w:rsid w:val="009B7A4C"/>
    <w:rsid w:val="009F3795"/>
    <w:rsid w:val="009F6EC2"/>
    <w:rsid w:val="00A07B3A"/>
    <w:rsid w:val="00A27C74"/>
    <w:rsid w:val="00A3643B"/>
    <w:rsid w:val="00A55BFC"/>
    <w:rsid w:val="00A65995"/>
    <w:rsid w:val="00A72568"/>
    <w:rsid w:val="00AB36D8"/>
    <w:rsid w:val="00AD410B"/>
    <w:rsid w:val="00B216FD"/>
    <w:rsid w:val="00B2679E"/>
    <w:rsid w:val="00B652CB"/>
    <w:rsid w:val="00B97723"/>
    <w:rsid w:val="00BB49BC"/>
    <w:rsid w:val="00C05191"/>
    <w:rsid w:val="00C118D5"/>
    <w:rsid w:val="00C31D08"/>
    <w:rsid w:val="00C958ED"/>
    <w:rsid w:val="00D807EC"/>
    <w:rsid w:val="00D976E8"/>
    <w:rsid w:val="00DB1102"/>
    <w:rsid w:val="00E42D5C"/>
    <w:rsid w:val="00E54914"/>
    <w:rsid w:val="00E77287"/>
    <w:rsid w:val="00EC19B4"/>
    <w:rsid w:val="00EC2107"/>
    <w:rsid w:val="00ED37EC"/>
    <w:rsid w:val="00EE7A0B"/>
    <w:rsid w:val="00F2369C"/>
    <w:rsid w:val="00F4180B"/>
    <w:rsid w:val="00F45BE0"/>
    <w:rsid w:val="00FB188D"/>
    <w:rsid w:val="00FD2379"/>
    <w:rsid w:val="00FE5FD1"/>
    <w:rsid w:val="00FF6F40"/>
    <w:rsid w:val="016F0300"/>
    <w:rsid w:val="018D1F29"/>
    <w:rsid w:val="021C29D5"/>
    <w:rsid w:val="033C4901"/>
    <w:rsid w:val="0470696B"/>
    <w:rsid w:val="077D68F9"/>
    <w:rsid w:val="07C33365"/>
    <w:rsid w:val="09AF04D2"/>
    <w:rsid w:val="0C7D6BD4"/>
    <w:rsid w:val="0D7E2469"/>
    <w:rsid w:val="0E0D4273"/>
    <w:rsid w:val="0F591067"/>
    <w:rsid w:val="104077C2"/>
    <w:rsid w:val="10A26D85"/>
    <w:rsid w:val="10B238A3"/>
    <w:rsid w:val="110B33B5"/>
    <w:rsid w:val="116577E3"/>
    <w:rsid w:val="1194542C"/>
    <w:rsid w:val="16981F2D"/>
    <w:rsid w:val="173155CC"/>
    <w:rsid w:val="191676FF"/>
    <w:rsid w:val="1B987C9E"/>
    <w:rsid w:val="1BE8040F"/>
    <w:rsid w:val="1F012E8D"/>
    <w:rsid w:val="20916C4E"/>
    <w:rsid w:val="20F52771"/>
    <w:rsid w:val="214F0FD5"/>
    <w:rsid w:val="224F2DB4"/>
    <w:rsid w:val="226F571B"/>
    <w:rsid w:val="22815104"/>
    <w:rsid w:val="23461A98"/>
    <w:rsid w:val="28B815CE"/>
    <w:rsid w:val="28DC737B"/>
    <w:rsid w:val="290E1394"/>
    <w:rsid w:val="29713395"/>
    <w:rsid w:val="29EA56F7"/>
    <w:rsid w:val="2F8E7381"/>
    <w:rsid w:val="2FCA4C8D"/>
    <w:rsid w:val="2FE7562F"/>
    <w:rsid w:val="30C115A7"/>
    <w:rsid w:val="34BD099D"/>
    <w:rsid w:val="361F6CFB"/>
    <w:rsid w:val="3738304C"/>
    <w:rsid w:val="398F53B0"/>
    <w:rsid w:val="39E87971"/>
    <w:rsid w:val="3A085860"/>
    <w:rsid w:val="3CAE095D"/>
    <w:rsid w:val="3D3174B3"/>
    <w:rsid w:val="3D8653D9"/>
    <w:rsid w:val="3E356C09"/>
    <w:rsid w:val="40AC34A8"/>
    <w:rsid w:val="43480848"/>
    <w:rsid w:val="447E40CF"/>
    <w:rsid w:val="45E24130"/>
    <w:rsid w:val="466D2A05"/>
    <w:rsid w:val="479718C0"/>
    <w:rsid w:val="4AF15F5B"/>
    <w:rsid w:val="4EA0031B"/>
    <w:rsid w:val="4EAA6674"/>
    <w:rsid w:val="50CC2048"/>
    <w:rsid w:val="52BF7207"/>
    <w:rsid w:val="53DC3F8B"/>
    <w:rsid w:val="56C831E3"/>
    <w:rsid w:val="56E14FFF"/>
    <w:rsid w:val="56E75134"/>
    <w:rsid w:val="56F753BA"/>
    <w:rsid w:val="573501B1"/>
    <w:rsid w:val="59E32A4C"/>
    <w:rsid w:val="5A8B1189"/>
    <w:rsid w:val="5CB0682D"/>
    <w:rsid w:val="5F5F4B27"/>
    <w:rsid w:val="608B14B8"/>
    <w:rsid w:val="624E1E68"/>
    <w:rsid w:val="64366D2D"/>
    <w:rsid w:val="64C81325"/>
    <w:rsid w:val="673B4595"/>
    <w:rsid w:val="678566AB"/>
    <w:rsid w:val="685212C9"/>
    <w:rsid w:val="68522761"/>
    <w:rsid w:val="6B997D9E"/>
    <w:rsid w:val="6BA42CFB"/>
    <w:rsid w:val="6C9A65E7"/>
    <w:rsid w:val="6DFF42A7"/>
    <w:rsid w:val="71307813"/>
    <w:rsid w:val="73DA7D82"/>
    <w:rsid w:val="74E40FDE"/>
    <w:rsid w:val="773E45EE"/>
    <w:rsid w:val="7F3D4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Calibri" w:hAnsi="Calibri" w:eastAsia="仿宋" w:cs="Times New Roman"/>
      <w:kern w:val="2"/>
      <w:sz w:val="28"/>
      <w:szCs w:val="21"/>
      <w:lang w:val="en-US" w:eastAsia="zh-CN" w:bidi="ar-SA"/>
    </w:rPr>
  </w:style>
  <w:style w:type="paragraph" w:styleId="2">
    <w:name w:val="heading 1"/>
    <w:basedOn w:val="1"/>
    <w:next w:val="1"/>
    <w:qFormat/>
    <w:uiPriority w:val="99"/>
    <w:pPr>
      <w:widowControl/>
      <w:spacing w:before="100" w:beforeAutospacing="1" w:after="100" w:afterAutospacing="1"/>
      <w:jc w:val="left"/>
      <w:outlineLvl w:val="0"/>
    </w:pPr>
    <w:rPr>
      <w:b/>
      <w:bCs/>
      <w:kern w:val="44"/>
      <w:sz w:val="44"/>
      <w:szCs w:val="44"/>
    </w:rPr>
  </w:style>
  <w:style w:type="paragraph" w:styleId="3">
    <w:name w:val="heading 2"/>
    <w:basedOn w:val="1"/>
    <w:next w:val="1"/>
    <w:qFormat/>
    <w:uiPriority w:val="99"/>
    <w:pPr>
      <w:widowControl/>
      <w:spacing w:before="100" w:beforeAutospacing="1" w:after="100" w:afterAutospacing="1"/>
      <w:jc w:val="left"/>
      <w:outlineLvl w:val="1"/>
    </w:pPr>
    <w:rPr>
      <w:rFonts w:ascii="Cambria" w:hAnsi="Cambria"/>
      <w:b/>
      <w:bCs/>
      <w:sz w:val="32"/>
      <w:szCs w:val="32"/>
    </w:rPr>
  </w:style>
  <w:style w:type="paragraph" w:styleId="4">
    <w:name w:val="heading 3"/>
    <w:basedOn w:val="1"/>
    <w:next w:val="1"/>
    <w:link w:val="18"/>
    <w:qFormat/>
    <w:uiPriority w:val="99"/>
    <w:pPr>
      <w:keepNext/>
      <w:keepLines/>
      <w:spacing w:before="260" w:after="260" w:line="408"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8"/>
    <w:unhideWhenUsed/>
    <w:qFormat/>
    <w:uiPriority w:val="99"/>
    <w:pPr>
      <w:spacing w:after="120"/>
    </w:pPr>
  </w:style>
  <w:style w:type="paragraph" w:styleId="6">
    <w:name w:val="toc 3"/>
    <w:basedOn w:val="1"/>
    <w:next w:val="1"/>
    <w:qFormat/>
    <w:uiPriority w:val="0"/>
    <w:pPr>
      <w:ind w:left="840" w:leftChars="400"/>
    </w:pPr>
  </w:style>
  <w:style w:type="paragraph" w:styleId="7">
    <w:name w:val="Plain Text"/>
    <w:basedOn w:val="1"/>
    <w:qFormat/>
    <w:uiPriority w:val="99"/>
    <w:rPr>
      <w:rFonts w:ascii="宋体" w:hAnsi="Courier New"/>
    </w:rPr>
  </w:style>
  <w:style w:type="paragraph" w:styleId="8">
    <w:name w:val="Balloon Text"/>
    <w:basedOn w:val="1"/>
    <w:qFormat/>
    <w:uiPriority w:val="99"/>
    <w:rPr>
      <w:sz w:val="18"/>
      <w:szCs w:val="18"/>
    </w:rPr>
  </w:style>
  <w:style w:type="paragraph" w:styleId="9">
    <w:name w:val="footer"/>
    <w:basedOn w:val="1"/>
    <w:link w:val="27"/>
    <w:qFormat/>
    <w:uiPriority w:val="99"/>
    <w:pPr>
      <w:snapToGrid w:val="0"/>
      <w:jc w:val="left"/>
    </w:pPr>
    <w:rPr>
      <w:sz w:val="18"/>
      <w:szCs w:val="18"/>
    </w:rPr>
  </w:style>
  <w:style w:type="paragraph" w:styleId="10">
    <w:name w:val="header"/>
    <w:basedOn w:val="1"/>
    <w:qFormat/>
    <w:uiPriority w:val="99"/>
    <w:pPr>
      <w:snapToGrid w:val="0"/>
      <w:jc w:val="center"/>
    </w:pPr>
    <w:rPr>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5">
    <w:name w:val="Table Grid"/>
    <w:basedOn w:val="1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7">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8">
    <w:name w:val="标题 3 Char"/>
    <w:link w:val="4"/>
    <w:qFormat/>
    <w:locked/>
    <w:uiPriority w:val="99"/>
    <w:rPr>
      <w:b/>
      <w:bCs/>
      <w:sz w:val="32"/>
      <w:szCs w:val="32"/>
    </w:rPr>
  </w:style>
  <w:style w:type="paragraph" w:styleId="19">
    <w:name w:val="List Paragraph"/>
    <w:basedOn w:val="1"/>
    <w:qFormat/>
    <w:uiPriority w:val="1"/>
    <w:pPr>
      <w:autoSpaceDE w:val="0"/>
      <w:autoSpaceDN w:val="0"/>
      <w:ind w:left="198"/>
      <w:jc w:val="left"/>
    </w:pPr>
    <w:rPr>
      <w:rFonts w:ascii="宋体" w:hAnsi="宋体" w:cs="宋体"/>
      <w:kern w:val="0"/>
      <w:sz w:val="22"/>
      <w:szCs w:val="22"/>
      <w:lang w:val="zh-CN" w:bidi="zh-CN"/>
    </w:rPr>
  </w:style>
  <w:style w:type="paragraph" w:customStyle="1" w:styleId="20">
    <w:name w:val="附录章标题"/>
    <w:next w:val="1"/>
    <w:qFormat/>
    <w:uiPriority w:val="0"/>
    <w:pPr>
      <w:numPr>
        <w:ilvl w:val="1"/>
        <w:numId w:val="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1">
    <w:name w:val="附录表标号"/>
    <w:basedOn w:val="1"/>
    <w:next w:val="1"/>
    <w:qFormat/>
    <w:uiPriority w:val="0"/>
    <w:pPr>
      <w:numPr>
        <w:ilvl w:val="0"/>
        <w:numId w:val="2"/>
      </w:numPr>
      <w:spacing w:line="14" w:lineRule="exact"/>
      <w:ind w:left="811" w:hanging="448"/>
      <w:jc w:val="center"/>
      <w:outlineLvl w:val="0"/>
    </w:pPr>
    <w:rPr>
      <w:color w:val="FFFFFF"/>
    </w:rPr>
  </w:style>
  <w:style w:type="paragraph" w:customStyle="1" w:styleId="22">
    <w:name w:val="_Style 19"/>
    <w:basedOn w:val="1"/>
    <w:next w:val="7"/>
    <w:qFormat/>
    <w:uiPriority w:val="0"/>
    <w:rPr>
      <w:rFonts w:ascii="宋体" w:hAnsi="Courier New"/>
      <w:sz w:val="21"/>
      <w:szCs w:val="20"/>
    </w:rPr>
  </w:style>
  <w:style w:type="paragraph" w:customStyle="1" w:styleId="23">
    <w:name w:val="列出段落1"/>
    <w:basedOn w:val="1"/>
    <w:qFormat/>
    <w:uiPriority w:val="99"/>
    <w:pPr>
      <w:ind w:firstLine="420"/>
    </w:pPr>
    <w:rPr>
      <w:rFonts w:cs="Calibri"/>
    </w:rPr>
  </w:style>
  <w:style w:type="paragraph" w:customStyle="1" w:styleId="24">
    <w:name w:val="纯文本1"/>
    <w:basedOn w:val="1"/>
    <w:qFormat/>
    <w:uiPriority w:val="0"/>
    <w:pPr>
      <w:adjustRightInd w:val="0"/>
      <w:textAlignment w:val="baseline"/>
    </w:pPr>
    <w:rPr>
      <w:rFonts w:ascii="宋体" w:hAnsi="Courier New"/>
      <w:szCs w:val="20"/>
    </w:rPr>
  </w:style>
  <w:style w:type="character" w:customStyle="1" w:styleId="25">
    <w:name w:val="font11"/>
    <w:basedOn w:val="16"/>
    <w:qFormat/>
    <w:uiPriority w:val="0"/>
    <w:rPr>
      <w:rFonts w:hint="eastAsia" w:ascii="宋体" w:hAnsi="宋体" w:eastAsia="宋体" w:cs="宋体"/>
      <w:color w:val="000000"/>
      <w:sz w:val="18"/>
      <w:szCs w:val="18"/>
      <w:u w:val="none"/>
    </w:rPr>
  </w:style>
  <w:style w:type="character" w:customStyle="1" w:styleId="26">
    <w:name w:val="font01"/>
    <w:basedOn w:val="16"/>
    <w:qFormat/>
    <w:uiPriority w:val="0"/>
    <w:rPr>
      <w:rFonts w:hint="eastAsia" w:ascii="宋体" w:hAnsi="宋体" w:eastAsia="宋体" w:cs="宋体"/>
      <w:color w:val="000000"/>
      <w:sz w:val="20"/>
      <w:szCs w:val="20"/>
      <w:u w:val="none"/>
    </w:rPr>
  </w:style>
  <w:style w:type="character" w:customStyle="1" w:styleId="27">
    <w:name w:val="页脚 Char"/>
    <w:basedOn w:val="16"/>
    <w:link w:val="9"/>
    <w:qFormat/>
    <w:uiPriority w:val="99"/>
    <w:rPr>
      <w:rFonts w:ascii="Calibri" w:hAnsi="Calibri" w:eastAsia="仿宋" w:cs="Times New Roman"/>
      <w:kern w:val="2"/>
      <w:sz w:val="18"/>
      <w:szCs w:val="18"/>
    </w:rPr>
  </w:style>
  <w:style w:type="character" w:customStyle="1" w:styleId="28">
    <w:name w:val="正文文本 Char"/>
    <w:basedOn w:val="16"/>
    <w:link w:val="5"/>
    <w:qFormat/>
    <w:uiPriority w:val="99"/>
    <w:rPr>
      <w:rFonts w:ascii="Calibri" w:hAnsi="Calibri" w:eastAsia="仿宋" w:cs="Times New Roman"/>
      <w:kern w:val="2"/>
      <w:sz w:val="28"/>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4531</Words>
  <Characters>5168</Characters>
  <Lines>40</Lines>
  <Paragraphs>11</Paragraphs>
  <TotalTime>0</TotalTime>
  <ScaleCrop>false</ScaleCrop>
  <LinksUpToDate>false</LinksUpToDate>
  <CharactersWithSpaces>5234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2023-02-13T06:15:00Z</dcterms:created>
  <dc:creator>Administrator.UHUS5R0AB9D74X7</dc:creator>
  <cp:lastModifiedBy>郑毅很正义ever</cp:lastModifiedBy>
  <cp:lastPrinted>2020-05-15T02:11:00Z</cp:lastPrinted>
  <dcterms:modified xsi:type="dcterms:W3CDTF">2024-11-06T08:28:45Z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A928FE5641864ADBAB8663503704D44B</vt:lpwstr>
  </property>
</Properties>
</file>