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黑体"/>
          <w:b/>
          <w:spacing w:val="20"/>
          <w:w w:val="105"/>
          <w:sz w:val="36"/>
          <w:szCs w:val="36"/>
        </w:rPr>
      </w:pPr>
      <w:r>
        <w:rPr>
          <w:rFonts w:hint="eastAsia" w:ascii="仿宋" w:hAnsi="仿宋" w:eastAsia="仿宋" w:cs="黑体"/>
          <w:b/>
          <w:spacing w:val="20"/>
          <w:w w:val="105"/>
          <w:sz w:val="36"/>
          <w:szCs w:val="36"/>
        </w:rPr>
        <w:t>2023年盘锦市液压油产品质量监督抽查</w:t>
      </w:r>
    </w:p>
    <w:p>
      <w:pPr>
        <w:spacing w:line="360" w:lineRule="auto"/>
        <w:jc w:val="center"/>
        <w:rPr>
          <w:rFonts w:ascii="仿宋" w:hAnsi="仿宋" w:eastAsia="仿宋" w:cs="黑体"/>
          <w:b/>
          <w:spacing w:val="20"/>
          <w:w w:val="105"/>
          <w:sz w:val="36"/>
          <w:szCs w:val="36"/>
        </w:rPr>
      </w:pPr>
      <w:r>
        <w:rPr>
          <w:rFonts w:hint="eastAsia" w:ascii="仿宋" w:hAnsi="仿宋" w:eastAsia="仿宋" w:cs="黑体"/>
          <w:b/>
          <w:spacing w:val="20"/>
          <w:w w:val="105"/>
          <w:sz w:val="36"/>
          <w:szCs w:val="36"/>
        </w:rPr>
        <w:t>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本细则适用于盘锦市液压油产品质量监督抽查</w:t>
      </w:r>
      <w:bookmarkStart w:id="5" w:name="_GoBack"/>
      <w:bookmarkEnd w:id="5"/>
      <w:r>
        <w:rPr>
          <w:rFonts w:hint="eastAsia" w:ascii="仿宋" w:hAnsi="仿宋" w:eastAsia="仿宋"/>
          <w:sz w:val="28"/>
          <w:szCs w:val="28"/>
        </w:rPr>
        <w:t>。本实施细则内容包括产品分类、术语和定义、企业规模划分、检验依据、抽样、检验要求、判定原则、异议处理及附则。</w:t>
      </w:r>
    </w:p>
    <w:p>
      <w:pPr>
        <w:spacing w:beforeLines="50" w:afterLines="50" w:line="360" w:lineRule="auto"/>
        <w:ind w:firstLine="420" w:firstLineChars="200"/>
        <w:rPr>
          <w:rFonts w:ascii="仿宋" w:hAnsi="仿宋" w:eastAsia="仿宋"/>
          <w:b/>
          <w:sz w:val="28"/>
          <w:szCs w:val="28"/>
        </w:rPr>
      </w:pPr>
      <w:r>
        <w:rPr>
          <w:rFonts w:hint="eastAsia"/>
        </w:rPr>
        <w:t xml:space="preserve">  </w:t>
      </w: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液压油产品分类及代码</w:t>
      </w:r>
    </w:p>
    <w:tbl>
      <w:tblPr>
        <w:tblStyle w:val="8"/>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ind w:firstLine="560" w:firstLineChars="200"/>
        <w:rPr>
          <w:rFonts w:ascii="仿宋" w:hAnsi="仿宋" w:eastAsia="仿宋"/>
          <w:sz w:val="28"/>
          <w:szCs w:val="28"/>
        </w:rPr>
      </w:pPr>
      <w:r>
        <w:rPr>
          <w:rFonts w:hint="eastAsia" w:ascii="仿宋" w:hAnsi="仿宋" w:eastAsia="仿宋"/>
          <w:sz w:val="28"/>
          <w:szCs w:val="28"/>
        </w:rPr>
        <w:t>液压油产品分为抗氧防锈液压油、抗磨液压油、低温液压油、超低温液压油、液压导轨油五个品种；经备案现行有效的企业标准、地方标准及产品明示质量要求中规定的特殊牌号。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ascii="仿宋" w:hAnsi="仿宋" w:eastAsia="仿宋"/>
          <w:sz w:val="28"/>
          <w:szCs w:val="28"/>
        </w:rPr>
      </w:pPr>
      <w:r>
        <w:rPr>
          <w:rFonts w:ascii="仿宋" w:hAnsi="仿宋" w:eastAsia="仿宋"/>
          <w:sz w:val="28"/>
          <w:szCs w:val="28"/>
        </w:rPr>
        <w:t xml:space="preserve">GB </w:t>
      </w:r>
      <w:r>
        <w:rPr>
          <w:rFonts w:hint="eastAsia" w:ascii="仿宋" w:hAnsi="仿宋" w:eastAsia="仿宋"/>
          <w:sz w:val="28"/>
          <w:szCs w:val="28"/>
        </w:rPr>
        <w:t>11118.1-2011《液压油》</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抽取样品应为同一型号规格、同一批次的产品，优先抽取企业的主流型号规格产品。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ind w:firstLine="560" w:firstLineChars="200"/>
        <w:rPr>
          <w:rFonts w:ascii="仿宋" w:hAnsi="仿宋" w:eastAsia="仿宋" w:cs="仿宋"/>
          <w:sz w:val="28"/>
          <w:szCs w:val="28"/>
        </w:rPr>
      </w:pPr>
      <w:bookmarkStart w:id="0" w:name="_Hlk72663067"/>
      <w:r>
        <w:rPr>
          <w:rFonts w:hint="eastAsia" w:ascii="仿宋" w:hAnsi="仿宋" w:eastAsia="仿宋" w:cs="仿宋"/>
          <w:sz w:val="28"/>
          <w:szCs w:val="28"/>
        </w:rPr>
        <w:t>在企业的成品区或市场待销产品中随机抽取有产品质量检验合格证明或者以其它形式表明合格（合格证、合格报告、企业相关人员确认等方式均可）的产品。</w:t>
      </w:r>
      <w:bookmarkStart w:id="1" w:name="_Hlk104125003"/>
      <w:bookmarkStart w:id="2" w:name="_Hlk104125440"/>
      <w:r>
        <w:rPr>
          <w:rFonts w:hint="eastAsia" w:ascii="仿宋" w:hAnsi="仿宋" w:eastAsia="仿宋" w:cs="仿宋"/>
          <w:sz w:val="28"/>
          <w:szCs w:val="28"/>
        </w:rPr>
        <w:t>随机数一般可使用随机数表、骰子或扑克牌等方法产生。</w:t>
      </w:r>
      <w:bookmarkEnd w:id="1"/>
      <w:r>
        <w:rPr>
          <w:rFonts w:hint="eastAsia" w:ascii="仿宋" w:hAnsi="仿宋" w:eastAsia="仿宋" w:cs="仿宋"/>
          <w:sz w:val="28"/>
          <w:szCs w:val="28"/>
        </w:rPr>
        <w:t>所抽取产品的保质期（未注明保质期的按尚在保质期内处理）应能确保整个监督抽查（包含异议处理）工作的完成。</w:t>
      </w:r>
      <w:bookmarkEnd w:id="2"/>
    </w:p>
    <w:bookmarkEnd w:id="0"/>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在生产企业成品罐抽样时，同一批次产品抽样基数应不少于100L，取样方法执行GB/T 4756，取8L为样本，</w:t>
      </w:r>
      <w:bookmarkStart w:id="3" w:name="_Hlk72663096"/>
      <w:r>
        <w:rPr>
          <w:rFonts w:hint="eastAsia" w:ascii="仿宋" w:hAnsi="仿宋" w:eastAsia="仿宋" w:cs="仿宋"/>
          <w:sz w:val="28"/>
          <w:szCs w:val="28"/>
        </w:rPr>
        <w:t>平均分作两份盛装在合适的容器中，一份作为检验样品，一份作为备用样品。</w:t>
      </w:r>
      <w:bookmarkEnd w:id="3"/>
    </w:p>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在生产企业成品库抽样时，同一批次产品抽样基数应不少于100L，取样方法执行GB/T 10111，取不小于2个最小独立包装，总量不少于8L的样品，1/2作为检验样品，1/2作为备用样品。</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在流通领域抽样时，取样方法与生产领域相同，抽样基数应不少于抽取样品量。抽取不小于2个最小独立包装，总量不少于8L的样品，1/2作为检验样品，1/2作为备用样品。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检验样品和备用样品应当分别进行签封，并具有防拆封措施，并保证封条在运输过程中不会破损。封条上至少要有产品名称和牌号、抽样日期、抽样人签字、被抽查企业代表签字及抽样单位公章等相关信息。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液压油产品的销售总额（以万元计）；若企业上一年度未销售，则记录本年度实际产品的销售总额，并加以注明。对于产品检验所需的样品技术参数等信息，需要被抽企业提供的，应在抽样现场获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可对抽样的关键过程留下影像资料。在进入企业、取样、双方签字确认等环节时，影像资料要能清晰记录企业名称、营业执照名称、被抽样的产品、成品区、抽样状态、抽样人员和企业陪同人员等。</w:t>
      </w:r>
    </w:p>
    <w:p>
      <w:pPr>
        <w:ind w:firstLine="560" w:firstLineChars="200"/>
        <w:rPr>
          <w:rFonts w:ascii="仿宋" w:hAnsi="仿宋" w:eastAsia="仿宋" w:cs="仿宋"/>
          <w:sz w:val="28"/>
          <w:szCs w:val="28"/>
        </w:rPr>
      </w:pPr>
      <w:r>
        <w:rPr>
          <w:rFonts w:hint="eastAsia" w:ascii="仿宋" w:hAnsi="仿宋" w:eastAsia="仿宋" w:cs="仿宋"/>
          <w:sz w:val="28"/>
          <w:szCs w:val="28"/>
        </w:rPr>
        <w:t>6.7 抽样时应注意的问题</w:t>
      </w:r>
    </w:p>
    <w:p>
      <w:pPr>
        <w:ind w:firstLine="560" w:firstLineChars="200"/>
        <w:rPr>
          <w:rFonts w:ascii="仿宋" w:hAnsi="仿宋" w:eastAsia="仿宋" w:cs="仿宋"/>
          <w:sz w:val="28"/>
          <w:szCs w:val="28"/>
        </w:rPr>
      </w:pPr>
      <w:r>
        <w:rPr>
          <w:rFonts w:hint="eastAsia" w:ascii="仿宋" w:hAnsi="仿宋" w:eastAsia="仿宋" w:cs="仿宋"/>
          <w:sz w:val="28"/>
          <w:szCs w:val="28"/>
        </w:rPr>
        <w:t>6.7.1 应由抽样技术人员在现场进行抽取，不得由企业自行抽样。抽取的样品应当是有产品质量检验合格证明或者以其他形式表明合格的产品。</w:t>
      </w:r>
    </w:p>
    <w:p>
      <w:pPr>
        <w:ind w:firstLine="560" w:firstLineChars="200"/>
        <w:rPr>
          <w:rFonts w:ascii="仿宋" w:hAnsi="仿宋" w:eastAsia="仿宋" w:cs="仿宋"/>
          <w:sz w:val="28"/>
          <w:szCs w:val="28"/>
        </w:rPr>
      </w:pPr>
      <w:r>
        <w:rPr>
          <w:rFonts w:hint="eastAsia" w:ascii="仿宋" w:hAnsi="仿宋" w:eastAsia="仿宋" w:cs="仿宋"/>
          <w:sz w:val="28"/>
          <w:szCs w:val="28"/>
        </w:rPr>
        <w:t>6.7.2 抽样时，抽样人员应当认真核实营业执照等被抽查企业的相关信息，确认企业不存在不得抽样的情形。遇有下列情况之一且能提供有效证明的，不得抽样：</w:t>
      </w:r>
    </w:p>
    <w:p>
      <w:pPr>
        <w:ind w:firstLine="560" w:firstLineChars="200"/>
        <w:rPr>
          <w:rFonts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pPr>
        <w:ind w:firstLine="560" w:firstLineChars="200"/>
        <w:rPr>
          <w:rFonts w:ascii="仿宋" w:hAnsi="仿宋" w:eastAsia="仿宋" w:cs="仿宋"/>
          <w:sz w:val="28"/>
          <w:szCs w:val="28"/>
        </w:rPr>
      </w:pPr>
      <w:r>
        <w:rPr>
          <w:rFonts w:hint="eastAsia" w:ascii="仿宋" w:hAnsi="仿宋" w:eastAsia="仿宋" w:cs="仿宋"/>
          <w:sz w:val="28"/>
          <w:szCs w:val="28"/>
        </w:rPr>
        <w:t>（2）有充分证据证明拟抽查的产品是不用于销售的；</w:t>
      </w:r>
    </w:p>
    <w:p>
      <w:pPr>
        <w:ind w:firstLine="560" w:firstLineChars="200"/>
        <w:rPr>
          <w:rFonts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pPr>
        <w:ind w:firstLine="560" w:firstLineChars="200"/>
        <w:rPr>
          <w:rFonts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pPr>
        <w:ind w:firstLine="560" w:firstLineChars="200"/>
        <w:rPr>
          <w:rFonts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pPr>
        <w:ind w:firstLine="560" w:firstLineChars="200"/>
        <w:rPr>
          <w:rFonts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液压油产品检验项目表3。</w:t>
      </w:r>
    </w:p>
    <w:p>
      <w:pPr>
        <w:pStyle w:val="3"/>
        <w:ind w:leftChars="0" w:firstLine="0" w:firstLineChars="0"/>
        <w:jc w:val="center"/>
      </w:pPr>
      <w:r>
        <w:rPr>
          <w:rFonts w:hint="eastAsia"/>
        </w:rPr>
        <w:t>表3 液压油检验项目</w:t>
      </w:r>
    </w:p>
    <w:tbl>
      <w:tblPr>
        <w:tblStyle w:val="8"/>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74"/>
        <w:gridCol w:w="1844"/>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top w:val="single" w:color="auto" w:sz="4" w:space="0"/>
              <w:left w:val="single" w:color="auto" w:sz="4" w:space="0"/>
            </w:tcBorders>
            <w:vAlign w:val="center"/>
          </w:tcPr>
          <w:p>
            <w:pPr>
              <w:snapToGrid w:val="0"/>
              <w:jc w:val="center"/>
              <w:rPr>
                <w:rFonts w:ascii="宋体" w:hAnsi="宋体" w:cs="宋体"/>
                <w:szCs w:val="21"/>
              </w:rPr>
            </w:pPr>
            <w:bookmarkStart w:id="4" w:name="_Hlk123898888"/>
            <w:r>
              <w:rPr>
                <w:rFonts w:hint="eastAsia" w:ascii="宋体" w:hAnsi="宋体" w:cs="宋体"/>
                <w:szCs w:val="21"/>
              </w:rPr>
              <w:t>序号</w:t>
            </w:r>
          </w:p>
        </w:tc>
        <w:tc>
          <w:tcPr>
            <w:tcW w:w="2974" w:type="dxa"/>
            <w:tcBorders>
              <w:top w:val="single" w:color="auto" w:sz="4" w:space="0"/>
            </w:tcBorders>
            <w:vAlign w:val="center"/>
          </w:tcPr>
          <w:p>
            <w:pPr>
              <w:snapToGrid w:val="0"/>
              <w:jc w:val="center"/>
              <w:rPr>
                <w:rFonts w:ascii="宋体" w:hAnsi="宋体" w:cs="宋体"/>
                <w:szCs w:val="21"/>
              </w:rPr>
            </w:pPr>
            <w:r>
              <w:rPr>
                <w:rFonts w:hint="eastAsia" w:ascii="宋体" w:hAnsi="宋体" w:cs="宋体"/>
                <w:szCs w:val="21"/>
              </w:rPr>
              <w:t>检验项目</w:t>
            </w:r>
          </w:p>
        </w:tc>
        <w:tc>
          <w:tcPr>
            <w:tcW w:w="1844" w:type="dxa"/>
            <w:tcBorders>
              <w:top w:val="single" w:color="auto" w:sz="4" w:space="0"/>
            </w:tcBorders>
            <w:vAlign w:val="center"/>
          </w:tcPr>
          <w:p>
            <w:pPr>
              <w:snapToGrid w:val="0"/>
              <w:jc w:val="center"/>
              <w:rPr>
                <w:rFonts w:ascii="宋体" w:hAnsi="宋体" w:cs="宋体"/>
                <w:szCs w:val="21"/>
              </w:rPr>
            </w:pPr>
            <w:r>
              <w:rPr>
                <w:rFonts w:hint="eastAsia" w:ascii="宋体" w:hAnsi="宋体" w:cs="宋体"/>
                <w:szCs w:val="21"/>
              </w:rPr>
              <w:t>依据标准</w:t>
            </w:r>
          </w:p>
        </w:tc>
        <w:tc>
          <w:tcPr>
            <w:tcW w:w="2692" w:type="dxa"/>
            <w:tcBorders>
              <w:top w:val="single" w:color="auto" w:sz="4" w:space="0"/>
            </w:tcBorders>
            <w:vAlign w:val="center"/>
          </w:tcPr>
          <w:p>
            <w:pPr>
              <w:snapToGrid w:val="0"/>
              <w:jc w:val="center"/>
              <w:rPr>
                <w:rFonts w:ascii="宋体" w:hAnsi="宋体" w:cs="宋体"/>
                <w:szCs w:val="21"/>
              </w:rPr>
            </w:pPr>
            <w:r>
              <w:rPr>
                <w:rFonts w:hint="eastAsia" w:ascii="宋体" w:hAnsi="宋体"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1</w:t>
            </w:r>
          </w:p>
        </w:tc>
        <w:tc>
          <w:tcPr>
            <w:tcW w:w="2974" w:type="dxa"/>
            <w:vAlign w:val="center"/>
          </w:tcPr>
          <w:p>
            <w:pPr>
              <w:snapToGrid w:val="0"/>
              <w:jc w:val="center"/>
              <w:rPr>
                <w:rFonts w:ascii="宋体" w:hAnsi="宋体" w:cs="宋体"/>
                <w:szCs w:val="21"/>
              </w:rPr>
            </w:pPr>
            <w:r>
              <w:rPr>
                <w:rFonts w:hint="eastAsia" w:ascii="宋体" w:hAnsi="宋体" w:cs="宋体"/>
                <w:szCs w:val="21"/>
              </w:rPr>
              <w:t>运动黏度（</w:t>
            </w:r>
            <w:r>
              <w:rPr>
                <w:rFonts w:ascii="宋体" w:hAnsi="宋体" w:cs="宋体"/>
                <w:szCs w:val="21"/>
              </w:rPr>
              <w:t>40</w:t>
            </w:r>
            <w:r>
              <w:rPr>
                <w:rFonts w:hint="eastAsia" w:ascii="宋体" w:hAnsi="宋体" w:cs="宋体"/>
                <w:szCs w:val="21"/>
              </w:rPr>
              <w:t>℃）</w:t>
            </w:r>
          </w:p>
        </w:tc>
        <w:tc>
          <w:tcPr>
            <w:tcW w:w="1844" w:type="dxa"/>
            <w:vMerge w:val="restart"/>
            <w:vAlign w:val="center"/>
          </w:tcPr>
          <w:p>
            <w:pPr>
              <w:snapToGrid w:val="0"/>
              <w:jc w:val="center"/>
              <w:rPr>
                <w:rFonts w:ascii="宋体" w:hAnsi="宋体" w:cs="宋体"/>
                <w:szCs w:val="21"/>
              </w:rPr>
            </w:pPr>
            <w:r>
              <w:rPr>
                <w:rFonts w:hint="eastAsia" w:ascii="宋体" w:hAnsi="宋体" w:cs="宋体"/>
                <w:szCs w:val="21"/>
              </w:rPr>
              <w:t xml:space="preserve"> </w:t>
            </w:r>
            <w:r>
              <w:rPr>
                <w:rFonts w:ascii="宋体" w:hAnsi="宋体" w:cs="宋体"/>
                <w:szCs w:val="21"/>
              </w:rPr>
              <w:t>GB 11118.1-2011</w:t>
            </w:r>
          </w:p>
        </w:tc>
        <w:tc>
          <w:tcPr>
            <w:tcW w:w="2692" w:type="dxa"/>
            <w:vAlign w:val="center"/>
          </w:tcPr>
          <w:p>
            <w:pPr>
              <w:snapToGrid w:val="0"/>
              <w:jc w:val="center"/>
              <w:rPr>
                <w:rFonts w:ascii="宋体" w:hAnsi="宋体" w:cs="宋体"/>
                <w:szCs w:val="21"/>
              </w:rPr>
            </w:pPr>
            <w:r>
              <w:rPr>
                <w:rFonts w:hint="eastAsia" w:ascii="宋体" w:hAnsi="宋体" w:cs="宋体"/>
                <w:szCs w:val="21"/>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2</w:t>
            </w:r>
          </w:p>
        </w:tc>
        <w:tc>
          <w:tcPr>
            <w:tcW w:w="2974" w:type="dxa"/>
            <w:vAlign w:val="center"/>
          </w:tcPr>
          <w:p>
            <w:pPr>
              <w:snapToGrid w:val="0"/>
              <w:jc w:val="center"/>
              <w:rPr>
                <w:rFonts w:ascii="宋体" w:hAnsi="宋体" w:cs="宋体"/>
                <w:szCs w:val="21"/>
              </w:rPr>
            </w:pPr>
            <w:r>
              <w:rPr>
                <w:rFonts w:hint="eastAsia" w:ascii="宋体" w:hAnsi="宋体" w:cs="宋体"/>
                <w:szCs w:val="21"/>
              </w:rPr>
              <w:t>黏度指数</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1995或GB/T 2541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3</w:t>
            </w:r>
          </w:p>
        </w:tc>
        <w:tc>
          <w:tcPr>
            <w:tcW w:w="2974" w:type="dxa"/>
            <w:vAlign w:val="center"/>
          </w:tcPr>
          <w:p>
            <w:pPr>
              <w:snapToGrid w:val="0"/>
              <w:jc w:val="center"/>
              <w:rPr>
                <w:rFonts w:ascii="宋体" w:hAnsi="宋体" w:cs="宋体"/>
                <w:szCs w:val="21"/>
              </w:rPr>
            </w:pPr>
            <w:r>
              <w:rPr>
                <w:rFonts w:hint="eastAsia" w:ascii="宋体" w:hAnsi="宋体" w:cs="宋体"/>
                <w:szCs w:val="21"/>
              </w:rPr>
              <w:t>倾点</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bottom w:val="single" w:color="auto" w:sz="4" w:space="0"/>
            </w:tcBorders>
            <w:vAlign w:val="center"/>
          </w:tcPr>
          <w:p>
            <w:pPr>
              <w:snapToGrid w:val="0"/>
              <w:jc w:val="center"/>
              <w:rPr>
                <w:rFonts w:ascii="宋体" w:hAnsi="宋体" w:cs="宋体"/>
                <w:szCs w:val="21"/>
              </w:rPr>
            </w:pPr>
            <w:r>
              <w:rPr>
                <w:rFonts w:ascii="宋体" w:hAnsi="宋体" w:cs="宋体"/>
                <w:szCs w:val="21"/>
              </w:rPr>
              <w:t>4</w:t>
            </w:r>
          </w:p>
        </w:tc>
        <w:tc>
          <w:tcPr>
            <w:tcW w:w="2974" w:type="dxa"/>
            <w:vAlign w:val="center"/>
          </w:tcPr>
          <w:p>
            <w:pPr>
              <w:snapToGrid w:val="0"/>
              <w:jc w:val="center"/>
              <w:rPr>
                <w:rFonts w:ascii="宋体" w:hAnsi="宋体" w:cs="宋体"/>
                <w:szCs w:val="21"/>
              </w:rPr>
            </w:pPr>
            <w:r>
              <w:rPr>
                <w:rFonts w:hint="eastAsia" w:ascii="宋体" w:hAnsi="宋体" w:cs="宋体"/>
                <w:szCs w:val="21"/>
              </w:rPr>
              <w:t>水分（体积分数）</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5</w:t>
            </w:r>
          </w:p>
        </w:tc>
        <w:tc>
          <w:tcPr>
            <w:tcW w:w="2974" w:type="dxa"/>
            <w:vAlign w:val="center"/>
          </w:tcPr>
          <w:p>
            <w:pPr>
              <w:snapToGrid w:val="0"/>
              <w:jc w:val="center"/>
              <w:rPr>
                <w:rFonts w:ascii="宋体" w:hAnsi="宋体" w:cs="宋体"/>
                <w:szCs w:val="21"/>
              </w:rPr>
            </w:pPr>
            <w:r>
              <w:rPr>
                <w:rFonts w:hint="eastAsia" w:ascii="宋体" w:hAnsi="宋体" w:cs="宋体"/>
                <w:szCs w:val="21"/>
              </w:rPr>
              <w:t>泡沫性（泡沫倾向/泡沫稳定性）</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12579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6</w:t>
            </w:r>
          </w:p>
        </w:tc>
        <w:tc>
          <w:tcPr>
            <w:tcW w:w="2974" w:type="dxa"/>
            <w:vAlign w:val="center"/>
          </w:tcPr>
          <w:p>
            <w:pPr>
              <w:snapToGrid w:val="0"/>
              <w:jc w:val="center"/>
              <w:rPr>
                <w:rFonts w:ascii="宋体" w:hAnsi="宋体" w:cs="宋体"/>
                <w:szCs w:val="21"/>
              </w:rPr>
            </w:pPr>
            <w:r>
              <w:rPr>
                <w:rFonts w:hint="eastAsia" w:ascii="宋体" w:hAnsi="宋体" w:cs="宋体"/>
                <w:szCs w:val="21"/>
              </w:rPr>
              <w:t>机械杂质（质量分数）</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ascii="宋体" w:hAnsi="宋体" w:cs="宋体"/>
                <w:szCs w:val="21"/>
              </w:rPr>
              <w:t>7</w:t>
            </w:r>
          </w:p>
        </w:tc>
        <w:tc>
          <w:tcPr>
            <w:tcW w:w="2974" w:type="dxa"/>
            <w:vAlign w:val="center"/>
          </w:tcPr>
          <w:p>
            <w:pPr>
              <w:snapToGrid w:val="0"/>
              <w:jc w:val="center"/>
              <w:rPr>
                <w:rFonts w:ascii="宋体" w:hAnsi="宋体" w:cs="宋体"/>
                <w:szCs w:val="21"/>
              </w:rPr>
            </w:pPr>
            <w:r>
              <w:rPr>
                <w:rFonts w:hint="eastAsia" w:ascii="宋体" w:hAnsi="宋体" w:cs="宋体"/>
                <w:szCs w:val="21"/>
              </w:rPr>
              <w:t>闪点（开口）</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GB/T 3536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hint="eastAsia" w:ascii="宋体" w:hAnsi="宋体" w:cs="宋体"/>
                <w:szCs w:val="21"/>
              </w:rPr>
              <w:t>8</w:t>
            </w:r>
          </w:p>
        </w:tc>
        <w:tc>
          <w:tcPr>
            <w:tcW w:w="2974" w:type="dxa"/>
            <w:vAlign w:val="center"/>
          </w:tcPr>
          <w:p>
            <w:pPr>
              <w:snapToGrid w:val="0"/>
              <w:jc w:val="center"/>
              <w:rPr>
                <w:rFonts w:ascii="宋体" w:hAnsi="宋体" w:cs="宋体"/>
                <w:szCs w:val="21"/>
              </w:rPr>
            </w:pPr>
            <w:r>
              <w:rPr>
                <w:rFonts w:hint="eastAsia" w:ascii="宋体" w:hAnsi="宋体" w:cs="宋体"/>
                <w:szCs w:val="21"/>
              </w:rPr>
              <w:t>密度（2</w:t>
            </w:r>
            <w:r>
              <w:rPr>
                <w:rFonts w:ascii="宋体" w:hAnsi="宋体" w:cs="宋体"/>
                <w:szCs w:val="21"/>
              </w:rPr>
              <w:t>0</w:t>
            </w:r>
            <w:r>
              <w:rPr>
                <w:rFonts w:hint="eastAsia" w:ascii="宋体" w:hAnsi="宋体" w:cs="宋体"/>
                <w:szCs w:val="21"/>
              </w:rPr>
              <w:t>℃）</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S</w:t>
            </w:r>
            <w:r>
              <w:rPr>
                <w:rFonts w:ascii="宋体" w:hAnsi="宋体" w:cs="宋体"/>
                <w:szCs w:val="21"/>
              </w:rPr>
              <w:t>H/T 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hint="eastAsia" w:ascii="宋体" w:hAnsi="宋体" w:cs="宋体"/>
                <w:szCs w:val="21"/>
              </w:rPr>
              <w:t>9</w:t>
            </w:r>
          </w:p>
        </w:tc>
        <w:tc>
          <w:tcPr>
            <w:tcW w:w="2974" w:type="dxa"/>
            <w:vAlign w:val="center"/>
          </w:tcPr>
          <w:p>
            <w:pPr>
              <w:snapToGrid w:val="0"/>
              <w:jc w:val="center"/>
              <w:rPr>
                <w:rFonts w:ascii="宋体" w:hAnsi="宋体" w:cs="宋体"/>
                <w:szCs w:val="21"/>
              </w:rPr>
            </w:pPr>
            <w:r>
              <w:rPr>
                <w:rFonts w:hint="eastAsia" w:ascii="宋体" w:hAnsi="宋体" w:cs="宋体"/>
                <w:szCs w:val="21"/>
              </w:rPr>
              <w:t>色度</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w:t>
            </w:r>
            <w:r>
              <w:rPr>
                <w:rFonts w:ascii="宋体" w:hAnsi="宋体" w:cs="宋体"/>
                <w:szCs w:val="21"/>
              </w:rPr>
              <w:t>B/T 6540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hint="eastAsia" w:ascii="宋体" w:hAnsi="宋体" w:cs="宋体"/>
                <w:szCs w:val="21"/>
              </w:rPr>
              <w:t>1</w:t>
            </w:r>
            <w:r>
              <w:rPr>
                <w:rFonts w:ascii="宋体" w:hAnsi="宋体" w:cs="宋体"/>
                <w:szCs w:val="21"/>
              </w:rPr>
              <w:t>0</w:t>
            </w:r>
          </w:p>
        </w:tc>
        <w:tc>
          <w:tcPr>
            <w:tcW w:w="2974" w:type="dxa"/>
            <w:vAlign w:val="center"/>
          </w:tcPr>
          <w:p>
            <w:pPr>
              <w:snapToGrid w:val="0"/>
              <w:jc w:val="center"/>
              <w:rPr>
                <w:rFonts w:ascii="宋体" w:hAnsi="宋体" w:cs="宋体"/>
                <w:szCs w:val="21"/>
              </w:rPr>
            </w:pPr>
            <w:r>
              <w:rPr>
                <w:rFonts w:hint="eastAsia" w:ascii="宋体" w:hAnsi="宋体" w:cs="宋体"/>
                <w:szCs w:val="21"/>
              </w:rPr>
              <w:t>外观</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2974" w:type="dxa"/>
            <w:vAlign w:val="center"/>
          </w:tcPr>
          <w:p>
            <w:pPr>
              <w:snapToGrid w:val="0"/>
              <w:jc w:val="center"/>
              <w:rPr>
                <w:rFonts w:ascii="宋体" w:hAnsi="宋体" w:cs="宋体"/>
                <w:szCs w:val="21"/>
              </w:rPr>
            </w:pPr>
            <w:r>
              <w:rPr>
                <w:rFonts w:hint="eastAsia" w:ascii="宋体" w:hAnsi="宋体" w:cs="宋体"/>
                <w:szCs w:val="21"/>
              </w:rPr>
              <w:t>铜片腐蚀（1</w:t>
            </w:r>
            <w:r>
              <w:rPr>
                <w:rFonts w:ascii="宋体" w:hAnsi="宋体" w:cs="宋体"/>
                <w:szCs w:val="21"/>
              </w:rPr>
              <w:t>00</w:t>
            </w:r>
            <w:r>
              <w:rPr>
                <w:rFonts w:hint="eastAsia" w:ascii="宋体" w:hAnsi="宋体" w:cs="宋体"/>
                <w:szCs w:val="21"/>
              </w:rPr>
              <w:t>℃，3h）</w:t>
            </w:r>
          </w:p>
        </w:tc>
        <w:tc>
          <w:tcPr>
            <w:tcW w:w="1844" w:type="dxa"/>
            <w:vMerge w:val="continue"/>
            <w:vAlign w:val="center"/>
          </w:tcPr>
          <w:p>
            <w:pPr>
              <w:snapToGrid w:val="0"/>
              <w:jc w:val="center"/>
              <w:rPr>
                <w:rFonts w:ascii="宋体" w:hAnsi="宋体" w:cs="宋体"/>
                <w:szCs w:val="21"/>
              </w:rPr>
            </w:pPr>
          </w:p>
        </w:tc>
        <w:tc>
          <w:tcPr>
            <w:tcW w:w="2692" w:type="dxa"/>
            <w:vAlign w:val="center"/>
          </w:tcPr>
          <w:p>
            <w:pPr>
              <w:snapToGrid w:val="0"/>
              <w:jc w:val="center"/>
              <w:rPr>
                <w:rFonts w:ascii="宋体" w:hAnsi="宋体" w:cs="宋体"/>
                <w:szCs w:val="21"/>
              </w:rPr>
            </w:pPr>
            <w:r>
              <w:rPr>
                <w:rFonts w:hint="eastAsia" w:ascii="宋体" w:hAnsi="宋体" w:cs="宋体"/>
                <w:szCs w:val="21"/>
              </w:rPr>
              <w:t>G</w:t>
            </w:r>
            <w:r>
              <w:rPr>
                <w:rFonts w:ascii="宋体" w:hAnsi="宋体" w:cs="宋体"/>
                <w:szCs w:val="21"/>
              </w:rPr>
              <w:t>B/T 5096</w:t>
            </w:r>
          </w:p>
        </w:tc>
      </w:tr>
      <w:bookmarkEnd w:id="4"/>
    </w:tbl>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若被检产品明示的质量要求缺少本细则中检验项目依据的推荐性标准要求时，该项目不参与判定，但应在检验报告备注中进行说明。</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10附则</w:t>
      </w:r>
    </w:p>
    <w:p>
      <w:pPr>
        <w:ind w:firstLine="420"/>
        <w:rPr>
          <w:rFonts w:ascii="仿宋" w:hAnsi="仿宋" w:eastAsia="仿宋"/>
          <w:sz w:val="28"/>
          <w:szCs w:val="28"/>
        </w:rPr>
      </w:pPr>
      <w:r>
        <w:rPr>
          <w:rFonts w:hint="eastAsia" w:ascii="仿宋" w:hAnsi="仿宋" w:eastAsia="仿宋"/>
          <w:sz w:val="28"/>
          <w:szCs w:val="28"/>
        </w:rPr>
        <w:t>本实施细则编制单位：大连产品质量检验检测研究院有限公司。</w:t>
      </w:r>
    </w:p>
    <w:p>
      <w:pPr>
        <w:snapToGrid w:val="0"/>
        <w:spacing w:line="360" w:lineRule="auto"/>
        <w:ind w:firstLine="420"/>
        <w:rPr>
          <w:rFonts w:ascii="仿宋" w:hAnsi="仿宋" w:eastAsia="仿宋"/>
          <w:sz w:val="28"/>
          <w:szCs w:val="28"/>
        </w:rPr>
      </w:pPr>
      <w:r>
        <w:rPr>
          <w:rFonts w:hint="eastAsia" w:ascii="仿宋" w:hAnsi="仿宋" w:eastAsia="仿宋"/>
          <w:sz w:val="28"/>
          <w:szCs w:val="28"/>
        </w:rPr>
        <w:t>本实施细则由盘锦市市场监督管理局管理。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125FF"/>
    <w:rsid w:val="000315C9"/>
    <w:rsid w:val="0003236F"/>
    <w:rsid w:val="00051E59"/>
    <w:rsid w:val="00082EA3"/>
    <w:rsid w:val="000A3F79"/>
    <w:rsid w:val="000A75A2"/>
    <w:rsid w:val="000B32A3"/>
    <w:rsid w:val="000E20E2"/>
    <w:rsid w:val="000E668E"/>
    <w:rsid w:val="000F2526"/>
    <w:rsid w:val="001030FF"/>
    <w:rsid w:val="00140897"/>
    <w:rsid w:val="001425B2"/>
    <w:rsid w:val="001643F0"/>
    <w:rsid w:val="001A45DB"/>
    <w:rsid w:val="001B51F7"/>
    <w:rsid w:val="001F1442"/>
    <w:rsid w:val="002046F9"/>
    <w:rsid w:val="00204D17"/>
    <w:rsid w:val="00205368"/>
    <w:rsid w:val="00213085"/>
    <w:rsid w:val="002206AA"/>
    <w:rsid w:val="0022318E"/>
    <w:rsid w:val="00235CE0"/>
    <w:rsid w:val="00245548"/>
    <w:rsid w:val="00250F8D"/>
    <w:rsid w:val="00266EB8"/>
    <w:rsid w:val="00267385"/>
    <w:rsid w:val="00275ABD"/>
    <w:rsid w:val="00296152"/>
    <w:rsid w:val="002B5611"/>
    <w:rsid w:val="002B7108"/>
    <w:rsid w:val="00311FB6"/>
    <w:rsid w:val="00352946"/>
    <w:rsid w:val="003810B4"/>
    <w:rsid w:val="003849F7"/>
    <w:rsid w:val="0039085C"/>
    <w:rsid w:val="003B2E68"/>
    <w:rsid w:val="003F280D"/>
    <w:rsid w:val="004D0DBD"/>
    <w:rsid w:val="004D4198"/>
    <w:rsid w:val="004D7F61"/>
    <w:rsid w:val="00517531"/>
    <w:rsid w:val="0053236C"/>
    <w:rsid w:val="00533DEA"/>
    <w:rsid w:val="005364E2"/>
    <w:rsid w:val="00594D2F"/>
    <w:rsid w:val="006024C6"/>
    <w:rsid w:val="00602CEA"/>
    <w:rsid w:val="006B7513"/>
    <w:rsid w:val="006C1F28"/>
    <w:rsid w:val="006C7764"/>
    <w:rsid w:val="006E249D"/>
    <w:rsid w:val="006F5E88"/>
    <w:rsid w:val="007073FF"/>
    <w:rsid w:val="00736044"/>
    <w:rsid w:val="007547B1"/>
    <w:rsid w:val="00766298"/>
    <w:rsid w:val="0076752D"/>
    <w:rsid w:val="00782650"/>
    <w:rsid w:val="00790F02"/>
    <w:rsid w:val="007947DB"/>
    <w:rsid w:val="007A1199"/>
    <w:rsid w:val="007B5465"/>
    <w:rsid w:val="007E385C"/>
    <w:rsid w:val="00805A2E"/>
    <w:rsid w:val="008136A5"/>
    <w:rsid w:val="00825C6C"/>
    <w:rsid w:val="0084028D"/>
    <w:rsid w:val="00876F46"/>
    <w:rsid w:val="008829BF"/>
    <w:rsid w:val="00887D44"/>
    <w:rsid w:val="008A2445"/>
    <w:rsid w:val="008A7044"/>
    <w:rsid w:val="008C3C98"/>
    <w:rsid w:val="008F5313"/>
    <w:rsid w:val="00903770"/>
    <w:rsid w:val="00952FD6"/>
    <w:rsid w:val="0095516C"/>
    <w:rsid w:val="0096065B"/>
    <w:rsid w:val="00983260"/>
    <w:rsid w:val="00992282"/>
    <w:rsid w:val="0099630D"/>
    <w:rsid w:val="009B2C74"/>
    <w:rsid w:val="009C6FB6"/>
    <w:rsid w:val="009D64ED"/>
    <w:rsid w:val="009F2993"/>
    <w:rsid w:val="009F2D56"/>
    <w:rsid w:val="00A14D0A"/>
    <w:rsid w:val="00A21070"/>
    <w:rsid w:val="00A352B2"/>
    <w:rsid w:val="00A73F31"/>
    <w:rsid w:val="00A84FF1"/>
    <w:rsid w:val="00AC0B98"/>
    <w:rsid w:val="00B20A32"/>
    <w:rsid w:val="00B240DD"/>
    <w:rsid w:val="00B27DB3"/>
    <w:rsid w:val="00B36668"/>
    <w:rsid w:val="00B91211"/>
    <w:rsid w:val="00B93E61"/>
    <w:rsid w:val="00BA2266"/>
    <w:rsid w:val="00BB24EE"/>
    <w:rsid w:val="00BE5FAB"/>
    <w:rsid w:val="00C14F41"/>
    <w:rsid w:val="00C36FD9"/>
    <w:rsid w:val="00C47442"/>
    <w:rsid w:val="00C60981"/>
    <w:rsid w:val="00C84F7A"/>
    <w:rsid w:val="00C960B1"/>
    <w:rsid w:val="00C963DB"/>
    <w:rsid w:val="00CA5710"/>
    <w:rsid w:val="00CE18C9"/>
    <w:rsid w:val="00CF6A1F"/>
    <w:rsid w:val="00D01021"/>
    <w:rsid w:val="00D130EB"/>
    <w:rsid w:val="00D1349D"/>
    <w:rsid w:val="00D54B1D"/>
    <w:rsid w:val="00DD7ACD"/>
    <w:rsid w:val="00E40B46"/>
    <w:rsid w:val="00E477A9"/>
    <w:rsid w:val="00E64F30"/>
    <w:rsid w:val="00E67500"/>
    <w:rsid w:val="00EA531A"/>
    <w:rsid w:val="00ED3750"/>
    <w:rsid w:val="00EE411C"/>
    <w:rsid w:val="00F04686"/>
    <w:rsid w:val="00F14747"/>
    <w:rsid w:val="00F1759B"/>
    <w:rsid w:val="00F52153"/>
    <w:rsid w:val="00F55632"/>
    <w:rsid w:val="00F60794"/>
    <w:rsid w:val="00F76521"/>
    <w:rsid w:val="00FA08C9"/>
    <w:rsid w:val="00FC057C"/>
    <w:rsid w:val="00FC4997"/>
    <w:rsid w:val="00FD2AC2"/>
    <w:rsid w:val="00FD4EB8"/>
    <w:rsid w:val="00FE180F"/>
    <w:rsid w:val="00FF3A18"/>
    <w:rsid w:val="6DA42A50"/>
    <w:rsid w:val="6DF919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List 2"/>
    <w:basedOn w:val="1"/>
    <w:qFormat/>
    <w:uiPriority w:val="99"/>
    <w:pPr>
      <w:ind w:left="100" w:leftChars="200" w:hanging="200" w:hangingChars="200"/>
    </w:pPr>
    <w:rPr>
      <w:rFonts w:ascii="Times New Roman" w:hAnsi="Times New Roman"/>
      <w:szCs w:val="24"/>
    </w:rPr>
  </w:style>
  <w:style w:type="paragraph" w:styleId="4">
    <w:name w:val="Date"/>
    <w:basedOn w:val="1"/>
    <w:next w:val="1"/>
    <w:link w:val="15"/>
    <w:semiHidden/>
    <w:unhideWhenUsed/>
    <w:uiPriority w:val="99"/>
    <w:pPr>
      <w:ind w:left="100" w:leftChars="2500"/>
    </w:pPr>
  </w:style>
  <w:style w:type="paragraph" w:styleId="5">
    <w:name w:val="Balloon Text"/>
    <w:basedOn w:val="1"/>
    <w:link w:val="14"/>
    <w:semiHidden/>
    <w:unhideWhenUsed/>
    <w:qFormat/>
    <w:uiPriority w:val="99"/>
    <w:rPr>
      <w:sz w:val="18"/>
      <w:szCs w:val="18"/>
    </w:rPr>
  </w:style>
  <w:style w:type="paragraph" w:styleId="6">
    <w:name w:val="footer"/>
    <w:basedOn w:val="1"/>
    <w:link w:val="12"/>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9">
    <w:name w:val="Table Grid"/>
    <w:basedOn w:val="8"/>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页眉 Char"/>
    <w:basedOn w:val="10"/>
    <w:link w:val="7"/>
    <w:uiPriority w:val="99"/>
    <w:rPr>
      <w:sz w:val="18"/>
      <w:szCs w:val="18"/>
    </w:rPr>
  </w:style>
  <w:style w:type="character" w:customStyle="1" w:styleId="12">
    <w:name w:val="页脚 Char"/>
    <w:basedOn w:val="10"/>
    <w:link w:val="6"/>
    <w:uiPriority w:val="99"/>
    <w:rPr>
      <w:sz w:val="18"/>
      <w:szCs w:val="18"/>
    </w:rPr>
  </w:style>
  <w:style w:type="paragraph" w:customStyle="1" w:styleId="13">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4">
    <w:name w:val="批注框文本 Char"/>
    <w:basedOn w:val="10"/>
    <w:link w:val="5"/>
    <w:semiHidden/>
    <w:qFormat/>
    <w:uiPriority w:val="99"/>
    <w:rPr>
      <w:rFonts w:ascii="Calibri" w:hAnsi="Calibri" w:eastAsia="宋体" w:cs="Times New Roman"/>
      <w:sz w:val="18"/>
      <w:szCs w:val="18"/>
    </w:rPr>
  </w:style>
  <w:style w:type="character" w:customStyle="1" w:styleId="15">
    <w:name w:val="日期 Char"/>
    <w:basedOn w:val="10"/>
    <w:link w:val="4"/>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2441</Words>
  <Characters>2620</Characters>
  <Lines>20</Lines>
  <Paragraphs>5</Paragraphs>
  <TotalTime>2</TotalTime>
  <ScaleCrop>false</ScaleCrop>
  <LinksUpToDate>false</LinksUpToDate>
  <CharactersWithSpaces>2656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2023-02-13T04:32:00Z</dcterms:created>
  <dc:creator>admin</dc:creator>
  <cp:lastModifiedBy>金</cp:lastModifiedBy>
  <dcterms:modified xsi:type="dcterms:W3CDTF">2023-02-16T09:15:14Z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97EFE29211684848995468C77353939F</vt:lpwstr>
  </property>
</Properties>
</file>