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cs="黑体"/>
          <w:b/>
          <w:spacing w:val="20"/>
          <w:w w:val="105"/>
          <w:sz w:val="36"/>
          <w:szCs w:val="36"/>
        </w:rPr>
      </w:pPr>
      <w:r>
        <w:rPr>
          <w:rFonts w:hint="eastAsia" w:ascii="仿宋" w:hAnsi="仿宋" w:eastAsia="仿宋" w:cs="黑体"/>
          <w:b/>
          <w:spacing w:val="20"/>
          <w:w w:val="105"/>
          <w:sz w:val="36"/>
          <w:szCs w:val="36"/>
        </w:rPr>
        <w:t>2023年盘锦市船用燃料油产品质量监督抽查实施细则</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1 适用范围</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本细则适用于盘锦市船用燃料油产品质量监督抽查</w:t>
      </w:r>
      <w:bookmarkStart w:id="1" w:name="_GoBack"/>
      <w:bookmarkEnd w:id="1"/>
      <w:r>
        <w:rPr>
          <w:rFonts w:hint="eastAsia" w:ascii="仿宋" w:hAnsi="仿宋" w:eastAsia="仿宋"/>
          <w:sz w:val="28"/>
          <w:szCs w:val="28"/>
        </w:rPr>
        <w:t>。本实施细则内容包括产品分类、术语和定义、企业规模划分、检验依据、抽样、检验要求、判定原则、异议处理及附则。</w:t>
      </w:r>
    </w:p>
    <w:p>
      <w:pPr>
        <w:spacing w:beforeLines="50" w:afterLines="50" w:line="360" w:lineRule="auto"/>
        <w:ind w:firstLine="420" w:firstLineChars="200"/>
        <w:rPr>
          <w:rFonts w:ascii="仿宋" w:hAnsi="仿宋" w:eastAsia="仿宋"/>
          <w:b/>
          <w:sz w:val="28"/>
          <w:szCs w:val="28"/>
        </w:rPr>
      </w:pPr>
      <w:r>
        <w:rPr>
          <w:rFonts w:hint="eastAsia"/>
        </w:rPr>
        <w:t xml:space="preserve">  </w:t>
      </w:r>
      <w:r>
        <w:rPr>
          <w:rFonts w:hint="eastAsia" w:ascii="仿宋" w:hAnsi="仿宋" w:eastAsia="仿宋"/>
          <w:b/>
          <w:sz w:val="28"/>
          <w:szCs w:val="28"/>
        </w:rPr>
        <w:t>2 产品分类</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2.1产品分类见表1。</w:t>
      </w:r>
    </w:p>
    <w:p>
      <w:pPr>
        <w:spacing w:line="360" w:lineRule="auto"/>
        <w:ind w:firstLine="480" w:firstLineChars="200"/>
        <w:jc w:val="center"/>
        <w:rPr>
          <w:rFonts w:ascii="仿宋" w:hAnsi="仿宋" w:eastAsia="仿宋"/>
          <w:sz w:val="24"/>
          <w:szCs w:val="24"/>
        </w:rPr>
      </w:pPr>
      <w:r>
        <w:rPr>
          <w:rFonts w:hint="eastAsia" w:ascii="仿宋" w:hAnsi="仿宋" w:eastAsia="仿宋"/>
          <w:color w:val="000000"/>
          <w:sz w:val="24"/>
          <w:szCs w:val="24"/>
        </w:rPr>
        <w:t>表</w:t>
      </w:r>
      <w:r>
        <w:rPr>
          <w:rFonts w:ascii="仿宋" w:hAnsi="仿宋" w:eastAsia="仿宋"/>
          <w:color w:val="000000"/>
          <w:sz w:val="24"/>
          <w:szCs w:val="24"/>
        </w:rPr>
        <w:t>1</w:t>
      </w:r>
      <w:r>
        <w:rPr>
          <w:rFonts w:hint="eastAsia" w:ascii="仿宋" w:hAnsi="仿宋" w:eastAsia="仿宋"/>
          <w:color w:val="000000"/>
          <w:sz w:val="24"/>
          <w:szCs w:val="24"/>
        </w:rPr>
        <w:t>船用燃料油产品分类及代码</w:t>
      </w:r>
    </w:p>
    <w:tbl>
      <w:tblPr>
        <w:tblStyle w:val="8"/>
        <w:tblW w:w="483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009"/>
        <w:gridCol w:w="2009"/>
        <w:gridCol w:w="2009"/>
        <w:gridCol w:w="2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产品分类</w:t>
            </w:r>
          </w:p>
        </w:tc>
        <w:tc>
          <w:tcPr>
            <w:tcW w:w="1250" w:type="pct"/>
            <w:vAlign w:val="center"/>
          </w:tcPr>
          <w:p>
            <w:pPr>
              <w:spacing w:line="276" w:lineRule="auto"/>
              <w:ind w:firstLine="26" w:firstLineChars="11"/>
              <w:jc w:val="center"/>
              <w:rPr>
                <w:rFonts w:ascii="仿宋" w:hAnsi="仿宋" w:eastAsia="仿宋" w:cs="宋体"/>
                <w:sz w:val="24"/>
                <w:szCs w:val="24"/>
              </w:rPr>
            </w:pPr>
            <w:r>
              <w:rPr>
                <w:rFonts w:hint="eastAsia" w:ascii="仿宋" w:hAnsi="仿宋" w:eastAsia="仿宋" w:cs="宋体"/>
                <w:sz w:val="24"/>
                <w:szCs w:val="24"/>
              </w:rPr>
              <w:t>一级分类</w:t>
            </w:r>
          </w:p>
        </w:tc>
        <w:tc>
          <w:tcPr>
            <w:tcW w:w="1250" w:type="pct"/>
            <w:vAlign w:val="center"/>
          </w:tcPr>
          <w:p>
            <w:pPr>
              <w:spacing w:line="276" w:lineRule="auto"/>
              <w:jc w:val="center"/>
              <w:rPr>
                <w:rFonts w:ascii="仿宋" w:hAnsi="仿宋" w:eastAsia="仿宋" w:cs="宋体"/>
                <w:sz w:val="24"/>
                <w:szCs w:val="24"/>
              </w:rPr>
            </w:pPr>
            <w:r>
              <w:rPr>
                <w:rFonts w:hint="eastAsia" w:ascii="仿宋" w:hAnsi="仿宋" w:eastAsia="仿宋" w:cs="宋体"/>
                <w:sz w:val="24"/>
                <w:szCs w:val="24"/>
              </w:rPr>
              <w:t>二级分类</w:t>
            </w:r>
          </w:p>
        </w:tc>
        <w:tc>
          <w:tcPr>
            <w:tcW w:w="1250" w:type="pct"/>
            <w:vAlign w:val="center"/>
          </w:tcPr>
          <w:p>
            <w:pPr>
              <w:spacing w:line="276" w:lineRule="auto"/>
              <w:jc w:val="center"/>
              <w:rPr>
                <w:rFonts w:ascii="仿宋" w:hAnsi="仿宋" w:eastAsia="仿宋" w:cs="宋体"/>
                <w:sz w:val="24"/>
                <w:szCs w:val="24"/>
              </w:rPr>
            </w:pPr>
            <w:r>
              <w:rPr>
                <w:rFonts w:hint="eastAsia" w:ascii="仿宋" w:hAnsi="仿宋" w:eastAsia="仿宋" w:cs="宋体"/>
                <w:sz w:val="24"/>
                <w:szCs w:val="24"/>
              </w:rPr>
              <w:t>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分类代码</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6</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分类名称</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机械及安防</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w:t>
            </w:r>
          </w:p>
        </w:tc>
      </w:tr>
    </w:tbl>
    <w:p>
      <w:pPr>
        <w:spacing w:line="360" w:lineRule="auto"/>
        <w:ind w:firstLine="560" w:firstLineChars="200"/>
        <w:rPr>
          <w:rFonts w:ascii="仿宋" w:hAnsi="仿宋" w:eastAsia="仿宋"/>
          <w:sz w:val="28"/>
          <w:szCs w:val="28"/>
        </w:rPr>
      </w:pPr>
      <w:r>
        <w:rPr>
          <w:rFonts w:hint="eastAsia" w:ascii="仿宋" w:hAnsi="仿宋" w:eastAsia="仿宋"/>
          <w:sz w:val="28"/>
          <w:szCs w:val="28"/>
        </w:rPr>
        <w:t>2.2产品种类</w:t>
      </w:r>
    </w:p>
    <w:p>
      <w:pPr>
        <w:spacing w:line="594" w:lineRule="atLeast"/>
        <w:ind w:firstLine="560" w:firstLineChars="200"/>
        <w:rPr>
          <w:rFonts w:ascii="仿宋" w:hAnsi="仿宋" w:eastAsia="仿宋" w:cs="仿宋"/>
          <w:sz w:val="28"/>
          <w:szCs w:val="28"/>
        </w:rPr>
      </w:pPr>
      <w:r>
        <w:rPr>
          <w:rFonts w:hint="eastAsia" w:ascii="仿宋" w:hAnsi="仿宋" w:eastAsia="仿宋" w:cs="仿宋"/>
          <w:sz w:val="28"/>
          <w:szCs w:val="28"/>
        </w:rPr>
        <w:t>船用燃料油分为馏分燃料（D）、残渣燃料（R）和内河船用燃料油三大类，其中馏分燃料油又分为DMX、DMA、DMZ和DMB四种，残渣燃料油分为RMA、RMB、RMD、RME、RMG和RMK六种，内河船用燃料油分为DMA（S10）和DMB（S10）两种；经公示现行有效的企业标准、地方标准及产品明示质量要求中规定的特殊牌号。</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3术语和定义</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本细则中未列出的术语和定义同相关引用标准。</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4 企业规模划分</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根据国家统计局印发的相关管理办法，确定企业规模。</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5 检验依据</w:t>
      </w:r>
    </w:p>
    <w:p>
      <w:pPr>
        <w:spacing w:line="360" w:lineRule="auto"/>
        <w:ind w:firstLine="560" w:firstLineChars="200"/>
        <w:rPr>
          <w:rFonts w:ascii="仿宋" w:hAnsi="仿宋" w:eastAsia="仿宋"/>
        </w:rPr>
      </w:pPr>
      <w:r>
        <w:rPr>
          <w:rFonts w:hint="eastAsia" w:ascii="仿宋" w:hAnsi="仿宋" w:eastAsia="仿宋"/>
          <w:sz w:val="28"/>
          <w:szCs w:val="28"/>
        </w:rPr>
        <w:t>凡是注日期的文件，其随后所有的修改单（不包括勘误的内容）或修订版不适用于本细则。凡是不注日期的文件，其最新版本适用于本细则。</w:t>
      </w:r>
    </w:p>
    <w:p>
      <w:pPr>
        <w:spacing w:line="594" w:lineRule="atLeast"/>
        <w:ind w:firstLine="560" w:firstLineChars="200"/>
        <w:rPr>
          <w:rFonts w:ascii="仿宋" w:hAnsi="仿宋" w:eastAsia="仿宋" w:cs="仿宋"/>
          <w:sz w:val="28"/>
          <w:szCs w:val="28"/>
        </w:rPr>
      </w:pPr>
      <w:r>
        <w:rPr>
          <w:rFonts w:hint="eastAsia" w:ascii="仿宋" w:hAnsi="仿宋" w:eastAsia="仿宋" w:cs="仿宋"/>
          <w:sz w:val="28"/>
          <w:szCs w:val="28"/>
        </w:rPr>
        <w:t>GB 17411     船用燃料油</w:t>
      </w:r>
    </w:p>
    <w:p>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相关的法律法规、部门规章和规范</w:t>
      </w:r>
    </w:p>
    <w:p>
      <w:pPr>
        <w:spacing w:line="360" w:lineRule="auto"/>
        <w:ind w:firstLine="560" w:firstLineChars="200"/>
        <w:rPr>
          <w:rFonts w:ascii="仿宋" w:hAnsi="仿宋" w:eastAsia="仿宋"/>
          <w:sz w:val="28"/>
          <w:szCs w:val="28"/>
        </w:rPr>
      </w:pPr>
      <w:r>
        <w:rPr>
          <w:rFonts w:hint="eastAsia" w:ascii="仿宋" w:hAnsi="仿宋" w:eastAsia="仿宋"/>
          <w:sz w:val="28"/>
          <w:szCs w:val="28"/>
        </w:rPr>
        <w:t>经备案现行有效的企业标准、地方标准及产品明示质量要求</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6 抽样</w:t>
      </w:r>
    </w:p>
    <w:p>
      <w:pPr>
        <w:spacing w:line="594" w:lineRule="atLeast"/>
        <w:ind w:firstLine="560" w:firstLineChars="200"/>
        <w:rPr>
          <w:rFonts w:ascii="仿宋" w:hAnsi="仿宋" w:eastAsia="仿宋" w:cs="仿宋"/>
          <w:sz w:val="28"/>
          <w:szCs w:val="28"/>
        </w:rPr>
      </w:pPr>
      <w:r>
        <w:rPr>
          <w:rFonts w:hint="eastAsia" w:ascii="仿宋" w:hAnsi="仿宋" w:eastAsia="仿宋" w:cs="仿宋"/>
          <w:sz w:val="28"/>
          <w:szCs w:val="28"/>
        </w:rPr>
        <w:t>6.1 抽样型号或规格</w:t>
      </w:r>
    </w:p>
    <w:p>
      <w:pPr>
        <w:spacing w:line="594" w:lineRule="atLeast"/>
        <w:ind w:firstLine="560" w:firstLineChars="200"/>
        <w:rPr>
          <w:rFonts w:ascii="仿宋" w:hAnsi="仿宋" w:eastAsia="仿宋" w:cs="仿宋"/>
          <w:sz w:val="28"/>
          <w:szCs w:val="28"/>
        </w:rPr>
      </w:pPr>
      <w:r>
        <w:rPr>
          <w:rFonts w:hint="eastAsia" w:ascii="仿宋" w:hAnsi="仿宋" w:eastAsia="仿宋" w:cs="仿宋"/>
          <w:sz w:val="28"/>
          <w:szCs w:val="28"/>
        </w:rPr>
        <w:t>抽取样品应为同一型号规格、同一批次的产品，优先抽取企业的主导产品。</w:t>
      </w:r>
    </w:p>
    <w:p>
      <w:pPr>
        <w:spacing w:line="594" w:lineRule="atLeast"/>
        <w:ind w:firstLine="560" w:firstLineChars="200"/>
        <w:rPr>
          <w:rFonts w:ascii="仿宋" w:hAnsi="仿宋" w:eastAsia="仿宋" w:cs="仿宋"/>
          <w:sz w:val="28"/>
          <w:szCs w:val="28"/>
        </w:rPr>
      </w:pPr>
      <w:r>
        <w:rPr>
          <w:rFonts w:hint="eastAsia" w:ascii="仿宋" w:hAnsi="仿宋" w:eastAsia="仿宋" w:cs="仿宋"/>
          <w:sz w:val="28"/>
          <w:szCs w:val="28"/>
        </w:rPr>
        <w:t>6.2 抽样基数及数量</w:t>
      </w:r>
    </w:p>
    <w:p>
      <w:pPr>
        <w:spacing w:line="594" w:lineRule="atLeast"/>
        <w:ind w:firstLine="560" w:firstLineChars="200"/>
        <w:rPr>
          <w:rFonts w:ascii="仿宋" w:hAnsi="仿宋" w:eastAsia="仿宋" w:cs="仿宋"/>
          <w:sz w:val="28"/>
          <w:szCs w:val="28"/>
        </w:rPr>
      </w:pPr>
      <w:r>
        <w:rPr>
          <w:rFonts w:hint="eastAsia" w:ascii="仿宋" w:hAnsi="仿宋" w:eastAsia="仿宋" w:cs="仿宋"/>
          <w:sz w:val="28"/>
          <w:szCs w:val="28"/>
        </w:rPr>
        <w:t>在企业的成品罐区或市场待销产品中随机抽取有产品质量检验合格证明或者以其它形式表明合格（合格证、合格报告、企业相关人员确认等方式均可）的产品。</w:t>
      </w:r>
      <w:bookmarkStart w:id="0" w:name="_Hlk104125003"/>
      <w:r>
        <w:rPr>
          <w:rFonts w:hint="eastAsia" w:ascii="仿宋" w:hAnsi="仿宋" w:eastAsia="仿宋" w:cs="仿宋"/>
          <w:sz w:val="28"/>
          <w:szCs w:val="28"/>
        </w:rPr>
        <w:t>随机数一般可使用随机数表、骰子或扑克牌等方法产生。</w:t>
      </w:r>
      <w:bookmarkEnd w:id="0"/>
      <w:r>
        <w:rPr>
          <w:rFonts w:hint="eastAsia" w:ascii="仿宋" w:hAnsi="仿宋" w:eastAsia="仿宋" w:cs="仿宋"/>
          <w:sz w:val="28"/>
          <w:szCs w:val="28"/>
        </w:rPr>
        <w:t>所抽取产品的保质期（未注明保质期的按尚在保质期内处理）应能确保整个监督抽查（包含异议处理）工作的完成。</w:t>
      </w:r>
    </w:p>
    <w:p>
      <w:pPr>
        <w:spacing w:line="594" w:lineRule="atLeast"/>
        <w:ind w:firstLine="560" w:firstLineChars="200"/>
        <w:rPr>
          <w:rFonts w:ascii="仿宋" w:hAnsi="仿宋" w:eastAsia="仿宋" w:cs="仿宋"/>
          <w:sz w:val="28"/>
          <w:szCs w:val="28"/>
        </w:rPr>
      </w:pPr>
      <w:r>
        <w:rPr>
          <w:rFonts w:hint="eastAsia" w:ascii="仿宋" w:hAnsi="仿宋" w:eastAsia="仿宋" w:cs="仿宋"/>
          <w:sz w:val="28"/>
          <w:szCs w:val="28"/>
        </w:rPr>
        <w:t>在生产企业的成品罐抽样时，同一批次产品的抽样基数不得少于50kg，取样方法执行GB/T 4756。取3kg为样本，平均分作两份盛装在合适的容器中，一份作为检验样品，一份作为备用样品。</w:t>
      </w:r>
    </w:p>
    <w:p>
      <w:pPr>
        <w:spacing w:line="594" w:lineRule="atLeast"/>
        <w:ind w:firstLine="560" w:firstLineChars="200"/>
        <w:rPr>
          <w:rFonts w:ascii="仿宋" w:hAnsi="仿宋" w:eastAsia="仿宋" w:cs="仿宋"/>
          <w:sz w:val="28"/>
          <w:szCs w:val="28"/>
        </w:rPr>
      </w:pPr>
      <w:r>
        <w:rPr>
          <w:rFonts w:hint="eastAsia" w:ascii="仿宋" w:hAnsi="仿宋" w:eastAsia="仿宋" w:cs="仿宋"/>
          <w:sz w:val="28"/>
          <w:szCs w:val="28"/>
        </w:rPr>
        <w:t>在流通领域抽样时，取样方法与生产领域相同，抽样基数应不少于抽取样品量。抽取不小于2个最小独立包装，总量不少于3kg的样品，1/2作为检验样品，1/2作为备用样品。</w:t>
      </w:r>
    </w:p>
    <w:p>
      <w:pPr>
        <w:spacing w:line="594" w:lineRule="atLeast"/>
        <w:ind w:firstLine="560" w:firstLineChars="200"/>
        <w:rPr>
          <w:rFonts w:ascii="仿宋" w:hAnsi="仿宋" w:eastAsia="仿宋" w:cs="仿宋"/>
          <w:sz w:val="28"/>
          <w:szCs w:val="28"/>
        </w:rPr>
      </w:pPr>
      <w:r>
        <w:rPr>
          <w:rFonts w:hint="eastAsia" w:ascii="仿宋" w:hAnsi="仿宋" w:eastAsia="仿宋" w:cs="仿宋"/>
          <w:sz w:val="28"/>
          <w:szCs w:val="28"/>
        </w:rPr>
        <w:t>6.3 样品处置</w:t>
      </w:r>
    </w:p>
    <w:p>
      <w:pPr>
        <w:spacing w:line="594" w:lineRule="atLeast"/>
        <w:ind w:firstLine="560" w:firstLineChars="200"/>
        <w:rPr>
          <w:rFonts w:ascii="仿宋" w:hAnsi="仿宋" w:eastAsia="仿宋" w:cs="仿宋"/>
          <w:sz w:val="28"/>
          <w:szCs w:val="28"/>
        </w:rPr>
      </w:pPr>
      <w:r>
        <w:rPr>
          <w:rFonts w:hint="eastAsia" w:ascii="仿宋" w:hAnsi="仿宋" w:eastAsia="仿宋" w:cs="仿宋"/>
          <w:sz w:val="28"/>
          <w:szCs w:val="28"/>
        </w:rPr>
        <w:t>6.3.1 对抽取的样品，应分别注明“检验样品”与“备用样品”或类似字样。当场对样品的瓶口或桶口密封，为保证样品的真实性，要有相应的防拆封措施，并保证封条在运输过程中不会破损。封条上至少要有抽样日期、抽样人签字、被抽查企业代表签字及抽样单位公章等相关信息。</w:t>
      </w:r>
    </w:p>
    <w:p>
      <w:pPr>
        <w:spacing w:line="594" w:lineRule="atLeast"/>
        <w:ind w:firstLine="560" w:firstLineChars="200"/>
        <w:rPr>
          <w:rFonts w:ascii="仿宋" w:hAnsi="仿宋" w:eastAsia="仿宋" w:cs="仿宋"/>
          <w:sz w:val="28"/>
          <w:szCs w:val="28"/>
        </w:rPr>
      </w:pPr>
      <w:r>
        <w:rPr>
          <w:rFonts w:hint="eastAsia" w:ascii="仿宋" w:hAnsi="仿宋" w:eastAsia="仿宋" w:cs="仿宋"/>
          <w:sz w:val="28"/>
          <w:szCs w:val="28"/>
        </w:rPr>
        <w:t>6.3.2 抽取的样品应按运输条件包装好，由抽样人员通过合适的途径运送至样品检验机构。运输时严防雨淋、日晒、受潮。装卸时轻搬轻放，严禁掷抛。</w:t>
      </w:r>
    </w:p>
    <w:p>
      <w:pPr>
        <w:spacing w:line="594" w:lineRule="atLeast"/>
        <w:ind w:firstLine="560" w:firstLineChars="200"/>
        <w:rPr>
          <w:rFonts w:ascii="仿宋" w:hAnsi="仿宋" w:eastAsia="仿宋" w:cs="仿宋"/>
          <w:sz w:val="28"/>
          <w:szCs w:val="28"/>
        </w:rPr>
      </w:pPr>
      <w:r>
        <w:rPr>
          <w:rFonts w:hint="eastAsia" w:ascii="仿宋" w:hAnsi="仿宋" w:eastAsia="仿宋" w:cs="仿宋"/>
          <w:sz w:val="28"/>
          <w:szCs w:val="28"/>
        </w:rPr>
        <w:t>6.3.3 备用样品及检验结束后的样品应该贮存在阴凉、干燥、避免阳光直射的安全处。</w:t>
      </w:r>
    </w:p>
    <w:p>
      <w:pPr>
        <w:spacing w:line="594" w:lineRule="atLeast"/>
        <w:ind w:firstLine="560" w:firstLineChars="200"/>
        <w:rPr>
          <w:rFonts w:ascii="仿宋" w:hAnsi="仿宋" w:eastAsia="仿宋" w:cs="仿宋"/>
          <w:sz w:val="28"/>
          <w:szCs w:val="28"/>
        </w:rPr>
      </w:pPr>
      <w:r>
        <w:rPr>
          <w:rFonts w:hint="eastAsia" w:ascii="仿宋" w:hAnsi="仿宋" w:eastAsia="仿宋" w:cs="仿宋"/>
          <w:sz w:val="28"/>
          <w:szCs w:val="28"/>
        </w:rPr>
        <w:t>6.3.4 备用样品由被抽样生产者、销售者先行无偿提供并保存，在整个保存期间被抽样生产者、销售者应当妥善保管封存的样品，保证备用样品签封及包装完整无损，不得隐匿、转移、变卖、损毁。</w:t>
      </w:r>
    </w:p>
    <w:p>
      <w:pPr>
        <w:spacing w:line="594" w:lineRule="atLeast"/>
        <w:ind w:firstLine="560" w:firstLineChars="200"/>
        <w:rPr>
          <w:rFonts w:ascii="仿宋" w:hAnsi="仿宋" w:eastAsia="仿宋" w:cs="仿宋"/>
          <w:sz w:val="28"/>
          <w:szCs w:val="28"/>
        </w:rPr>
      </w:pPr>
      <w:r>
        <w:rPr>
          <w:rFonts w:hint="eastAsia" w:ascii="仿宋" w:hAnsi="仿宋" w:eastAsia="仿宋" w:cs="仿宋"/>
          <w:sz w:val="28"/>
          <w:szCs w:val="28"/>
        </w:rPr>
        <w:t>6.4 抽样单</w:t>
      </w:r>
    </w:p>
    <w:p>
      <w:pPr>
        <w:spacing w:line="594" w:lineRule="atLeast"/>
        <w:ind w:firstLine="560" w:firstLineChars="200"/>
        <w:rPr>
          <w:rFonts w:ascii="仿宋" w:hAnsi="仿宋" w:eastAsia="仿宋" w:cs="仿宋"/>
          <w:sz w:val="28"/>
          <w:szCs w:val="28"/>
        </w:rPr>
      </w:pPr>
      <w:r>
        <w:rPr>
          <w:rFonts w:hint="eastAsia" w:ascii="仿宋" w:hAnsi="仿宋" w:eastAsia="仿宋" w:cs="仿宋"/>
          <w:sz w:val="28"/>
          <w:szCs w:val="28"/>
        </w:rPr>
        <w:t>应按有关规定填写抽样单，记录被抽查产品及企业相关信息。</w:t>
      </w:r>
    </w:p>
    <w:p>
      <w:pPr>
        <w:spacing w:line="594" w:lineRule="atLeast"/>
        <w:ind w:firstLine="560" w:firstLineChars="200"/>
        <w:rPr>
          <w:rFonts w:ascii="仿宋" w:hAnsi="仿宋" w:eastAsia="仿宋" w:cs="仿宋"/>
          <w:sz w:val="28"/>
          <w:szCs w:val="28"/>
        </w:rPr>
      </w:pPr>
      <w:r>
        <w:rPr>
          <w:rFonts w:hint="eastAsia" w:ascii="仿宋" w:hAnsi="仿宋" w:eastAsia="仿宋" w:cs="仿宋"/>
          <w:sz w:val="28"/>
          <w:szCs w:val="28"/>
        </w:rPr>
        <w:t>6.5 其他要求</w:t>
      </w:r>
    </w:p>
    <w:p>
      <w:pPr>
        <w:spacing w:line="594" w:lineRule="atLeast"/>
        <w:ind w:firstLine="560" w:firstLineChars="200"/>
        <w:rPr>
          <w:rFonts w:ascii="仿宋" w:hAnsi="仿宋" w:eastAsia="仿宋" w:cs="仿宋"/>
          <w:sz w:val="28"/>
          <w:szCs w:val="28"/>
        </w:rPr>
      </w:pPr>
      <w:r>
        <w:rPr>
          <w:rFonts w:hint="eastAsia" w:ascii="仿宋" w:hAnsi="仿宋" w:eastAsia="仿宋" w:cs="仿宋"/>
          <w:sz w:val="28"/>
          <w:szCs w:val="28"/>
        </w:rPr>
        <w:t>应对抽样的关键过程留下影像资料。在进入企业、取样、双方签字确认等环节时，影像资料要能清晰记录企业名称、营业执照名称、被抽样的产品、取样部位、抽样状态、抽样人员和企业陪同人员等。</w:t>
      </w:r>
    </w:p>
    <w:p>
      <w:pPr>
        <w:spacing w:line="594" w:lineRule="atLeast"/>
        <w:ind w:firstLine="560" w:firstLineChars="200"/>
        <w:rPr>
          <w:rFonts w:ascii="仿宋" w:hAnsi="仿宋" w:eastAsia="仿宋" w:cs="仿宋"/>
          <w:sz w:val="28"/>
          <w:szCs w:val="28"/>
        </w:rPr>
      </w:pPr>
      <w:r>
        <w:rPr>
          <w:rFonts w:hint="eastAsia" w:ascii="仿宋" w:hAnsi="仿宋" w:eastAsia="仿宋" w:cs="仿宋"/>
          <w:sz w:val="28"/>
          <w:szCs w:val="28"/>
        </w:rPr>
        <w:t>6.6 样品获取方式</w:t>
      </w:r>
    </w:p>
    <w:p>
      <w:pPr>
        <w:snapToGrid w:val="0"/>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按照国家市场监管总局相关管理办法执行。</w:t>
      </w:r>
    </w:p>
    <w:p>
      <w:pPr>
        <w:spacing w:line="594" w:lineRule="atLeast"/>
        <w:ind w:firstLine="560" w:firstLineChars="200"/>
        <w:rPr>
          <w:rFonts w:ascii="仿宋" w:hAnsi="仿宋" w:eastAsia="仿宋" w:cs="仿宋"/>
          <w:sz w:val="28"/>
          <w:szCs w:val="28"/>
        </w:rPr>
      </w:pPr>
      <w:r>
        <w:rPr>
          <w:rFonts w:hint="eastAsia" w:ascii="仿宋" w:hAnsi="仿宋" w:eastAsia="仿宋" w:cs="仿宋"/>
          <w:sz w:val="28"/>
          <w:szCs w:val="28"/>
        </w:rPr>
        <w:t>6.7 抽样时应注意的问题</w:t>
      </w:r>
    </w:p>
    <w:p>
      <w:pPr>
        <w:spacing w:line="594" w:lineRule="atLeast"/>
        <w:ind w:firstLine="560" w:firstLineChars="200"/>
        <w:rPr>
          <w:rFonts w:ascii="仿宋" w:hAnsi="仿宋" w:eastAsia="仿宋" w:cs="仿宋"/>
          <w:sz w:val="28"/>
          <w:szCs w:val="28"/>
        </w:rPr>
      </w:pPr>
      <w:r>
        <w:rPr>
          <w:rFonts w:hint="eastAsia" w:ascii="仿宋" w:hAnsi="仿宋" w:eastAsia="仿宋" w:cs="仿宋"/>
          <w:sz w:val="28"/>
          <w:szCs w:val="28"/>
        </w:rPr>
        <w:t>6.7.1 应由抽样技术人员在现场进行抽取，不得由企业自行抽样。抽取的样品应当是有产品质量检验合格证明或者以其他形式表明合格的产品。</w:t>
      </w:r>
    </w:p>
    <w:p>
      <w:pPr>
        <w:spacing w:line="594" w:lineRule="atLeast"/>
        <w:ind w:firstLine="560" w:firstLineChars="200"/>
        <w:rPr>
          <w:rFonts w:ascii="仿宋" w:hAnsi="仿宋" w:eastAsia="仿宋" w:cs="仿宋"/>
          <w:sz w:val="28"/>
          <w:szCs w:val="28"/>
        </w:rPr>
      </w:pPr>
      <w:r>
        <w:rPr>
          <w:rFonts w:hint="eastAsia" w:ascii="仿宋" w:hAnsi="仿宋" w:eastAsia="仿宋" w:cs="仿宋"/>
          <w:sz w:val="28"/>
          <w:szCs w:val="28"/>
        </w:rPr>
        <w:t>6.7.2 抽样时，抽样人员应当认真核实营业执照等被抽查企业的相关信息，确认企业不存在不得抽样的情形。遇有下列情况之一且能提供有效证明的，不得抽样：</w:t>
      </w:r>
    </w:p>
    <w:p>
      <w:pPr>
        <w:spacing w:line="594" w:lineRule="atLeast"/>
        <w:ind w:firstLine="560" w:firstLineChars="200"/>
        <w:rPr>
          <w:rFonts w:ascii="仿宋" w:hAnsi="仿宋" w:eastAsia="仿宋" w:cs="仿宋"/>
          <w:sz w:val="28"/>
          <w:szCs w:val="28"/>
        </w:rPr>
      </w:pPr>
      <w:r>
        <w:rPr>
          <w:rFonts w:hint="eastAsia" w:ascii="仿宋" w:hAnsi="仿宋" w:eastAsia="仿宋" w:cs="仿宋"/>
          <w:sz w:val="28"/>
          <w:szCs w:val="28"/>
        </w:rPr>
        <w:t>（1）被抽查企业无监督抽查通知书或者相关文件复印件所列产品的；</w:t>
      </w:r>
    </w:p>
    <w:p>
      <w:pPr>
        <w:spacing w:line="594" w:lineRule="atLeast"/>
        <w:ind w:firstLine="560" w:firstLineChars="200"/>
        <w:rPr>
          <w:rFonts w:ascii="仿宋" w:hAnsi="仿宋" w:eastAsia="仿宋" w:cs="仿宋"/>
          <w:sz w:val="28"/>
          <w:szCs w:val="28"/>
        </w:rPr>
      </w:pPr>
      <w:r>
        <w:rPr>
          <w:rFonts w:hint="eastAsia" w:ascii="仿宋" w:hAnsi="仿宋" w:eastAsia="仿宋" w:cs="仿宋"/>
          <w:sz w:val="28"/>
          <w:szCs w:val="28"/>
        </w:rPr>
        <w:t>（2）有充分证据证明拟抽查的产品是不用于销售的；</w:t>
      </w:r>
    </w:p>
    <w:p>
      <w:pPr>
        <w:spacing w:line="594" w:lineRule="atLeast"/>
        <w:ind w:firstLine="560" w:firstLineChars="200"/>
        <w:rPr>
          <w:rFonts w:ascii="仿宋" w:hAnsi="仿宋" w:eastAsia="仿宋" w:cs="仿宋"/>
          <w:sz w:val="28"/>
          <w:szCs w:val="28"/>
        </w:rPr>
      </w:pPr>
      <w:r>
        <w:rPr>
          <w:rFonts w:hint="eastAsia" w:ascii="仿宋" w:hAnsi="仿宋" w:eastAsia="仿宋" w:cs="仿宋"/>
          <w:sz w:val="28"/>
          <w:szCs w:val="28"/>
        </w:rPr>
        <w:t>（3）产品不涉及强制性标准要求，仅按双方约定的技术要求加工生产，且未执行任何标准的；</w:t>
      </w:r>
    </w:p>
    <w:p>
      <w:pPr>
        <w:spacing w:line="594" w:lineRule="atLeast"/>
        <w:ind w:firstLine="560" w:firstLineChars="200"/>
        <w:rPr>
          <w:rFonts w:ascii="仿宋" w:hAnsi="仿宋" w:eastAsia="仿宋" w:cs="仿宋"/>
          <w:sz w:val="28"/>
          <w:szCs w:val="28"/>
        </w:rPr>
      </w:pPr>
      <w:r>
        <w:rPr>
          <w:rFonts w:hint="eastAsia" w:ascii="仿宋" w:hAnsi="仿宋" w:eastAsia="仿宋" w:cs="仿宋"/>
          <w:sz w:val="28"/>
          <w:szCs w:val="28"/>
        </w:rPr>
        <w:t>（4）有充分证据证明拟抽查的产品为企业用于出口，并且出口合同对产品质量另有规定的；</w:t>
      </w:r>
    </w:p>
    <w:p>
      <w:pPr>
        <w:spacing w:line="594" w:lineRule="atLeast"/>
        <w:ind w:firstLine="560" w:firstLineChars="200"/>
        <w:rPr>
          <w:rFonts w:ascii="仿宋" w:hAnsi="仿宋" w:eastAsia="仿宋" w:cs="仿宋"/>
          <w:sz w:val="28"/>
          <w:szCs w:val="28"/>
        </w:rPr>
      </w:pPr>
      <w:r>
        <w:rPr>
          <w:rFonts w:hint="eastAsia" w:ascii="仿宋" w:hAnsi="仿宋" w:eastAsia="仿宋" w:cs="仿宋"/>
          <w:sz w:val="28"/>
          <w:szCs w:val="28"/>
        </w:rPr>
        <w:t>（5）产品或者标签、包装、说明书标有“试制”、“处理”或者“样品”等字样的；</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（6）企业提供上级市场监管部门6个月内同一规格型号的该种产品的监督抽查抽样单或者合格检验报告的。</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7 检验要求</w:t>
      </w:r>
    </w:p>
    <w:p>
      <w:pPr>
        <w:spacing w:line="360" w:lineRule="auto"/>
        <w:ind w:firstLine="560" w:firstLineChars="200"/>
        <w:rPr>
          <w:rFonts w:ascii="仿宋" w:hAnsi="仿宋" w:eastAsia="仿宋"/>
          <w:sz w:val="28"/>
          <w:szCs w:val="28"/>
        </w:rPr>
      </w:pPr>
      <w:r>
        <w:rPr>
          <w:rFonts w:hint="eastAsia" w:ascii="仿宋" w:hAnsi="仿宋" w:eastAsia="仿宋"/>
          <w:sz w:val="28"/>
          <w:szCs w:val="28"/>
        </w:rPr>
        <w:t>7.1检验项目</w:t>
      </w:r>
    </w:p>
    <w:p>
      <w:pPr>
        <w:pStyle w:val="2"/>
        <w:spacing w:line="360" w:lineRule="auto"/>
        <w:ind w:firstLine="560"/>
        <w:rPr>
          <w:rFonts w:ascii="仿宋" w:hAnsi="仿宋" w:eastAsia="仿宋"/>
        </w:rPr>
      </w:pPr>
      <w:r>
        <w:rPr>
          <w:rFonts w:hint="eastAsia" w:ascii="仿宋" w:hAnsi="仿宋" w:eastAsia="仿宋"/>
          <w:sz w:val="28"/>
          <w:szCs w:val="28"/>
        </w:rPr>
        <w:t>船用燃料油产品检验项目表3、表4。</w:t>
      </w:r>
    </w:p>
    <w:p>
      <w:pPr>
        <w:pStyle w:val="3"/>
        <w:ind w:leftChars="0" w:firstLine="0" w:firstLineChars="0"/>
        <w:jc w:val="center"/>
      </w:pPr>
      <w:r>
        <w:rPr>
          <w:rFonts w:hint="eastAsia"/>
        </w:rPr>
        <w:t>表3</w:t>
      </w:r>
      <w:r>
        <w:rPr>
          <w:rFonts w:hint="eastAsia" w:ascii="宋体" w:hAnsi="宋体" w:cs="宋体"/>
          <w:szCs w:val="21"/>
        </w:rPr>
        <w:t>船用馏分燃料油检验项目</w:t>
      </w:r>
    </w:p>
    <w:tbl>
      <w:tblPr>
        <w:tblStyle w:val="8"/>
        <w:tblW w:w="503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8"/>
        <w:gridCol w:w="3450"/>
        <w:gridCol w:w="1843"/>
        <w:gridCol w:w="2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55" w:type="pct"/>
            <w:vMerge w:val="restart"/>
            <w:tcBorders>
              <w:top w:val="single" w:color="auto" w:sz="4" w:space="0"/>
              <w:left w:val="single" w:color="auto" w:sz="4" w:space="0"/>
            </w:tcBorders>
            <w:vAlign w:val="center"/>
          </w:tcPr>
          <w:p>
            <w:pPr>
              <w:spacing w:line="276" w:lineRule="auto"/>
              <w:jc w:val="center"/>
              <w:rPr>
                <w:rFonts w:ascii="仿宋" w:hAnsi="仿宋" w:eastAsia="仿宋" w:cs="Arial"/>
                <w:szCs w:val="21"/>
              </w:rPr>
            </w:pPr>
            <w:r>
              <w:rPr>
                <w:rFonts w:hint="eastAsia" w:ascii="仿宋" w:hAnsi="仿宋" w:eastAsia="仿宋" w:cs="Arial"/>
                <w:szCs w:val="21"/>
              </w:rPr>
              <w:t>序号</w:t>
            </w:r>
          </w:p>
        </w:tc>
        <w:tc>
          <w:tcPr>
            <w:tcW w:w="2009" w:type="pct"/>
            <w:vMerge w:val="restart"/>
            <w:tcBorders>
              <w:top w:val="single" w:color="auto" w:sz="4" w:space="0"/>
            </w:tcBorders>
            <w:vAlign w:val="center"/>
          </w:tcPr>
          <w:p>
            <w:pPr>
              <w:spacing w:line="276" w:lineRule="auto"/>
              <w:jc w:val="center"/>
              <w:rPr>
                <w:rFonts w:ascii="仿宋" w:hAnsi="仿宋" w:eastAsia="仿宋" w:cs="Arial"/>
                <w:szCs w:val="21"/>
              </w:rPr>
            </w:pPr>
            <w:r>
              <w:rPr>
                <w:rFonts w:hint="eastAsia" w:ascii="仿宋" w:hAnsi="仿宋" w:eastAsia="仿宋" w:cs="Arial"/>
                <w:szCs w:val="21"/>
              </w:rPr>
              <w:t>检验项目</w:t>
            </w:r>
          </w:p>
        </w:tc>
        <w:tc>
          <w:tcPr>
            <w:tcW w:w="1073" w:type="pct"/>
            <w:vMerge w:val="restart"/>
            <w:tcBorders>
              <w:top w:val="single" w:color="auto" w:sz="4" w:space="0"/>
            </w:tcBorders>
            <w:vAlign w:val="center"/>
          </w:tcPr>
          <w:p>
            <w:pPr>
              <w:spacing w:line="276" w:lineRule="auto"/>
              <w:jc w:val="center"/>
              <w:rPr>
                <w:rFonts w:ascii="仿宋" w:hAnsi="仿宋" w:eastAsia="仿宋" w:cs="Arial"/>
                <w:szCs w:val="21"/>
              </w:rPr>
            </w:pPr>
            <w:r>
              <w:rPr>
                <w:rFonts w:hint="eastAsia" w:ascii="仿宋" w:hAnsi="仿宋" w:eastAsia="仿宋" w:cs="Arial"/>
                <w:szCs w:val="21"/>
              </w:rPr>
              <w:t>依据标准</w:t>
            </w:r>
          </w:p>
        </w:tc>
        <w:tc>
          <w:tcPr>
            <w:tcW w:w="1663" w:type="pct"/>
            <w:vMerge w:val="restart"/>
            <w:tcBorders>
              <w:top w:val="single" w:color="auto" w:sz="4" w:space="0"/>
            </w:tcBorders>
            <w:vAlign w:val="center"/>
          </w:tcPr>
          <w:p>
            <w:pPr>
              <w:spacing w:line="276" w:lineRule="auto"/>
              <w:jc w:val="center"/>
              <w:rPr>
                <w:rFonts w:ascii="仿宋" w:hAnsi="仿宋" w:eastAsia="仿宋" w:cs="Arial"/>
                <w:szCs w:val="21"/>
              </w:rPr>
            </w:pPr>
            <w:r>
              <w:rPr>
                <w:rFonts w:hint="eastAsia" w:ascii="仿宋" w:hAnsi="仿宋" w:eastAsia="仿宋" w:cs="Arial"/>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55" w:type="pct"/>
            <w:vMerge w:val="continue"/>
            <w:tcBorders>
              <w:left w:val="single" w:color="auto" w:sz="4" w:space="0"/>
            </w:tcBorders>
            <w:vAlign w:val="center"/>
          </w:tcPr>
          <w:p>
            <w:pPr>
              <w:spacing w:line="276" w:lineRule="auto"/>
              <w:jc w:val="center"/>
              <w:rPr>
                <w:rFonts w:ascii="仿宋" w:hAnsi="仿宋" w:eastAsia="仿宋" w:cs="Arial"/>
                <w:szCs w:val="21"/>
              </w:rPr>
            </w:pPr>
          </w:p>
        </w:tc>
        <w:tc>
          <w:tcPr>
            <w:tcW w:w="2009" w:type="pct"/>
            <w:vMerge w:val="continue"/>
            <w:tcBorders>
              <w:bottom w:val="nil"/>
            </w:tcBorders>
            <w:vAlign w:val="center"/>
          </w:tcPr>
          <w:p>
            <w:pPr>
              <w:spacing w:line="276" w:lineRule="auto"/>
              <w:jc w:val="center"/>
              <w:rPr>
                <w:rFonts w:ascii="仿宋" w:hAnsi="仿宋" w:eastAsia="仿宋" w:cs="Arial"/>
                <w:szCs w:val="21"/>
              </w:rPr>
            </w:pPr>
          </w:p>
        </w:tc>
        <w:tc>
          <w:tcPr>
            <w:tcW w:w="1073" w:type="pct"/>
            <w:vMerge w:val="continue"/>
            <w:tcBorders>
              <w:bottom w:val="nil"/>
            </w:tcBorders>
            <w:vAlign w:val="center"/>
          </w:tcPr>
          <w:p>
            <w:pPr>
              <w:spacing w:line="276" w:lineRule="auto"/>
              <w:jc w:val="center"/>
              <w:rPr>
                <w:rFonts w:ascii="仿宋" w:hAnsi="仿宋" w:eastAsia="仿宋" w:cs="Arial"/>
                <w:szCs w:val="21"/>
              </w:rPr>
            </w:pPr>
          </w:p>
        </w:tc>
        <w:tc>
          <w:tcPr>
            <w:tcW w:w="1663" w:type="pct"/>
            <w:vMerge w:val="continue"/>
            <w:tcBorders>
              <w:bottom w:val="single" w:color="auto" w:sz="4" w:space="0"/>
            </w:tcBorders>
            <w:vAlign w:val="center"/>
          </w:tcPr>
          <w:p>
            <w:pPr>
              <w:spacing w:line="276" w:lineRule="auto"/>
              <w:jc w:val="center"/>
              <w:rPr>
                <w:rFonts w:ascii="仿宋" w:hAnsi="仿宋" w:eastAsia="仿宋"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55" w:type="pct"/>
            <w:tcBorders>
              <w:left w:val="single" w:color="auto" w:sz="4" w:space="0"/>
            </w:tcBorders>
            <w:vAlign w:val="center"/>
          </w:tcPr>
          <w:p>
            <w:pPr>
              <w:spacing w:line="276" w:lineRule="auto"/>
              <w:jc w:val="center"/>
              <w:rPr>
                <w:rFonts w:ascii="仿宋" w:hAnsi="仿宋" w:eastAsia="仿宋" w:cs="Arial"/>
                <w:szCs w:val="21"/>
              </w:rPr>
            </w:pPr>
            <w:r>
              <w:rPr>
                <w:rFonts w:hint="eastAsia" w:ascii="仿宋" w:hAnsi="仿宋" w:eastAsia="仿宋" w:cs="Arial"/>
                <w:szCs w:val="21"/>
              </w:rPr>
              <w:t>1</w:t>
            </w:r>
          </w:p>
        </w:tc>
        <w:tc>
          <w:tcPr>
            <w:tcW w:w="2009" w:type="pct"/>
            <w:vAlign w:val="center"/>
          </w:tcPr>
          <w:p>
            <w:pPr>
              <w:spacing w:line="276" w:lineRule="auto"/>
              <w:jc w:val="center"/>
              <w:rPr>
                <w:rFonts w:ascii="仿宋" w:hAnsi="仿宋" w:eastAsia="仿宋" w:cs="Arial"/>
                <w:szCs w:val="21"/>
              </w:rPr>
            </w:pPr>
            <w:r>
              <w:rPr>
                <w:rFonts w:hint="eastAsia" w:ascii="仿宋" w:hAnsi="仿宋" w:eastAsia="仿宋" w:cs="Arial"/>
                <w:szCs w:val="21"/>
              </w:rPr>
              <w:t>运动黏度（40℃）</w:t>
            </w:r>
          </w:p>
        </w:tc>
        <w:tc>
          <w:tcPr>
            <w:tcW w:w="1073" w:type="pct"/>
            <w:vMerge w:val="restart"/>
            <w:vAlign w:val="center"/>
          </w:tcPr>
          <w:p>
            <w:pPr>
              <w:spacing w:line="276" w:lineRule="auto"/>
              <w:jc w:val="center"/>
              <w:rPr>
                <w:rFonts w:ascii="仿宋" w:hAnsi="仿宋" w:eastAsia="仿宋" w:cs="Arial"/>
                <w:szCs w:val="21"/>
              </w:rPr>
            </w:pPr>
            <w:r>
              <w:rPr>
                <w:rFonts w:ascii="仿宋" w:hAnsi="仿宋" w:eastAsia="仿宋" w:cs="Arial"/>
                <w:szCs w:val="21"/>
              </w:rPr>
              <w:t>GB 17411-2015</w:t>
            </w:r>
          </w:p>
        </w:tc>
        <w:tc>
          <w:tcPr>
            <w:tcW w:w="1663" w:type="pct"/>
            <w:vAlign w:val="center"/>
          </w:tcPr>
          <w:p>
            <w:pPr>
              <w:spacing w:line="276" w:lineRule="auto"/>
              <w:jc w:val="center"/>
              <w:rPr>
                <w:rFonts w:ascii="仿宋" w:hAnsi="仿宋" w:eastAsia="仿宋" w:cs="Arial"/>
                <w:szCs w:val="21"/>
              </w:rPr>
            </w:pPr>
            <w:r>
              <w:rPr>
                <w:rFonts w:hint="eastAsia" w:ascii="仿宋" w:hAnsi="仿宋" w:eastAsia="仿宋" w:cs="Arial"/>
                <w:szCs w:val="21"/>
              </w:rPr>
              <w:t>GB/T 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55" w:type="pct"/>
            <w:tcBorders>
              <w:left w:val="single" w:color="auto" w:sz="4" w:space="0"/>
            </w:tcBorders>
            <w:vAlign w:val="center"/>
          </w:tcPr>
          <w:p>
            <w:pPr>
              <w:spacing w:line="276" w:lineRule="auto"/>
              <w:jc w:val="center"/>
              <w:rPr>
                <w:rFonts w:ascii="仿宋" w:hAnsi="仿宋" w:eastAsia="仿宋" w:cs="Arial"/>
                <w:szCs w:val="21"/>
              </w:rPr>
            </w:pPr>
            <w:r>
              <w:rPr>
                <w:rFonts w:hint="eastAsia" w:ascii="仿宋" w:hAnsi="仿宋" w:eastAsia="仿宋" w:cs="Arial"/>
                <w:szCs w:val="21"/>
              </w:rPr>
              <w:t>2</w:t>
            </w:r>
          </w:p>
        </w:tc>
        <w:tc>
          <w:tcPr>
            <w:tcW w:w="2009" w:type="pct"/>
            <w:vAlign w:val="center"/>
          </w:tcPr>
          <w:p>
            <w:pPr>
              <w:spacing w:line="276" w:lineRule="auto"/>
              <w:jc w:val="center"/>
              <w:rPr>
                <w:rFonts w:ascii="仿宋" w:hAnsi="仿宋" w:eastAsia="仿宋" w:cs="Arial"/>
                <w:szCs w:val="21"/>
              </w:rPr>
            </w:pPr>
            <w:r>
              <w:rPr>
                <w:rFonts w:hint="eastAsia" w:ascii="仿宋" w:hAnsi="仿宋" w:eastAsia="仿宋" w:cs="Arial"/>
                <w:szCs w:val="21"/>
              </w:rPr>
              <w:t>密度（20℃）</w:t>
            </w:r>
          </w:p>
        </w:tc>
        <w:tc>
          <w:tcPr>
            <w:tcW w:w="1073" w:type="pct"/>
            <w:vMerge w:val="continue"/>
            <w:vAlign w:val="center"/>
          </w:tcPr>
          <w:p>
            <w:pPr>
              <w:spacing w:line="276" w:lineRule="auto"/>
              <w:jc w:val="center"/>
              <w:rPr>
                <w:rFonts w:ascii="仿宋" w:hAnsi="仿宋" w:eastAsia="仿宋" w:cs="Arial"/>
                <w:szCs w:val="21"/>
              </w:rPr>
            </w:pPr>
          </w:p>
        </w:tc>
        <w:tc>
          <w:tcPr>
            <w:tcW w:w="1663" w:type="pct"/>
            <w:vAlign w:val="center"/>
          </w:tcPr>
          <w:p>
            <w:pPr>
              <w:spacing w:line="276" w:lineRule="auto"/>
              <w:jc w:val="center"/>
              <w:rPr>
                <w:rFonts w:ascii="仿宋" w:hAnsi="仿宋" w:eastAsia="仿宋" w:cs="Arial"/>
                <w:szCs w:val="21"/>
              </w:rPr>
            </w:pPr>
            <w:r>
              <w:rPr>
                <w:rFonts w:ascii="仿宋" w:hAnsi="仿宋" w:eastAsia="仿宋" w:cs="Arial"/>
                <w:szCs w:val="21"/>
              </w:rPr>
              <w:t>GB/T 1884</w:t>
            </w:r>
            <w:r>
              <w:rPr>
                <w:rFonts w:hint="eastAsia" w:ascii="仿宋" w:hAnsi="仿宋" w:eastAsia="仿宋" w:cs="Arial"/>
                <w:szCs w:val="21"/>
              </w:rPr>
              <w:t xml:space="preserve"> 、</w:t>
            </w:r>
            <w:r>
              <w:rPr>
                <w:rFonts w:ascii="仿宋" w:hAnsi="仿宋" w:eastAsia="仿宋" w:cs="Arial"/>
                <w:szCs w:val="21"/>
              </w:rPr>
              <w:t>GB/T 1885</w:t>
            </w:r>
            <w:r>
              <w:rPr>
                <w:rFonts w:hint="eastAsia" w:ascii="仿宋" w:hAnsi="仿宋" w:eastAsia="仿宋" w:cs="Arial"/>
                <w:szCs w:val="21"/>
              </w:rPr>
              <w:t>、SH/T0604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55" w:type="pct"/>
            <w:tcBorders>
              <w:left w:val="single" w:color="auto" w:sz="4" w:space="0"/>
            </w:tcBorders>
            <w:vAlign w:val="center"/>
          </w:tcPr>
          <w:p>
            <w:pPr>
              <w:spacing w:line="276" w:lineRule="auto"/>
              <w:jc w:val="center"/>
              <w:rPr>
                <w:rFonts w:ascii="仿宋" w:hAnsi="仿宋" w:eastAsia="仿宋" w:cs="Arial"/>
                <w:szCs w:val="21"/>
              </w:rPr>
            </w:pPr>
            <w:r>
              <w:rPr>
                <w:rFonts w:hint="eastAsia" w:ascii="仿宋" w:hAnsi="仿宋" w:eastAsia="仿宋" w:cs="Arial"/>
                <w:szCs w:val="21"/>
              </w:rPr>
              <w:t>3</w:t>
            </w:r>
          </w:p>
        </w:tc>
        <w:tc>
          <w:tcPr>
            <w:tcW w:w="2009" w:type="pct"/>
            <w:vAlign w:val="center"/>
          </w:tcPr>
          <w:p>
            <w:pPr>
              <w:spacing w:line="276" w:lineRule="auto"/>
              <w:jc w:val="center"/>
              <w:rPr>
                <w:rFonts w:ascii="仿宋" w:hAnsi="仿宋" w:eastAsia="仿宋" w:cs="Arial"/>
                <w:szCs w:val="21"/>
              </w:rPr>
            </w:pPr>
            <w:r>
              <w:rPr>
                <w:rFonts w:hint="eastAsia" w:ascii="仿宋" w:hAnsi="仿宋" w:eastAsia="仿宋" w:cs="Arial"/>
                <w:szCs w:val="21"/>
              </w:rPr>
              <w:t>水分</w:t>
            </w:r>
          </w:p>
        </w:tc>
        <w:tc>
          <w:tcPr>
            <w:tcW w:w="1073" w:type="pct"/>
            <w:vMerge w:val="continue"/>
            <w:vAlign w:val="center"/>
          </w:tcPr>
          <w:p>
            <w:pPr>
              <w:spacing w:line="276" w:lineRule="auto"/>
              <w:jc w:val="center"/>
              <w:rPr>
                <w:rFonts w:ascii="仿宋" w:hAnsi="仿宋" w:eastAsia="仿宋" w:cs="Arial"/>
                <w:szCs w:val="21"/>
              </w:rPr>
            </w:pPr>
          </w:p>
        </w:tc>
        <w:tc>
          <w:tcPr>
            <w:tcW w:w="1663" w:type="pct"/>
            <w:vAlign w:val="center"/>
          </w:tcPr>
          <w:p>
            <w:pPr>
              <w:spacing w:line="276" w:lineRule="auto"/>
              <w:jc w:val="center"/>
              <w:rPr>
                <w:rFonts w:ascii="仿宋" w:hAnsi="仿宋" w:eastAsia="仿宋" w:cs="Arial"/>
                <w:szCs w:val="21"/>
              </w:rPr>
            </w:pPr>
            <w:r>
              <w:rPr>
                <w:rFonts w:hint="eastAsia" w:ascii="仿宋" w:hAnsi="仿宋" w:eastAsia="仿宋" w:cs="Arial"/>
                <w:szCs w:val="21"/>
              </w:rPr>
              <w:t>GB/T 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55" w:type="pct"/>
            <w:tcBorders>
              <w:left w:val="single" w:color="auto" w:sz="4" w:space="0"/>
            </w:tcBorders>
            <w:vAlign w:val="center"/>
          </w:tcPr>
          <w:p>
            <w:pPr>
              <w:spacing w:line="276" w:lineRule="auto"/>
              <w:jc w:val="center"/>
              <w:rPr>
                <w:rFonts w:ascii="仿宋" w:hAnsi="仿宋" w:eastAsia="仿宋" w:cs="Arial"/>
                <w:szCs w:val="21"/>
              </w:rPr>
            </w:pPr>
            <w:r>
              <w:rPr>
                <w:rFonts w:hint="eastAsia" w:ascii="仿宋" w:hAnsi="仿宋" w:eastAsia="仿宋" w:cs="Arial"/>
                <w:szCs w:val="21"/>
              </w:rPr>
              <w:t>4</w:t>
            </w:r>
          </w:p>
        </w:tc>
        <w:tc>
          <w:tcPr>
            <w:tcW w:w="2009" w:type="pct"/>
            <w:vAlign w:val="center"/>
          </w:tcPr>
          <w:p>
            <w:pPr>
              <w:spacing w:line="276" w:lineRule="auto"/>
              <w:jc w:val="center"/>
              <w:rPr>
                <w:rFonts w:ascii="仿宋" w:hAnsi="仿宋" w:eastAsia="仿宋" w:cs="Arial"/>
                <w:szCs w:val="21"/>
              </w:rPr>
            </w:pPr>
            <w:r>
              <w:rPr>
                <w:rFonts w:hint="eastAsia" w:ascii="仿宋" w:hAnsi="仿宋" w:eastAsia="仿宋" w:cs="Arial"/>
                <w:szCs w:val="21"/>
              </w:rPr>
              <w:t>硫含量</w:t>
            </w:r>
          </w:p>
        </w:tc>
        <w:tc>
          <w:tcPr>
            <w:tcW w:w="1073" w:type="pct"/>
            <w:vMerge w:val="continue"/>
            <w:vAlign w:val="center"/>
          </w:tcPr>
          <w:p>
            <w:pPr>
              <w:spacing w:line="276" w:lineRule="auto"/>
              <w:jc w:val="center"/>
              <w:rPr>
                <w:rFonts w:ascii="仿宋" w:hAnsi="仿宋" w:eastAsia="仿宋" w:cs="Arial"/>
                <w:szCs w:val="21"/>
              </w:rPr>
            </w:pPr>
          </w:p>
        </w:tc>
        <w:tc>
          <w:tcPr>
            <w:tcW w:w="1663" w:type="pct"/>
            <w:vAlign w:val="center"/>
          </w:tcPr>
          <w:p>
            <w:pPr>
              <w:spacing w:line="276" w:lineRule="auto"/>
              <w:jc w:val="center"/>
              <w:rPr>
                <w:rFonts w:ascii="仿宋" w:hAnsi="仿宋" w:eastAsia="仿宋" w:cs="Arial"/>
                <w:szCs w:val="21"/>
              </w:rPr>
            </w:pPr>
            <w:r>
              <w:rPr>
                <w:rFonts w:hint="eastAsia" w:ascii="仿宋" w:hAnsi="仿宋" w:eastAsia="仿宋" w:cs="Arial"/>
                <w:szCs w:val="21"/>
              </w:rPr>
              <w:t>GB/T 387、SH/T0689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55" w:type="pct"/>
            <w:tcBorders>
              <w:left w:val="single" w:color="auto" w:sz="4" w:space="0"/>
            </w:tcBorders>
            <w:vAlign w:val="center"/>
          </w:tcPr>
          <w:p>
            <w:pPr>
              <w:spacing w:line="276" w:lineRule="auto"/>
              <w:jc w:val="center"/>
              <w:rPr>
                <w:rFonts w:ascii="仿宋" w:hAnsi="仿宋" w:eastAsia="仿宋" w:cs="Arial"/>
                <w:szCs w:val="21"/>
              </w:rPr>
            </w:pPr>
            <w:r>
              <w:rPr>
                <w:rFonts w:hint="eastAsia" w:ascii="仿宋" w:hAnsi="仿宋" w:eastAsia="仿宋" w:cs="Arial"/>
                <w:szCs w:val="21"/>
              </w:rPr>
              <w:t>5</w:t>
            </w:r>
          </w:p>
        </w:tc>
        <w:tc>
          <w:tcPr>
            <w:tcW w:w="2009" w:type="pct"/>
            <w:vAlign w:val="center"/>
          </w:tcPr>
          <w:p>
            <w:pPr>
              <w:spacing w:line="276" w:lineRule="auto"/>
              <w:jc w:val="center"/>
              <w:rPr>
                <w:rFonts w:ascii="仿宋" w:hAnsi="仿宋" w:eastAsia="仿宋" w:cs="Arial"/>
                <w:szCs w:val="21"/>
              </w:rPr>
            </w:pPr>
            <w:r>
              <w:rPr>
                <w:rFonts w:hint="eastAsia" w:ascii="仿宋" w:hAnsi="仿宋" w:eastAsia="仿宋" w:cs="Arial"/>
                <w:szCs w:val="21"/>
              </w:rPr>
              <w:t>闪点(闭口)</w:t>
            </w:r>
          </w:p>
        </w:tc>
        <w:tc>
          <w:tcPr>
            <w:tcW w:w="1073" w:type="pct"/>
            <w:vMerge w:val="continue"/>
            <w:vAlign w:val="center"/>
          </w:tcPr>
          <w:p>
            <w:pPr>
              <w:spacing w:line="276" w:lineRule="auto"/>
              <w:jc w:val="center"/>
              <w:rPr>
                <w:rFonts w:ascii="仿宋" w:hAnsi="仿宋" w:eastAsia="仿宋" w:cs="Arial"/>
                <w:szCs w:val="21"/>
              </w:rPr>
            </w:pPr>
          </w:p>
        </w:tc>
        <w:tc>
          <w:tcPr>
            <w:tcW w:w="1663" w:type="pct"/>
            <w:vAlign w:val="center"/>
          </w:tcPr>
          <w:p>
            <w:pPr>
              <w:spacing w:line="276" w:lineRule="auto"/>
              <w:jc w:val="center"/>
              <w:rPr>
                <w:rFonts w:ascii="仿宋" w:hAnsi="仿宋" w:eastAsia="仿宋" w:cs="Arial"/>
                <w:szCs w:val="21"/>
              </w:rPr>
            </w:pPr>
            <w:r>
              <w:rPr>
                <w:rFonts w:hint="eastAsia" w:ascii="仿宋" w:hAnsi="仿宋" w:eastAsia="仿宋" w:cs="Arial"/>
                <w:szCs w:val="21"/>
              </w:rPr>
              <w:t>GB/T 261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55" w:type="pct"/>
            <w:tcBorders>
              <w:left w:val="single" w:color="auto" w:sz="4" w:space="0"/>
            </w:tcBorders>
            <w:vAlign w:val="center"/>
          </w:tcPr>
          <w:p>
            <w:pPr>
              <w:spacing w:line="276" w:lineRule="auto"/>
              <w:jc w:val="center"/>
              <w:rPr>
                <w:rFonts w:ascii="仿宋" w:hAnsi="仿宋" w:eastAsia="仿宋" w:cs="Arial"/>
                <w:szCs w:val="21"/>
              </w:rPr>
            </w:pPr>
            <w:r>
              <w:rPr>
                <w:rFonts w:hint="eastAsia" w:ascii="仿宋" w:hAnsi="仿宋" w:eastAsia="仿宋" w:cs="Arial"/>
                <w:szCs w:val="21"/>
              </w:rPr>
              <w:t>6</w:t>
            </w:r>
          </w:p>
        </w:tc>
        <w:tc>
          <w:tcPr>
            <w:tcW w:w="2009" w:type="pct"/>
            <w:vAlign w:val="center"/>
          </w:tcPr>
          <w:p>
            <w:pPr>
              <w:spacing w:line="276" w:lineRule="auto"/>
              <w:jc w:val="center"/>
              <w:rPr>
                <w:rFonts w:ascii="仿宋" w:hAnsi="仿宋" w:eastAsia="仿宋" w:cs="Arial"/>
                <w:szCs w:val="21"/>
              </w:rPr>
            </w:pPr>
            <w:r>
              <w:rPr>
                <w:rFonts w:hint="eastAsia" w:ascii="仿宋" w:hAnsi="仿宋" w:eastAsia="仿宋" w:cs="Arial"/>
                <w:szCs w:val="21"/>
              </w:rPr>
              <w:t>10%蒸余物残炭/残炭</w:t>
            </w:r>
          </w:p>
        </w:tc>
        <w:tc>
          <w:tcPr>
            <w:tcW w:w="1073" w:type="pct"/>
            <w:vMerge w:val="continue"/>
            <w:vAlign w:val="center"/>
          </w:tcPr>
          <w:p>
            <w:pPr>
              <w:spacing w:line="276" w:lineRule="auto"/>
              <w:jc w:val="center"/>
              <w:rPr>
                <w:rFonts w:ascii="仿宋" w:hAnsi="仿宋" w:eastAsia="仿宋" w:cs="Arial"/>
                <w:szCs w:val="21"/>
              </w:rPr>
            </w:pPr>
          </w:p>
        </w:tc>
        <w:tc>
          <w:tcPr>
            <w:tcW w:w="1663" w:type="pct"/>
            <w:vAlign w:val="center"/>
          </w:tcPr>
          <w:p>
            <w:pPr>
              <w:spacing w:line="276" w:lineRule="auto"/>
              <w:jc w:val="center"/>
              <w:rPr>
                <w:rFonts w:ascii="仿宋" w:hAnsi="仿宋" w:eastAsia="仿宋" w:cs="Arial"/>
                <w:szCs w:val="21"/>
              </w:rPr>
            </w:pPr>
            <w:r>
              <w:rPr>
                <w:rFonts w:hint="eastAsia" w:ascii="仿宋" w:hAnsi="仿宋" w:eastAsia="仿宋" w:cs="Arial"/>
                <w:szCs w:val="21"/>
              </w:rPr>
              <w:t>GB/T 17144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55" w:type="pct"/>
            <w:tcBorders>
              <w:left w:val="single" w:color="auto" w:sz="4" w:space="0"/>
            </w:tcBorders>
            <w:vAlign w:val="center"/>
          </w:tcPr>
          <w:p>
            <w:pPr>
              <w:spacing w:line="276" w:lineRule="auto"/>
              <w:jc w:val="center"/>
              <w:rPr>
                <w:rFonts w:ascii="仿宋" w:hAnsi="仿宋" w:eastAsia="仿宋" w:cs="Arial"/>
                <w:szCs w:val="21"/>
              </w:rPr>
            </w:pPr>
            <w:r>
              <w:rPr>
                <w:rFonts w:hint="eastAsia" w:ascii="仿宋" w:hAnsi="仿宋" w:eastAsia="仿宋" w:cs="Arial"/>
                <w:szCs w:val="21"/>
              </w:rPr>
              <w:t>7</w:t>
            </w:r>
          </w:p>
        </w:tc>
        <w:tc>
          <w:tcPr>
            <w:tcW w:w="2009" w:type="pct"/>
            <w:vAlign w:val="center"/>
          </w:tcPr>
          <w:p>
            <w:pPr>
              <w:spacing w:line="276" w:lineRule="auto"/>
              <w:jc w:val="center"/>
              <w:rPr>
                <w:rFonts w:ascii="仿宋" w:hAnsi="仿宋" w:eastAsia="仿宋" w:cs="Arial"/>
                <w:szCs w:val="21"/>
              </w:rPr>
            </w:pPr>
            <w:r>
              <w:rPr>
                <w:rFonts w:hint="eastAsia" w:ascii="仿宋" w:hAnsi="仿宋" w:eastAsia="仿宋" w:cs="Arial"/>
                <w:szCs w:val="21"/>
              </w:rPr>
              <w:t>倾点</w:t>
            </w:r>
          </w:p>
        </w:tc>
        <w:tc>
          <w:tcPr>
            <w:tcW w:w="1073" w:type="pct"/>
            <w:vMerge w:val="continue"/>
            <w:vAlign w:val="center"/>
          </w:tcPr>
          <w:p>
            <w:pPr>
              <w:spacing w:line="276" w:lineRule="auto"/>
              <w:jc w:val="center"/>
              <w:rPr>
                <w:rFonts w:ascii="仿宋" w:hAnsi="仿宋" w:eastAsia="仿宋" w:cs="Arial"/>
                <w:szCs w:val="21"/>
              </w:rPr>
            </w:pPr>
          </w:p>
        </w:tc>
        <w:tc>
          <w:tcPr>
            <w:tcW w:w="1663" w:type="pct"/>
            <w:vAlign w:val="center"/>
          </w:tcPr>
          <w:p>
            <w:pPr>
              <w:spacing w:line="276" w:lineRule="auto"/>
              <w:jc w:val="center"/>
              <w:rPr>
                <w:rFonts w:ascii="仿宋" w:hAnsi="仿宋" w:eastAsia="仿宋" w:cs="Arial"/>
                <w:szCs w:val="21"/>
              </w:rPr>
            </w:pPr>
            <w:r>
              <w:rPr>
                <w:rFonts w:hint="eastAsia" w:ascii="仿宋" w:hAnsi="仿宋" w:eastAsia="仿宋" w:cs="Arial"/>
                <w:szCs w:val="21"/>
              </w:rPr>
              <w:t>GB/T 3535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55" w:type="pct"/>
            <w:tcBorders>
              <w:left w:val="single" w:color="auto" w:sz="4" w:space="0"/>
            </w:tcBorders>
            <w:vAlign w:val="center"/>
          </w:tcPr>
          <w:p>
            <w:pPr>
              <w:spacing w:line="276" w:lineRule="auto"/>
              <w:jc w:val="center"/>
              <w:rPr>
                <w:rFonts w:ascii="仿宋" w:hAnsi="仿宋" w:eastAsia="仿宋" w:cs="Arial"/>
                <w:szCs w:val="21"/>
              </w:rPr>
            </w:pPr>
            <w:r>
              <w:rPr>
                <w:rFonts w:hint="eastAsia" w:ascii="仿宋" w:hAnsi="仿宋" w:eastAsia="仿宋" w:cs="Arial"/>
                <w:szCs w:val="21"/>
              </w:rPr>
              <w:t>8</w:t>
            </w:r>
          </w:p>
        </w:tc>
        <w:tc>
          <w:tcPr>
            <w:tcW w:w="2009" w:type="pct"/>
            <w:vAlign w:val="center"/>
          </w:tcPr>
          <w:p>
            <w:pPr>
              <w:spacing w:line="276" w:lineRule="auto"/>
              <w:jc w:val="center"/>
              <w:rPr>
                <w:rFonts w:ascii="仿宋" w:hAnsi="仿宋" w:eastAsia="仿宋" w:cs="Arial"/>
                <w:szCs w:val="21"/>
              </w:rPr>
            </w:pPr>
            <w:r>
              <w:rPr>
                <w:rFonts w:ascii="仿宋" w:hAnsi="仿宋" w:eastAsia="仿宋" w:cs="Arial"/>
                <w:szCs w:val="21"/>
              </w:rPr>
              <w:t>灰分</w:t>
            </w:r>
          </w:p>
        </w:tc>
        <w:tc>
          <w:tcPr>
            <w:tcW w:w="1073" w:type="pct"/>
            <w:vMerge w:val="continue"/>
            <w:vAlign w:val="center"/>
          </w:tcPr>
          <w:p>
            <w:pPr>
              <w:spacing w:line="276" w:lineRule="auto"/>
              <w:jc w:val="center"/>
              <w:rPr>
                <w:rFonts w:ascii="仿宋" w:hAnsi="仿宋" w:eastAsia="仿宋" w:cs="Arial"/>
                <w:szCs w:val="21"/>
              </w:rPr>
            </w:pPr>
          </w:p>
        </w:tc>
        <w:tc>
          <w:tcPr>
            <w:tcW w:w="1663" w:type="pct"/>
            <w:vAlign w:val="center"/>
          </w:tcPr>
          <w:p>
            <w:pPr>
              <w:spacing w:line="276" w:lineRule="auto"/>
              <w:jc w:val="center"/>
              <w:rPr>
                <w:rFonts w:ascii="仿宋" w:hAnsi="仿宋" w:eastAsia="仿宋" w:cs="Arial"/>
                <w:szCs w:val="21"/>
              </w:rPr>
            </w:pPr>
            <w:r>
              <w:rPr>
                <w:rFonts w:ascii="仿宋" w:hAnsi="仿宋" w:eastAsia="仿宋" w:cs="Arial"/>
                <w:szCs w:val="21"/>
              </w:rPr>
              <w:t>GB/T 508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000" w:type="pct"/>
            <w:gridSpan w:val="4"/>
            <w:tcBorders>
              <w:left w:val="single" w:color="auto" w:sz="4" w:space="0"/>
            </w:tcBorders>
            <w:vAlign w:val="center"/>
          </w:tcPr>
          <w:p>
            <w:pPr>
              <w:jc w:val="center"/>
            </w:pPr>
            <w:r>
              <w:rPr>
                <w:rFonts w:hint="eastAsia" w:ascii="仿宋" w:hAnsi="仿宋" w:eastAsia="仿宋" w:cs="仿宋"/>
                <w:sz w:val="28"/>
                <w:szCs w:val="28"/>
              </w:rPr>
              <w:t>注</w:t>
            </w:r>
            <w:r>
              <w:rPr>
                <w:rFonts w:hint="eastAsia" w:ascii="仿宋" w:hAnsi="仿宋" w:eastAsia="仿宋" w:cs="Arial"/>
                <w:szCs w:val="21"/>
              </w:rPr>
              <w:t>：当第2项、第3项同时不合格时，才可判定密度项不合格；DMX型不检第2项、第3项、第9项</w:t>
            </w:r>
          </w:p>
        </w:tc>
      </w:tr>
    </w:tbl>
    <w:p>
      <w:pPr>
        <w:pStyle w:val="3"/>
        <w:ind w:left="840" w:hanging="420"/>
        <w:jc w:val="center"/>
        <w:rPr>
          <w:rFonts w:ascii="仿宋_GB2312" w:eastAsia="仿宋_GB2312"/>
        </w:rPr>
      </w:pPr>
      <w:r>
        <w:rPr>
          <w:rFonts w:hint="eastAsia" w:ascii="仿宋_GB2312" w:eastAsia="仿宋_GB2312"/>
        </w:rPr>
        <w:t>表4</w:t>
      </w:r>
      <w:r>
        <w:rPr>
          <w:rFonts w:hint="eastAsia" w:ascii="宋体" w:hAnsi="宋体" w:cs="宋体"/>
          <w:szCs w:val="21"/>
        </w:rPr>
        <w:t>船用残渣燃料油检验项目</w:t>
      </w:r>
    </w:p>
    <w:tbl>
      <w:tblPr>
        <w:tblStyle w:val="8"/>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8"/>
        <w:gridCol w:w="3344"/>
        <w:gridCol w:w="1623"/>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257" w:type="pct"/>
            <w:vMerge w:val="restart"/>
            <w:tcBorders>
              <w:top w:val="single" w:color="auto" w:sz="4" w:space="0"/>
              <w:left w:val="single" w:color="auto" w:sz="4" w:space="0"/>
            </w:tcBorders>
            <w:vAlign w:val="center"/>
          </w:tcPr>
          <w:p>
            <w:pPr>
              <w:spacing w:line="276" w:lineRule="auto"/>
              <w:jc w:val="center"/>
              <w:rPr>
                <w:rFonts w:ascii="仿宋" w:hAnsi="仿宋" w:eastAsia="仿宋" w:cs="Arial"/>
                <w:szCs w:val="21"/>
              </w:rPr>
            </w:pPr>
            <w:r>
              <w:rPr>
                <w:rFonts w:hint="eastAsia" w:ascii="仿宋" w:hAnsi="仿宋" w:eastAsia="仿宋" w:cs="Arial"/>
                <w:szCs w:val="21"/>
              </w:rPr>
              <w:t>序号</w:t>
            </w:r>
          </w:p>
        </w:tc>
        <w:tc>
          <w:tcPr>
            <w:tcW w:w="1963" w:type="pct"/>
            <w:vMerge w:val="restart"/>
            <w:tcBorders>
              <w:top w:val="single" w:color="auto" w:sz="4" w:space="0"/>
            </w:tcBorders>
            <w:vAlign w:val="center"/>
          </w:tcPr>
          <w:p>
            <w:pPr>
              <w:spacing w:line="276" w:lineRule="auto"/>
              <w:jc w:val="center"/>
              <w:rPr>
                <w:rFonts w:ascii="仿宋" w:hAnsi="仿宋" w:eastAsia="仿宋" w:cs="Arial"/>
                <w:szCs w:val="21"/>
              </w:rPr>
            </w:pPr>
            <w:r>
              <w:rPr>
                <w:rFonts w:hint="eastAsia" w:ascii="仿宋" w:hAnsi="仿宋" w:eastAsia="仿宋" w:cs="Arial"/>
                <w:szCs w:val="21"/>
              </w:rPr>
              <w:t>检验项目</w:t>
            </w:r>
          </w:p>
        </w:tc>
        <w:tc>
          <w:tcPr>
            <w:tcW w:w="953" w:type="pct"/>
            <w:vMerge w:val="restart"/>
            <w:tcBorders>
              <w:top w:val="single" w:color="auto" w:sz="4" w:space="0"/>
            </w:tcBorders>
            <w:vAlign w:val="center"/>
          </w:tcPr>
          <w:p>
            <w:pPr>
              <w:spacing w:line="276" w:lineRule="auto"/>
              <w:jc w:val="center"/>
              <w:rPr>
                <w:rFonts w:ascii="仿宋" w:hAnsi="仿宋" w:eastAsia="仿宋" w:cs="Arial"/>
                <w:szCs w:val="21"/>
              </w:rPr>
            </w:pPr>
            <w:r>
              <w:rPr>
                <w:rFonts w:hint="eastAsia" w:ascii="仿宋" w:hAnsi="仿宋" w:eastAsia="仿宋" w:cs="Arial"/>
                <w:szCs w:val="21"/>
              </w:rPr>
              <w:t>依据标准</w:t>
            </w:r>
          </w:p>
        </w:tc>
        <w:tc>
          <w:tcPr>
            <w:tcW w:w="1827" w:type="pct"/>
            <w:vMerge w:val="restart"/>
            <w:tcBorders>
              <w:top w:val="single" w:color="auto" w:sz="4" w:space="0"/>
            </w:tcBorders>
            <w:vAlign w:val="center"/>
          </w:tcPr>
          <w:p>
            <w:pPr>
              <w:spacing w:line="276" w:lineRule="auto"/>
              <w:jc w:val="center"/>
              <w:rPr>
                <w:rFonts w:ascii="仿宋" w:hAnsi="仿宋" w:eastAsia="仿宋" w:cs="Arial"/>
                <w:szCs w:val="21"/>
              </w:rPr>
            </w:pPr>
            <w:r>
              <w:rPr>
                <w:rFonts w:hint="eastAsia" w:ascii="仿宋" w:hAnsi="仿宋" w:eastAsia="仿宋" w:cs="Arial"/>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57" w:type="pct"/>
            <w:vMerge w:val="continue"/>
            <w:tcBorders>
              <w:left w:val="single" w:color="auto" w:sz="4" w:space="0"/>
            </w:tcBorders>
            <w:vAlign w:val="center"/>
          </w:tcPr>
          <w:p>
            <w:pPr>
              <w:spacing w:line="276" w:lineRule="auto"/>
              <w:jc w:val="center"/>
              <w:rPr>
                <w:rFonts w:ascii="仿宋" w:hAnsi="仿宋" w:eastAsia="仿宋" w:cs="Arial"/>
                <w:szCs w:val="21"/>
              </w:rPr>
            </w:pPr>
          </w:p>
        </w:tc>
        <w:tc>
          <w:tcPr>
            <w:tcW w:w="1963" w:type="pct"/>
            <w:vMerge w:val="continue"/>
            <w:tcBorders>
              <w:bottom w:val="nil"/>
            </w:tcBorders>
            <w:vAlign w:val="center"/>
          </w:tcPr>
          <w:p>
            <w:pPr>
              <w:spacing w:line="276" w:lineRule="auto"/>
              <w:jc w:val="center"/>
              <w:rPr>
                <w:rFonts w:ascii="仿宋" w:hAnsi="仿宋" w:eastAsia="仿宋" w:cs="Arial"/>
                <w:szCs w:val="21"/>
              </w:rPr>
            </w:pPr>
          </w:p>
        </w:tc>
        <w:tc>
          <w:tcPr>
            <w:tcW w:w="953" w:type="pct"/>
            <w:vMerge w:val="continue"/>
            <w:tcBorders>
              <w:bottom w:val="nil"/>
            </w:tcBorders>
            <w:vAlign w:val="center"/>
          </w:tcPr>
          <w:p>
            <w:pPr>
              <w:spacing w:line="276" w:lineRule="auto"/>
              <w:jc w:val="center"/>
              <w:rPr>
                <w:rFonts w:ascii="仿宋" w:hAnsi="仿宋" w:eastAsia="仿宋" w:cs="Arial"/>
                <w:szCs w:val="21"/>
              </w:rPr>
            </w:pPr>
          </w:p>
        </w:tc>
        <w:tc>
          <w:tcPr>
            <w:tcW w:w="1827" w:type="pct"/>
            <w:vMerge w:val="continue"/>
            <w:tcBorders>
              <w:bottom w:val="single" w:color="auto" w:sz="4" w:space="0"/>
            </w:tcBorders>
            <w:vAlign w:val="center"/>
          </w:tcPr>
          <w:p>
            <w:pPr>
              <w:spacing w:line="276" w:lineRule="auto"/>
              <w:jc w:val="center"/>
              <w:rPr>
                <w:rFonts w:ascii="仿宋" w:hAnsi="仿宋" w:eastAsia="仿宋" w:cs="Arial"/>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57" w:type="pct"/>
            <w:tcBorders>
              <w:left w:val="single" w:color="auto" w:sz="4" w:space="0"/>
            </w:tcBorders>
            <w:vAlign w:val="center"/>
          </w:tcPr>
          <w:p>
            <w:pPr>
              <w:spacing w:line="276" w:lineRule="auto"/>
              <w:jc w:val="center"/>
              <w:rPr>
                <w:rFonts w:ascii="仿宋" w:hAnsi="仿宋" w:eastAsia="仿宋" w:cs="Arial"/>
                <w:szCs w:val="21"/>
              </w:rPr>
            </w:pPr>
            <w:r>
              <w:rPr>
                <w:rFonts w:hint="eastAsia" w:ascii="仿宋" w:hAnsi="仿宋" w:eastAsia="仿宋" w:cs="Arial"/>
                <w:szCs w:val="21"/>
              </w:rPr>
              <w:t>1</w:t>
            </w:r>
          </w:p>
        </w:tc>
        <w:tc>
          <w:tcPr>
            <w:tcW w:w="1963" w:type="pct"/>
            <w:vAlign w:val="center"/>
          </w:tcPr>
          <w:p>
            <w:pPr>
              <w:spacing w:line="276" w:lineRule="auto"/>
              <w:jc w:val="center"/>
              <w:rPr>
                <w:rFonts w:ascii="仿宋" w:hAnsi="仿宋" w:eastAsia="仿宋" w:cs="Arial"/>
                <w:szCs w:val="21"/>
              </w:rPr>
            </w:pPr>
            <w:r>
              <w:rPr>
                <w:rFonts w:hint="eastAsia" w:ascii="仿宋" w:hAnsi="仿宋" w:eastAsia="仿宋" w:cs="Arial"/>
                <w:szCs w:val="21"/>
              </w:rPr>
              <w:t>运动黏度（50℃）</w:t>
            </w:r>
          </w:p>
        </w:tc>
        <w:tc>
          <w:tcPr>
            <w:tcW w:w="953" w:type="pct"/>
            <w:vMerge w:val="restart"/>
            <w:vAlign w:val="center"/>
          </w:tcPr>
          <w:p>
            <w:pPr>
              <w:spacing w:line="276" w:lineRule="auto"/>
              <w:jc w:val="center"/>
              <w:rPr>
                <w:rFonts w:ascii="仿宋" w:hAnsi="仿宋" w:eastAsia="仿宋" w:cs="Arial"/>
                <w:szCs w:val="21"/>
              </w:rPr>
            </w:pPr>
            <w:r>
              <w:rPr>
                <w:rFonts w:ascii="仿宋" w:hAnsi="仿宋" w:eastAsia="仿宋" w:cs="Arial"/>
                <w:szCs w:val="21"/>
              </w:rPr>
              <w:t>GB 17411-2015</w:t>
            </w:r>
          </w:p>
        </w:tc>
        <w:tc>
          <w:tcPr>
            <w:tcW w:w="1827" w:type="pct"/>
            <w:vAlign w:val="center"/>
          </w:tcPr>
          <w:p>
            <w:pPr>
              <w:jc w:val="center"/>
            </w:pPr>
            <w:r>
              <w:rPr>
                <w:rFonts w:hint="eastAsia"/>
              </w:rPr>
              <w:t>GB/T 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57" w:type="pct"/>
            <w:tcBorders>
              <w:left w:val="single" w:color="auto" w:sz="4" w:space="0"/>
            </w:tcBorders>
            <w:vAlign w:val="center"/>
          </w:tcPr>
          <w:p>
            <w:pPr>
              <w:spacing w:line="276" w:lineRule="auto"/>
              <w:jc w:val="center"/>
              <w:rPr>
                <w:rFonts w:ascii="仿宋" w:hAnsi="仿宋" w:eastAsia="仿宋" w:cs="Arial"/>
                <w:szCs w:val="21"/>
              </w:rPr>
            </w:pPr>
            <w:r>
              <w:rPr>
                <w:rFonts w:hint="eastAsia" w:ascii="仿宋" w:hAnsi="仿宋" w:eastAsia="仿宋" w:cs="Arial"/>
                <w:szCs w:val="21"/>
              </w:rPr>
              <w:t>2</w:t>
            </w:r>
          </w:p>
        </w:tc>
        <w:tc>
          <w:tcPr>
            <w:tcW w:w="1963" w:type="pct"/>
            <w:vAlign w:val="center"/>
          </w:tcPr>
          <w:p>
            <w:pPr>
              <w:spacing w:line="276" w:lineRule="auto"/>
              <w:jc w:val="center"/>
              <w:rPr>
                <w:rFonts w:ascii="仿宋" w:hAnsi="仿宋" w:eastAsia="仿宋" w:cs="Arial"/>
                <w:szCs w:val="21"/>
              </w:rPr>
            </w:pPr>
            <w:r>
              <w:rPr>
                <w:rFonts w:hint="eastAsia" w:ascii="仿宋" w:hAnsi="仿宋" w:eastAsia="仿宋" w:cs="Arial"/>
                <w:szCs w:val="21"/>
              </w:rPr>
              <w:t>密度（20℃）</w:t>
            </w:r>
          </w:p>
        </w:tc>
        <w:tc>
          <w:tcPr>
            <w:tcW w:w="953" w:type="pct"/>
            <w:vMerge w:val="continue"/>
            <w:vAlign w:val="center"/>
          </w:tcPr>
          <w:p>
            <w:pPr>
              <w:spacing w:line="276" w:lineRule="auto"/>
              <w:jc w:val="center"/>
              <w:rPr>
                <w:rFonts w:ascii="仿宋" w:hAnsi="仿宋" w:eastAsia="仿宋" w:cs="Arial"/>
                <w:szCs w:val="21"/>
              </w:rPr>
            </w:pPr>
          </w:p>
        </w:tc>
        <w:tc>
          <w:tcPr>
            <w:tcW w:w="1827" w:type="pct"/>
            <w:vAlign w:val="center"/>
          </w:tcPr>
          <w:p>
            <w:pPr>
              <w:jc w:val="center"/>
            </w:pPr>
            <w:r>
              <w:t>GB/T 1884</w:t>
            </w:r>
            <w:r>
              <w:rPr>
                <w:rFonts w:hint="eastAsia"/>
              </w:rPr>
              <w:t>、</w:t>
            </w:r>
            <w:r>
              <w:t>GB/T 1885</w:t>
            </w:r>
            <w:r>
              <w:rPr>
                <w:rFonts w:hint="eastAsia"/>
              </w:rPr>
              <w:t>、SH/T 0604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57" w:type="pct"/>
            <w:tcBorders>
              <w:left w:val="single" w:color="auto" w:sz="4" w:space="0"/>
            </w:tcBorders>
            <w:vAlign w:val="center"/>
          </w:tcPr>
          <w:p>
            <w:pPr>
              <w:spacing w:line="276" w:lineRule="auto"/>
              <w:jc w:val="center"/>
              <w:rPr>
                <w:rFonts w:ascii="仿宋" w:hAnsi="仿宋" w:eastAsia="仿宋" w:cs="Arial"/>
                <w:szCs w:val="21"/>
              </w:rPr>
            </w:pPr>
            <w:r>
              <w:rPr>
                <w:rFonts w:hint="eastAsia" w:ascii="仿宋" w:hAnsi="仿宋" w:eastAsia="仿宋" w:cs="Arial"/>
                <w:szCs w:val="21"/>
              </w:rPr>
              <w:t>3</w:t>
            </w:r>
          </w:p>
        </w:tc>
        <w:tc>
          <w:tcPr>
            <w:tcW w:w="1963" w:type="pct"/>
            <w:vAlign w:val="center"/>
          </w:tcPr>
          <w:p>
            <w:pPr>
              <w:spacing w:line="276" w:lineRule="auto"/>
              <w:jc w:val="center"/>
              <w:rPr>
                <w:rFonts w:ascii="仿宋" w:hAnsi="仿宋" w:eastAsia="仿宋" w:cs="Arial"/>
                <w:szCs w:val="21"/>
              </w:rPr>
            </w:pPr>
            <w:r>
              <w:rPr>
                <w:rFonts w:hint="eastAsia" w:ascii="仿宋" w:hAnsi="仿宋" w:eastAsia="仿宋" w:cs="Arial"/>
                <w:szCs w:val="21"/>
              </w:rPr>
              <w:t>闪点(闭口)</w:t>
            </w:r>
          </w:p>
        </w:tc>
        <w:tc>
          <w:tcPr>
            <w:tcW w:w="953" w:type="pct"/>
            <w:vMerge w:val="continue"/>
            <w:vAlign w:val="center"/>
          </w:tcPr>
          <w:p>
            <w:pPr>
              <w:spacing w:line="276" w:lineRule="auto"/>
              <w:jc w:val="center"/>
              <w:rPr>
                <w:rFonts w:ascii="仿宋" w:hAnsi="仿宋" w:eastAsia="仿宋" w:cs="Arial"/>
                <w:szCs w:val="21"/>
              </w:rPr>
            </w:pPr>
          </w:p>
        </w:tc>
        <w:tc>
          <w:tcPr>
            <w:tcW w:w="1827" w:type="pct"/>
            <w:vAlign w:val="center"/>
          </w:tcPr>
          <w:p>
            <w:pPr>
              <w:jc w:val="center"/>
            </w:pPr>
            <w:r>
              <w:rPr>
                <w:rFonts w:hint="eastAsia"/>
              </w:rPr>
              <w:t>GB/T 261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57" w:type="pct"/>
            <w:tcBorders>
              <w:left w:val="single" w:color="auto" w:sz="4" w:space="0"/>
            </w:tcBorders>
            <w:vAlign w:val="center"/>
          </w:tcPr>
          <w:p>
            <w:pPr>
              <w:spacing w:line="276" w:lineRule="auto"/>
              <w:jc w:val="center"/>
              <w:rPr>
                <w:rFonts w:ascii="仿宋" w:hAnsi="仿宋" w:eastAsia="仿宋" w:cs="Arial"/>
                <w:szCs w:val="21"/>
              </w:rPr>
            </w:pPr>
            <w:r>
              <w:rPr>
                <w:rFonts w:hint="eastAsia" w:ascii="仿宋" w:hAnsi="仿宋" w:eastAsia="仿宋" w:cs="Arial"/>
                <w:szCs w:val="21"/>
              </w:rPr>
              <w:t>4</w:t>
            </w:r>
          </w:p>
        </w:tc>
        <w:tc>
          <w:tcPr>
            <w:tcW w:w="1963" w:type="pct"/>
            <w:vAlign w:val="center"/>
          </w:tcPr>
          <w:p>
            <w:pPr>
              <w:spacing w:line="276" w:lineRule="auto"/>
              <w:jc w:val="center"/>
              <w:rPr>
                <w:rFonts w:ascii="仿宋" w:hAnsi="仿宋" w:eastAsia="仿宋" w:cs="Arial"/>
                <w:szCs w:val="21"/>
              </w:rPr>
            </w:pPr>
            <w:r>
              <w:rPr>
                <w:rFonts w:hint="eastAsia" w:ascii="仿宋" w:hAnsi="仿宋" w:eastAsia="仿宋" w:cs="Arial"/>
                <w:szCs w:val="21"/>
              </w:rPr>
              <w:t>残炭</w:t>
            </w:r>
          </w:p>
        </w:tc>
        <w:tc>
          <w:tcPr>
            <w:tcW w:w="953" w:type="pct"/>
            <w:vMerge w:val="continue"/>
            <w:vAlign w:val="center"/>
          </w:tcPr>
          <w:p>
            <w:pPr>
              <w:spacing w:line="276" w:lineRule="auto"/>
              <w:jc w:val="center"/>
              <w:rPr>
                <w:rFonts w:ascii="仿宋" w:hAnsi="仿宋" w:eastAsia="仿宋" w:cs="Arial"/>
                <w:szCs w:val="21"/>
              </w:rPr>
            </w:pPr>
          </w:p>
        </w:tc>
        <w:tc>
          <w:tcPr>
            <w:tcW w:w="1827" w:type="pct"/>
            <w:vAlign w:val="center"/>
          </w:tcPr>
          <w:p>
            <w:pPr>
              <w:jc w:val="center"/>
            </w:pPr>
            <w:r>
              <w:rPr>
                <w:rFonts w:hint="eastAsia"/>
              </w:rPr>
              <w:t>GB/T 17144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57" w:type="pct"/>
            <w:tcBorders>
              <w:left w:val="single" w:color="auto" w:sz="4" w:space="0"/>
              <w:bottom w:val="single" w:color="auto" w:sz="4" w:space="0"/>
            </w:tcBorders>
            <w:vAlign w:val="center"/>
          </w:tcPr>
          <w:p>
            <w:pPr>
              <w:spacing w:line="276" w:lineRule="auto"/>
              <w:jc w:val="center"/>
              <w:rPr>
                <w:rFonts w:ascii="仿宋" w:hAnsi="仿宋" w:eastAsia="仿宋" w:cs="Arial"/>
                <w:szCs w:val="21"/>
              </w:rPr>
            </w:pPr>
            <w:r>
              <w:rPr>
                <w:rFonts w:hint="eastAsia" w:ascii="仿宋" w:hAnsi="仿宋" w:eastAsia="仿宋" w:cs="Arial"/>
                <w:szCs w:val="21"/>
              </w:rPr>
              <w:t>5</w:t>
            </w:r>
          </w:p>
        </w:tc>
        <w:tc>
          <w:tcPr>
            <w:tcW w:w="1963" w:type="pct"/>
            <w:vAlign w:val="center"/>
          </w:tcPr>
          <w:p>
            <w:pPr>
              <w:spacing w:line="276" w:lineRule="auto"/>
              <w:jc w:val="center"/>
              <w:rPr>
                <w:rFonts w:ascii="仿宋" w:hAnsi="仿宋" w:eastAsia="仿宋" w:cs="Arial"/>
                <w:szCs w:val="21"/>
              </w:rPr>
            </w:pPr>
            <w:r>
              <w:rPr>
                <w:rFonts w:hint="eastAsia" w:ascii="仿宋" w:hAnsi="仿宋" w:eastAsia="仿宋" w:cs="Arial"/>
                <w:szCs w:val="21"/>
              </w:rPr>
              <w:t>倾点</w:t>
            </w:r>
          </w:p>
        </w:tc>
        <w:tc>
          <w:tcPr>
            <w:tcW w:w="953" w:type="pct"/>
            <w:vMerge w:val="continue"/>
            <w:vAlign w:val="center"/>
          </w:tcPr>
          <w:p>
            <w:pPr>
              <w:spacing w:line="276" w:lineRule="auto"/>
              <w:jc w:val="center"/>
              <w:rPr>
                <w:rFonts w:ascii="仿宋" w:hAnsi="仿宋" w:eastAsia="仿宋" w:cs="Arial"/>
                <w:szCs w:val="21"/>
              </w:rPr>
            </w:pPr>
          </w:p>
        </w:tc>
        <w:tc>
          <w:tcPr>
            <w:tcW w:w="1827" w:type="pct"/>
            <w:vAlign w:val="center"/>
          </w:tcPr>
          <w:p>
            <w:pPr>
              <w:jc w:val="center"/>
            </w:pPr>
            <w:r>
              <w:rPr>
                <w:rFonts w:hint="eastAsia"/>
              </w:rPr>
              <w:t>GB/T 3535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57" w:type="pct"/>
            <w:tcBorders>
              <w:left w:val="single" w:color="auto" w:sz="4" w:space="0"/>
            </w:tcBorders>
            <w:vAlign w:val="center"/>
          </w:tcPr>
          <w:p>
            <w:pPr>
              <w:spacing w:line="276" w:lineRule="auto"/>
              <w:jc w:val="center"/>
              <w:rPr>
                <w:rFonts w:ascii="仿宋" w:hAnsi="仿宋" w:eastAsia="仿宋" w:cs="Arial"/>
                <w:szCs w:val="21"/>
              </w:rPr>
            </w:pPr>
            <w:r>
              <w:rPr>
                <w:rFonts w:hint="eastAsia" w:ascii="仿宋" w:hAnsi="仿宋" w:eastAsia="仿宋" w:cs="Arial"/>
                <w:szCs w:val="21"/>
              </w:rPr>
              <w:t>6</w:t>
            </w:r>
          </w:p>
        </w:tc>
        <w:tc>
          <w:tcPr>
            <w:tcW w:w="1963" w:type="pct"/>
            <w:vAlign w:val="center"/>
          </w:tcPr>
          <w:p>
            <w:pPr>
              <w:spacing w:line="276" w:lineRule="auto"/>
              <w:jc w:val="center"/>
              <w:rPr>
                <w:rFonts w:ascii="仿宋" w:hAnsi="仿宋" w:eastAsia="仿宋" w:cs="Arial"/>
                <w:szCs w:val="21"/>
              </w:rPr>
            </w:pPr>
            <w:r>
              <w:rPr>
                <w:rFonts w:ascii="仿宋" w:hAnsi="仿宋" w:eastAsia="仿宋" w:cs="Arial"/>
                <w:szCs w:val="21"/>
              </w:rPr>
              <w:t>灰分</w:t>
            </w:r>
          </w:p>
        </w:tc>
        <w:tc>
          <w:tcPr>
            <w:tcW w:w="953" w:type="pct"/>
            <w:vMerge w:val="continue"/>
            <w:vAlign w:val="center"/>
          </w:tcPr>
          <w:p>
            <w:pPr>
              <w:spacing w:line="276" w:lineRule="auto"/>
              <w:jc w:val="center"/>
              <w:rPr>
                <w:rFonts w:ascii="仿宋" w:hAnsi="仿宋" w:eastAsia="仿宋" w:cs="Arial"/>
                <w:szCs w:val="21"/>
              </w:rPr>
            </w:pPr>
          </w:p>
        </w:tc>
        <w:tc>
          <w:tcPr>
            <w:tcW w:w="1827" w:type="pct"/>
            <w:vAlign w:val="center"/>
          </w:tcPr>
          <w:p>
            <w:pPr>
              <w:jc w:val="center"/>
            </w:pPr>
            <w:r>
              <w:t>GB/T 508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57" w:type="pct"/>
            <w:tcBorders>
              <w:left w:val="single" w:color="auto" w:sz="4" w:space="0"/>
            </w:tcBorders>
            <w:vAlign w:val="center"/>
          </w:tcPr>
          <w:p>
            <w:pPr>
              <w:spacing w:line="276" w:lineRule="auto"/>
              <w:jc w:val="center"/>
              <w:rPr>
                <w:rFonts w:ascii="仿宋" w:hAnsi="仿宋" w:eastAsia="仿宋" w:cs="Arial"/>
                <w:szCs w:val="21"/>
              </w:rPr>
            </w:pPr>
            <w:r>
              <w:rPr>
                <w:rFonts w:hint="eastAsia" w:ascii="仿宋" w:hAnsi="仿宋" w:eastAsia="仿宋" w:cs="Arial"/>
                <w:szCs w:val="21"/>
              </w:rPr>
              <w:t>7</w:t>
            </w:r>
          </w:p>
        </w:tc>
        <w:tc>
          <w:tcPr>
            <w:tcW w:w="1963" w:type="pct"/>
            <w:vAlign w:val="center"/>
          </w:tcPr>
          <w:p>
            <w:pPr>
              <w:spacing w:line="276" w:lineRule="auto"/>
              <w:jc w:val="center"/>
              <w:rPr>
                <w:rFonts w:ascii="仿宋" w:hAnsi="仿宋" w:eastAsia="仿宋" w:cs="Arial"/>
                <w:szCs w:val="21"/>
              </w:rPr>
            </w:pPr>
            <w:r>
              <w:rPr>
                <w:rFonts w:hint="eastAsia" w:ascii="仿宋" w:hAnsi="仿宋" w:eastAsia="仿宋" w:cs="Arial"/>
                <w:szCs w:val="21"/>
              </w:rPr>
              <w:t>水分</w:t>
            </w:r>
          </w:p>
        </w:tc>
        <w:tc>
          <w:tcPr>
            <w:tcW w:w="953" w:type="pct"/>
            <w:vMerge w:val="continue"/>
            <w:vAlign w:val="center"/>
          </w:tcPr>
          <w:p>
            <w:pPr>
              <w:spacing w:line="276" w:lineRule="auto"/>
              <w:jc w:val="center"/>
              <w:rPr>
                <w:rFonts w:ascii="仿宋" w:hAnsi="仿宋" w:eastAsia="仿宋" w:cs="Arial"/>
                <w:szCs w:val="21"/>
              </w:rPr>
            </w:pPr>
          </w:p>
        </w:tc>
        <w:tc>
          <w:tcPr>
            <w:tcW w:w="1827" w:type="pct"/>
            <w:vAlign w:val="center"/>
          </w:tcPr>
          <w:p>
            <w:pPr>
              <w:jc w:val="center"/>
            </w:pPr>
            <w:r>
              <w:rPr>
                <w:rFonts w:hint="eastAsia"/>
              </w:rPr>
              <w:t>GB/T 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000" w:type="pct"/>
            <w:gridSpan w:val="4"/>
            <w:tcBorders>
              <w:left w:val="single" w:color="auto" w:sz="4" w:space="0"/>
            </w:tcBorders>
            <w:vAlign w:val="center"/>
          </w:tcPr>
          <w:p>
            <w:pPr>
              <w:spacing w:line="276" w:lineRule="auto"/>
              <w:jc w:val="center"/>
              <w:rPr>
                <w:rFonts w:ascii="仿宋" w:hAnsi="仿宋" w:eastAsia="仿宋" w:cs="Arial"/>
                <w:szCs w:val="21"/>
              </w:rPr>
            </w:pPr>
            <w:r>
              <w:rPr>
                <w:rFonts w:hint="eastAsia" w:ascii="仿宋" w:hAnsi="仿宋" w:eastAsia="仿宋" w:cs="Arial"/>
                <w:szCs w:val="21"/>
              </w:rPr>
              <w:t>注：当第2项、第3项同时不合格时，才可判定密度项不合格。</w:t>
            </w:r>
          </w:p>
        </w:tc>
      </w:tr>
    </w:tbl>
    <w:p>
      <w:pPr>
        <w:pStyle w:val="2"/>
      </w:pPr>
    </w:p>
    <w:p>
      <w:pPr>
        <w:pStyle w:val="2"/>
        <w:spacing w:line="360" w:lineRule="auto"/>
        <w:ind w:firstLine="560"/>
        <w:rPr>
          <w:rFonts w:ascii="仿宋" w:hAnsi="仿宋" w:eastAsia="仿宋"/>
          <w:sz w:val="28"/>
          <w:szCs w:val="28"/>
        </w:rPr>
      </w:pPr>
      <w:r>
        <w:rPr>
          <w:rFonts w:hint="eastAsia" w:ascii="仿宋" w:hAnsi="仿宋" w:eastAsia="仿宋"/>
          <w:sz w:val="28"/>
          <w:szCs w:val="28"/>
        </w:rPr>
        <w:t>7.2 检验应注意的问题</w:t>
      </w:r>
    </w:p>
    <w:p>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若被检产品明示的质量要求高于本细则中检验项目依据的标准要求时，应按被检产品明示的质量要求判定。</w:t>
      </w:r>
    </w:p>
    <w:p>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若被检产品明示的质量要求低于本细则中检验项目依据的强制性标准要求时，应按照强制性标准要求判定。</w:t>
      </w:r>
    </w:p>
    <w:p>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若被检产品明示的质量要求低于或包含本细则中检验项目依据的推荐性标准要求时，应以被检产品明示的质量要求判定。</w:t>
      </w:r>
    </w:p>
    <w:p>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若被检产品明示的质量要求缺少本细则中检验项目依据的强制性标准要求时，应按照强制性标准要求判定。</w:t>
      </w:r>
    </w:p>
    <w:p>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若被检产品明示的质量要求缺少本细则中检验项目依据的推荐性标准要求时，该项目不参与判定，但应在检验报告备注中进行说明。</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8 判定原则</w:t>
      </w:r>
    </w:p>
    <w:p>
      <w:pPr>
        <w:spacing w:line="360" w:lineRule="auto"/>
        <w:ind w:firstLine="560" w:firstLineChars="200"/>
        <w:rPr>
          <w:rFonts w:ascii="仿宋" w:hAnsi="仿宋" w:eastAsia="仿宋"/>
          <w:sz w:val="28"/>
          <w:szCs w:val="28"/>
        </w:rPr>
      </w:pPr>
      <w:r>
        <w:rPr>
          <w:rFonts w:hint="eastAsia" w:ascii="仿宋" w:hAnsi="仿宋" w:eastAsia="仿宋" w:cs="仿宋"/>
          <w:sz w:val="28"/>
          <w:szCs w:val="28"/>
        </w:rPr>
        <w:t>经检验，检验项目全部合格，判定为被抽查产品所检项目未发现不合格；检验项目中任一项或一项以上不合格，判定为被抽查产品不合格。</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9 异议处理</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对被判定为不合格产品进行异议处理时，按以下方式进行：</w:t>
      </w:r>
    </w:p>
    <w:p>
      <w:pPr>
        <w:spacing w:line="360" w:lineRule="auto"/>
        <w:ind w:firstLine="560" w:firstLineChars="200"/>
        <w:rPr>
          <w:rFonts w:ascii="仿宋" w:hAnsi="仿宋" w:eastAsia="仿宋"/>
          <w:sz w:val="28"/>
          <w:szCs w:val="28"/>
        </w:rPr>
      </w:pPr>
      <w:r>
        <w:rPr>
          <w:rFonts w:hint="eastAsia" w:ascii="仿宋" w:hAnsi="仿宋" w:eastAsia="仿宋"/>
          <w:sz w:val="28"/>
          <w:szCs w:val="28"/>
        </w:rPr>
        <w:t>9.1 核查不合格项目相关证据，能够以记录（纸质记录或电子记录或影像记录）或与不合格项目相关联的其它质量数据等检验证据证明。</w:t>
      </w:r>
    </w:p>
    <w:p>
      <w:pPr>
        <w:spacing w:line="360" w:lineRule="auto"/>
        <w:ind w:firstLine="560" w:firstLineChars="200"/>
        <w:rPr>
          <w:rFonts w:ascii="仿宋" w:hAnsi="仿宋" w:eastAsia="仿宋"/>
          <w:sz w:val="28"/>
          <w:szCs w:val="28"/>
        </w:rPr>
      </w:pPr>
      <w:r>
        <w:rPr>
          <w:rFonts w:hint="eastAsia" w:ascii="仿宋" w:hAnsi="仿宋" w:eastAsia="仿宋"/>
          <w:sz w:val="28"/>
          <w:szCs w:val="28"/>
        </w:rPr>
        <w:t>9.2对需要复检并具备检验条件的，处理企业异议的市场监督管理部门或者指定检验机构应当按原监督抽查方案对抽取的备用样品组织复检，复检项目如有仲裁法需用仲裁法进行复检，并出具检验报告。复检结论为最终结论。</w:t>
      </w:r>
    </w:p>
    <w:p>
      <w:pPr>
        <w:spacing w:line="360" w:lineRule="auto"/>
        <w:ind w:firstLine="562" w:firstLineChars="200"/>
        <w:rPr>
          <w:rFonts w:ascii="仿宋" w:hAnsi="仿宋" w:eastAsia="仿宋"/>
          <w:sz w:val="28"/>
          <w:szCs w:val="28"/>
        </w:rPr>
      </w:pPr>
      <w:r>
        <w:rPr>
          <w:rFonts w:hint="eastAsia" w:ascii="仿宋" w:hAnsi="仿宋" w:eastAsia="仿宋"/>
          <w:b/>
          <w:sz w:val="28"/>
          <w:szCs w:val="28"/>
        </w:rPr>
        <w:t>10附则</w:t>
      </w:r>
    </w:p>
    <w:p>
      <w:pPr>
        <w:spacing w:line="360" w:lineRule="auto"/>
        <w:ind w:firstLine="420"/>
        <w:rPr>
          <w:rFonts w:ascii="仿宋" w:hAnsi="仿宋" w:eastAsia="仿宋"/>
          <w:sz w:val="28"/>
          <w:szCs w:val="28"/>
        </w:rPr>
      </w:pPr>
      <w:r>
        <w:rPr>
          <w:rFonts w:hint="eastAsia" w:ascii="仿宋" w:hAnsi="仿宋" w:eastAsia="仿宋"/>
          <w:sz w:val="28"/>
          <w:szCs w:val="28"/>
        </w:rPr>
        <w:t>本实施细则编制单位：大连产品质量检验检测研究院有限公司。</w:t>
      </w:r>
    </w:p>
    <w:p>
      <w:pPr>
        <w:snapToGrid w:val="0"/>
        <w:spacing w:line="360" w:lineRule="auto"/>
        <w:ind w:firstLine="420"/>
        <w:rPr>
          <w:rFonts w:ascii="仿宋" w:hAnsi="仿宋" w:eastAsia="仿宋"/>
          <w:sz w:val="28"/>
          <w:szCs w:val="28"/>
        </w:rPr>
      </w:pPr>
      <w:r>
        <w:rPr>
          <w:rFonts w:hint="eastAsia" w:ascii="仿宋" w:hAnsi="仿宋" w:eastAsia="仿宋"/>
          <w:sz w:val="28"/>
          <w:szCs w:val="28"/>
        </w:rPr>
        <w:t>本实施细则由盘锦市市场监督管理局管理。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ZkMDgzZGIwNWQwZjU3YmZhNGExN2ZhMDhjZGY0YTYifQ=="/>
  </w:docVars>
  <w:rsids>
    <w:rsidRoot w:val="00311FB6"/>
    <w:rsid w:val="000014BB"/>
    <w:rsid w:val="000315C9"/>
    <w:rsid w:val="0003236F"/>
    <w:rsid w:val="00051E59"/>
    <w:rsid w:val="00071435"/>
    <w:rsid w:val="00082EA3"/>
    <w:rsid w:val="000A3F79"/>
    <w:rsid w:val="000A75A2"/>
    <w:rsid w:val="000B32A3"/>
    <w:rsid w:val="000E20E2"/>
    <w:rsid w:val="000E2D2B"/>
    <w:rsid w:val="000E668E"/>
    <w:rsid w:val="000F2526"/>
    <w:rsid w:val="001030FF"/>
    <w:rsid w:val="00140897"/>
    <w:rsid w:val="001425B2"/>
    <w:rsid w:val="001643F0"/>
    <w:rsid w:val="00181676"/>
    <w:rsid w:val="001A45DB"/>
    <w:rsid w:val="001B51F7"/>
    <w:rsid w:val="001F1442"/>
    <w:rsid w:val="002046F9"/>
    <w:rsid w:val="00204D17"/>
    <w:rsid w:val="00205368"/>
    <w:rsid w:val="00213085"/>
    <w:rsid w:val="002206AA"/>
    <w:rsid w:val="0022318E"/>
    <w:rsid w:val="00235CE0"/>
    <w:rsid w:val="00245548"/>
    <w:rsid w:val="00250F8D"/>
    <w:rsid w:val="00266EB8"/>
    <w:rsid w:val="00267385"/>
    <w:rsid w:val="00275ABD"/>
    <w:rsid w:val="00296152"/>
    <w:rsid w:val="002B7108"/>
    <w:rsid w:val="00311FB6"/>
    <w:rsid w:val="00352946"/>
    <w:rsid w:val="003849F7"/>
    <w:rsid w:val="0039085C"/>
    <w:rsid w:val="003F280D"/>
    <w:rsid w:val="004D0DBD"/>
    <w:rsid w:val="004D4198"/>
    <w:rsid w:val="004D7F61"/>
    <w:rsid w:val="00517531"/>
    <w:rsid w:val="0053236C"/>
    <w:rsid w:val="00533DEA"/>
    <w:rsid w:val="005364E2"/>
    <w:rsid w:val="00594D2F"/>
    <w:rsid w:val="006024C6"/>
    <w:rsid w:val="00602CEA"/>
    <w:rsid w:val="006B7513"/>
    <w:rsid w:val="006C1F28"/>
    <w:rsid w:val="006C7764"/>
    <w:rsid w:val="006E249D"/>
    <w:rsid w:val="006F5E88"/>
    <w:rsid w:val="007073FF"/>
    <w:rsid w:val="00736044"/>
    <w:rsid w:val="007547B1"/>
    <w:rsid w:val="00766298"/>
    <w:rsid w:val="00782650"/>
    <w:rsid w:val="00790F02"/>
    <w:rsid w:val="007947DB"/>
    <w:rsid w:val="007A1199"/>
    <w:rsid w:val="007B5465"/>
    <w:rsid w:val="007E385C"/>
    <w:rsid w:val="00805A2E"/>
    <w:rsid w:val="008136A5"/>
    <w:rsid w:val="00825C6C"/>
    <w:rsid w:val="0084028D"/>
    <w:rsid w:val="00876F46"/>
    <w:rsid w:val="008829BF"/>
    <w:rsid w:val="00887D44"/>
    <w:rsid w:val="008A2445"/>
    <w:rsid w:val="008A7044"/>
    <w:rsid w:val="008C3C98"/>
    <w:rsid w:val="008E1227"/>
    <w:rsid w:val="008F5313"/>
    <w:rsid w:val="00903770"/>
    <w:rsid w:val="00952FD6"/>
    <w:rsid w:val="0095516C"/>
    <w:rsid w:val="0096065B"/>
    <w:rsid w:val="00983260"/>
    <w:rsid w:val="00992282"/>
    <w:rsid w:val="0099630D"/>
    <w:rsid w:val="009B2C74"/>
    <w:rsid w:val="009C6FB6"/>
    <w:rsid w:val="009D64ED"/>
    <w:rsid w:val="009F2993"/>
    <w:rsid w:val="009F2D56"/>
    <w:rsid w:val="00A14D0A"/>
    <w:rsid w:val="00A21070"/>
    <w:rsid w:val="00A352B2"/>
    <w:rsid w:val="00A73F31"/>
    <w:rsid w:val="00A84FF1"/>
    <w:rsid w:val="00A86C33"/>
    <w:rsid w:val="00AC0B98"/>
    <w:rsid w:val="00B20A32"/>
    <w:rsid w:val="00B240DD"/>
    <w:rsid w:val="00B27DB3"/>
    <w:rsid w:val="00B63427"/>
    <w:rsid w:val="00B91211"/>
    <w:rsid w:val="00B93E61"/>
    <w:rsid w:val="00BA2266"/>
    <w:rsid w:val="00BB24EE"/>
    <w:rsid w:val="00BE5FAB"/>
    <w:rsid w:val="00C14F41"/>
    <w:rsid w:val="00C36FD9"/>
    <w:rsid w:val="00C47442"/>
    <w:rsid w:val="00C60981"/>
    <w:rsid w:val="00C84F7A"/>
    <w:rsid w:val="00C960B1"/>
    <w:rsid w:val="00C963DB"/>
    <w:rsid w:val="00CA5710"/>
    <w:rsid w:val="00CE18C9"/>
    <w:rsid w:val="00CF6A1F"/>
    <w:rsid w:val="00D01021"/>
    <w:rsid w:val="00D130EB"/>
    <w:rsid w:val="00D1349D"/>
    <w:rsid w:val="00D54B1D"/>
    <w:rsid w:val="00DD7ACD"/>
    <w:rsid w:val="00E40B46"/>
    <w:rsid w:val="00E477A9"/>
    <w:rsid w:val="00E64F30"/>
    <w:rsid w:val="00E67500"/>
    <w:rsid w:val="00EA531A"/>
    <w:rsid w:val="00ED3750"/>
    <w:rsid w:val="00EE411C"/>
    <w:rsid w:val="00F04686"/>
    <w:rsid w:val="00F14747"/>
    <w:rsid w:val="00F1759B"/>
    <w:rsid w:val="00F52153"/>
    <w:rsid w:val="00F55632"/>
    <w:rsid w:val="00F60794"/>
    <w:rsid w:val="00F76521"/>
    <w:rsid w:val="00FA08C9"/>
    <w:rsid w:val="00FC057C"/>
    <w:rsid w:val="00FC4997"/>
    <w:rsid w:val="00FD2AC2"/>
    <w:rsid w:val="00FD4EB8"/>
    <w:rsid w:val="228E4FB8"/>
    <w:rsid w:val="7E7E53E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99"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List 2"/>
    <w:basedOn w:val="1"/>
    <w:qFormat/>
    <w:uiPriority w:val="99"/>
    <w:pPr>
      <w:ind w:left="100" w:leftChars="200" w:hanging="200" w:hangingChars="200"/>
    </w:pPr>
    <w:rPr>
      <w:rFonts w:ascii="Times New Roman" w:hAnsi="Times New Roman"/>
      <w:szCs w:val="24"/>
    </w:rPr>
  </w:style>
  <w:style w:type="paragraph" w:styleId="4">
    <w:name w:val="Date"/>
    <w:basedOn w:val="1"/>
    <w:next w:val="1"/>
    <w:link w:val="15"/>
    <w:semiHidden/>
    <w:unhideWhenUsed/>
    <w:uiPriority w:val="99"/>
    <w:pPr>
      <w:ind w:left="100" w:leftChars="2500"/>
    </w:pPr>
  </w:style>
  <w:style w:type="paragraph" w:styleId="5">
    <w:name w:val="Balloon Text"/>
    <w:basedOn w:val="1"/>
    <w:link w:val="14"/>
    <w:semiHidden/>
    <w:unhideWhenUsed/>
    <w:uiPriority w:val="99"/>
    <w:rPr>
      <w:sz w:val="18"/>
      <w:szCs w:val="18"/>
    </w:rPr>
  </w:style>
  <w:style w:type="paragraph" w:styleId="6">
    <w:name w:val="footer"/>
    <w:basedOn w:val="1"/>
    <w:link w:val="12"/>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1"/>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9">
    <w:name w:val="Table Grid"/>
    <w:basedOn w:val="8"/>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1">
    <w:name w:val="页眉 Char"/>
    <w:basedOn w:val="10"/>
    <w:link w:val="7"/>
    <w:uiPriority w:val="99"/>
    <w:rPr>
      <w:sz w:val="18"/>
      <w:szCs w:val="18"/>
    </w:rPr>
  </w:style>
  <w:style w:type="character" w:customStyle="1" w:styleId="12">
    <w:name w:val="页脚 Char"/>
    <w:basedOn w:val="10"/>
    <w:link w:val="6"/>
    <w:uiPriority w:val="99"/>
    <w:rPr>
      <w:sz w:val="18"/>
      <w:szCs w:val="18"/>
    </w:rPr>
  </w:style>
  <w:style w:type="paragraph" w:customStyle="1" w:styleId="13">
    <w:name w:val="Default"/>
    <w:uiPriority w:val="0"/>
    <w:pPr>
      <w:widowControl w:val="0"/>
      <w:autoSpaceDE w:val="0"/>
      <w:autoSpaceDN w:val="0"/>
      <w:adjustRightInd w:val="0"/>
    </w:pPr>
    <w:rPr>
      <w:rFonts w:ascii="Times New Roman" w:hAnsi="Times New Roman" w:cs="Times New Roman" w:eastAsiaTheme="minorEastAsia"/>
      <w:color w:val="000000"/>
      <w:kern w:val="0"/>
      <w:sz w:val="24"/>
      <w:szCs w:val="24"/>
      <w:lang w:val="en-US" w:eastAsia="zh-CN" w:bidi="ar-SA"/>
    </w:rPr>
  </w:style>
  <w:style w:type="character" w:customStyle="1" w:styleId="14">
    <w:name w:val="批注框文本 Char"/>
    <w:basedOn w:val="10"/>
    <w:link w:val="5"/>
    <w:semiHidden/>
    <w:uiPriority w:val="99"/>
    <w:rPr>
      <w:rFonts w:ascii="Calibri" w:hAnsi="Calibri" w:eastAsia="宋体" w:cs="Times New Roman"/>
      <w:sz w:val="18"/>
      <w:szCs w:val="18"/>
    </w:rPr>
  </w:style>
  <w:style w:type="character" w:customStyle="1" w:styleId="15">
    <w:name w:val="日期 Char"/>
    <w:basedOn w:val="10"/>
    <w:link w:val="4"/>
    <w:semiHidden/>
    <w:uiPriority w:val="99"/>
    <w:rPr>
      <w:rFonts w:ascii="Calibri" w:hAnsi="Calibri"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6</Pages>
  <Words>2544</Words>
  <Characters>2795</Characters>
  <Lines>21</Lines>
  <Paragraphs>6</Paragraphs>
  <TotalTime>1</TotalTime>
  <ScaleCrop>false</ScaleCrop>
  <LinksUpToDate>false</LinksUpToDate>
  <CharactersWithSpaces>2848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2023-02-13T03:28:00Z</dcterms:created>
  <dc:creator>admin</dc:creator>
  <cp:lastModifiedBy>金</cp:lastModifiedBy>
  <dcterms:modified xsi:type="dcterms:W3CDTF">2023-02-16T09:14:24Z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9892C2FAD0DE4CAF9A81B12E0CFED919</vt:lpwstr>
  </property>
</Properties>
</file>