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一次性竹木筷</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一次性竹木筷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竹木制食品相关产品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一次性竹木筷</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一次性竹木筷</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19790.1-2021 一次性筷子第1部分：木筷</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19790.2-2005 一次性筷子第2部分：竹筷</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200双</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100双（至少密封3包）</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100双（至少密封3包）</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2一次性筷子 木筷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规格尺寸及其公差</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rPr>
              <w:t>GB/T 19790.1-2021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外观质量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4822-2015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含水率要求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1931-2009</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3一次性筷子 竹筷</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感官要求</w:t>
            </w:r>
          </w:p>
        </w:tc>
        <w:tc>
          <w:tcPr>
            <w:tcW w:w="2310" w:type="dxa"/>
            <w:vMerge w:val="restart"/>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rPr>
              <w:t>GB/T 19790.2-2005</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志贺氏菌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金黄色葡萄球菌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β型溶血性链球菌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霉菌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含水率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19790.2-2005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二氧化硫浸出量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5009.34-2003</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2</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2024-07-20T06:31:53Z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2330F28C354241FBAAD47277FD020202_13</vt:lpwstr>
  </property>
</Properties>
</file>