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一次性可降解餐饮具</w:t>
      </w:r>
      <w:bookmarkEnd w:id="0"/>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一次性可降解餐饮具</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13"/>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08</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17</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食品相关产品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塑料材质食品相关产品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一次性可降解餐饮具</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本细则涉及产品</w:t>
      </w:r>
      <w:r>
        <w:rPr>
          <w:rFonts w:hint="eastAsia" w:ascii="仿宋_GB2312" w:hAnsi="宋体" w:eastAsia="仿宋_GB2312" w:cs="Times New Roman"/>
          <w:sz w:val="28"/>
          <w:szCs w:val="28"/>
        </w:rPr>
        <w:t>种</w:t>
      </w:r>
      <w:r>
        <w:rPr>
          <w:rFonts w:hint="eastAsia" w:ascii="仿宋_GB2312" w:hAnsi="宋体" w:eastAsia="仿宋_GB2312" w:cs="Times New Roman"/>
          <w:sz w:val="28"/>
          <w:szCs w:val="28"/>
        </w:rPr>
        <w:t>类：</w:t>
      </w:r>
      <w:r>
        <w:rPr>
          <w:rFonts w:hint="eastAsia" w:ascii="仿宋_GB2312" w:hAnsi="宋体" w:eastAsia="仿宋_GB2312" w:cs="Times New Roman"/>
          <w:sz w:val="28"/>
          <w:szCs w:val="28"/>
          <w:lang w:eastAsia="zh-CN"/>
        </w:rPr>
        <w:t>一次性可降解餐饮具</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 4806.7</w:t>
      </w:r>
      <w:r>
        <w:rPr>
          <w:rFonts w:hint="eastAsia" w:ascii="仿宋_GB2312" w:hAnsi="宋体" w:eastAsia="仿宋_GB2312" w:cs="Times New Roman"/>
          <w:sz w:val="28"/>
          <w:szCs w:val="28"/>
          <w:highlight w:val="none"/>
          <w:lang w:val="en-US" w:eastAsia="zh-CN"/>
        </w:rPr>
        <w:t>-</w:t>
      </w:r>
      <w:r>
        <w:rPr>
          <w:rFonts w:hint="eastAsia" w:ascii="仿宋_GB2312" w:hAnsi="宋体" w:eastAsia="仿宋_GB2312" w:cs="Times New Roman"/>
          <w:sz w:val="28"/>
          <w:szCs w:val="28"/>
          <w:highlight w:val="none"/>
        </w:rPr>
        <w:t>2016 食品安全国家标准 食品接触用塑料材料及制品</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 4806.7</w:t>
      </w:r>
      <w:r>
        <w:rPr>
          <w:rFonts w:hint="eastAsia" w:ascii="仿宋_GB2312" w:hAnsi="宋体" w:eastAsia="仿宋_GB2312" w:cs="Times New Roman"/>
          <w:sz w:val="28"/>
          <w:szCs w:val="28"/>
          <w:highlight w:val="none"/>
          <w:lang w:val="en-US" w:eastAsia="zh-CN"/>
        </w:rPr>
        <w:t>-</w:t>
      </w:r>
      <w:r>
        <w:rPr>
          <w:rFonts w:hint="eastAsia" w:ascii="仿宋_GB2312" w:hAnsi="宋体" w:eastAsia="仿宋_GB2312" w:cs="Times New Roman"/>
          <w:sz w:val="28"/>
          <w:szCs w:val="28"/>
          <w:highlight w:val="none"/>
        </w:rPr>
        <w:t>2023 食品安全国家标准 食品接触用塑料材料及制品</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 4806.8-2022 食品安全国家标准 食品接触用纸和纸板材料及制品</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18006.1-2009</w:t>
      </w:r>
      <w:r>
        <w:rPr>
          <w:rFonts w:hint="eastAsia" w:ascii="仿宋_GB2312" w:hAnsi="宋体" w:eastAsia="仿宋_GB2312" w:cs="Times New Roman"/>
          <w:sz w:val="28"/>
          <w:szCs w:val="28"/>
          <w:highlight w:val="none"/>
          <w:lang w:val="en-US" w:eastAsia="zh-CN"/>
        </w:rPr>
        <w:t xml:space="preserve"> 塑料一次性餐饮具通用技术要求</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18006.3-2020</w:t>
      </w:r>
      <w:r>
        <w:rPr>
          <w:rFonts w:hint="eastAsia" w:ascii="仿宋_GB2312" w:hAnsi="宋体" w:eastAsia="仿宋_GB2312" w:cs="Times New Roman"/>
          <w:sz w:val="28"/>
          <w:szCs w:val="28"/>
          <w:highlight w:val="none"/>
          <w:lang w:val="en-US" w:eastAsia="zh-CN"/>
        </w:rPr>
        <w:t xml:space="preserve"> 一次性可降解餐饮具通用技术要求</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cs="Times New Roman"/>
          <w:sz w:val="28"/>
          <w:szCs w:val="28"/>
          <w:highlight w:val="none"/>
        </w:rPr>
        <w:t>相关的法律、行政法规、部门规章、</w:t>
      </w:r>
      <w:r>
        <w:rPr>
          <w:rFonts w:hint="eastAsia" w:ascii="仿宋_GB2312" w:hAnsi="宋体" w:eastAsia="仿宋_GB2312"/>
          <w:sz w:val="28"/>
          <w:szCs w:val="28"/>
          <w:highlight w:val="none"/>
        </w:rPr>
        <w:t>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每批次产品抽取不少于3份最小销售独立包装，每份样品抽样数量不少于40只（个），其中2份作为检验样品，1份作为备用样品。每份样品质量应不少于100g且与食品接触面的最小表面积应不小于10dm2（若最小销售包装不是40只（个）的整数倍，需按采样数折算，保证检样不少于80只（个），备样不少于40只（个），避免损坏原包装）</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r>
        <w:rPr>
          <w:rFonts w:hint="eastAsia" w:ascii="仿宋_GB2312" w:hAnsi="宋体" w:eastAsia="仿宋_GB2312" w:cs="Times New Roman"/>
          <w:sz w:val="28"/>
          <w:szCs w:val="28"/>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w:t>
      </w:r>
      <w:r>
        <w:rPr>
          <w:rFonts w:hint="eastAsia" w:ascii="仿宋" w:hAnsi="仿宋" w:eastAsia="仿宋" w:cs="仿宋"/>
          <w:color w:val="000000" w:themeColor="text1"/>
          <w:szCs w:val="21"/>
          <w:lang w:eastAsia="zh-CN"/>
          <w14:textFill>
            <w14:solidFill>
              <w14:schemeClr w14:val="tx1"/>
            </w14:solidFill>
          </w14:textFill>
        </w:rPr>
        <w:t>一次性可降解餐饮具</w:t>
      </w:r>
    </w:p>
    <w:tbl>
      <w:tblPr>
        <w:tblStyle w:val="13"/>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感官要求</w:t>
            </w:r>
          </w:p>
        </w:tc>
        <w:tc>
          <w:tcPr>
            <w:tcW w:w="2310" w:type="dxa"/>
            <w:vMerge w:val="restart"/>
            <w:tcBorders/>
            <w:vAlign w:val="center"/>
          </w:tcPr>
          <w:p>
            <w:pPr>
              <w:widowControl/>
              <w:adjustRightInd w:val="0"/>
              <w:snapToGrid w:val="0"/>
              <w:ind w:left="122" w:leftChars="58"/>
              <w:jc w:val="center"/>
              <w:rPr>
                <w:rFonts w:hint="default" w:ascii="仿宋" w:hAnsi="仿宋" w:eastAsia="仿宋" w:cs="仿宋"/>
                <w:bCs/>
                <w:iCs/>
                <w:kern w:val="0"/>
                <w:szCs w:val="21"/>
              </w:rPr>
            </w:pPr>
            <w:r>
              <w:rPr>
                <w:rFonts w:hint="default" w:ascii="仿宋" w:hAnsi="仿宋" w:eastAsia="仿宋" w:cs="仿宋"/>
                <w:bCs/>
                <w:iCs/>
                <w:kern w:val="0"/>
                <w:szCs w:val="21"/>
              </w:rPr>
              <w:t>GB 4806.7</w:t>
            </w:r>
            <w:r>
              <w:rPr>
                <w:rFonts w:hint="eastAsia" w:ascii="仿宋" w:hAnsi="仿宋" w:eastAsia="仿宋" w:cs="仿宋"/>
                <w:bCs/>
                <w:iCs/>
                <w:kern w:val="0"/>
                <w:szCs w:val="21"/>
                <w:lang w:val="en-US" w:eastAsia="zh-CN"/>
              </w:rPr>
              <w:t>-</w:t>
            </w:r>
            <w:r>
              <w:rPr>
                <w:rFonts w:hint="default" w:ascii="仿宋" w:hAnsi="仿宋" w:eastAsia="仿宋" w:cs="仿宋"/>
                <w:bCs/>
                <w:iCs/>
                <w:kern w:val="0"/>
                <w:szCs w:val="21"/>
              </w:rPr>
              <w:t>2016</w:t>
            </w:r>
          </w:p>
          <w:p>
            <w:pPr>
              <w:widowControl/>
              <w:adjustRightInd w:val="0"/>
              <w:snapToGrid w:val="0"/>
              <w:ind w:left="122" w:leftChars="58"/>
              <w:jc w:val="center"/>
              <w:rPr>
                <w:rFonts w:hint="default" w:ascii="仿宋" w:hAnsi="仿宋" w:eastAsia="仿宋" w:cs="仿宋"/>
                <w:bCs/>
                <w:iCs/>
                <w:kern w:val="0"/>
                <w:szCs w:val="21"/>
              </w:rPr>
            </w:pPr>
            <w:r>
              <w:rPr>
                <w:rFonts w:hint="default" w:ascii="仿宋" w:hAnsi="仿宋" w:eastAsia="仿宋" w:cs="仿宋"/>
                <w:bCs/>
                <w:iCs/>
                <w:kern w:val="0"/>
                <w:szCs w:val="21"/>
              </w:rPr>
              <w:t>GB 4806.7</w:t>
            </w:r>
            <w:r>
              <w:rPr>
                <w:rFonts w:hint="eastAsia" w:ascii="仿宋" w:hAnsi="仿宋" w:eastAsia="仿宋" w:cs="仿宋"/>
                <w:bCs/>
                <w:iCs/>
                <w:kern w:val="0"/>
                <w:szCs w:val="21"/>
                <w:lang w:val="en-US" w:eastAsia="zh-CN"/>
              </w:rPr>
              <w:t>-</w:t>
            </w:r>
            <w:r>
              <w:rPr>
                <w:rFonts w:hint="default" w:ascii="仿宋" w:hAnsi="仿宋" w:eastAsia="仿宋" w:cs="仿宋"/>
                <w:bCs/>
                <w:iCs/>
                <w:kern w:val="0"/>
                <w:szCs w:val="21"/>
              </w:rPr>
              <w:t>2023</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rPr>
              <w:t>GB 4806.8</w:t>
            </w:r>
            <w:r>
              <w:rPr>
                <w:rFonts w:hint="eastAsia" w:ascii="仿宋" w:hAnsi="仿宋" w:eastAsia="仿宋" w:cs="仿宋"/>
                <w:bCs/>
                <w:iCs/>
                <w:kern w:val="0"/>
                <w:szCs w:val="21"/>
                <w:lang w:val="en-US" w:eastAsia="zh-CN"/>
              </w:rPr>
              <w:t>-</w:t>
            </w:r>
            <w:r>
              <w:rPr>
                <w:rFonts w:hint="default" w:ascii="仿宋" w:hAnsi="仿宋" w:eastAsia="仿宋" w:cs="仿宋"/>
                <w:bCs/>
                <w:iCs/>
                <w:kern w:val="0"/>
                <w:szCs w:val="21"/>
              </w:rPr>
              <w:t>2022</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2912.1</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总迁移量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7573</w:t>
            </w:r>
            <w:r>
              <w:rPr>
                <w:rFonts w:hint="eastAsia" w:ascii="仿宋" w:hAnsi="仿宋" w:eastAsia="仿宋" w:cs="仿宋"/>
                <w:bCs/>
                <w:iCs/>
                <w:kern w:val="0"/>
                <w:szCs w:val="21"/>
                <w:lang w:eastAsia="zh-CN"/>
              </w:rPr>
              <w:t>-</w:t>
            </w:r>
            <w:r>
              <w:rPr>
                <w:rFonts w:hint="eastAsia" w:ascii="仿宋" w:hAnsi="仿宋" w:eastAsia="仿宋" w:cs="仿宋"/>
                <w:bCs/>
                <w:iCs/>
                <w:kern w:val="0"/>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高锰酸钾消耗量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17592-2011</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23344-2009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重金属（以Pb计）</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18401-2010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脱色试验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18886-2019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jc w:val="both"/>
              <w:rPr>
                <w:rFonts w:hint="default" w:ascii="仿宋" w:hAnsi="仿宋" w:eastAsia="仿宋" w:cs="仿宋"/>
                <w:bCs/>
                <w:iCs/>
                <w:kern w:val="0"/>
                <w:szCs w:val="21"/>
              </w:rPr>
            </w:pPr>
            <w:r>
              <w:rPr>
                <w:rFonts w:hint="default" w:ascii="仿宋" w:hAnsi="仿宋" w:eastAsia="仿宋" w:cs="仿宋"/>
                <w:bCs/>
                <w:iCs/>
                <w:kern w:val="0"/>
                <w:szCs w:val="21"/>
              </w:rPr>
              <w:t>注：1.高锰酸钾消耗量不适用生产日期在2024年9月6日之后的、且淀粉含量≥40%的淀粉基塑料材料及制品。</w:t>
            </w:r>
          </w:p>
          <w:p>
            <w:pPr>
              <w:widowControl/>
              <w:adjustRightInd w:val="0"/>
              <w:snapToGrid w:val="0"/>
              <w:ind w:left="122" w:leftChars="58"/>
              <w:jc w:val="both"/>
              <w:rPr>
                <w:rFonts w:hint="eastAsia" w:ascii="仿宋" w:hAnsi="仿宋" w:eastAsia="仿宋" w:cs="仿宋"/>
                <w:bCs/>
                <w:iCs/>
                <w:kern w:val="0"/>
                <w:szCs w:val="21"/>
                <w:lang w:val="en-US" w:eastAsia="zh-CN"/>
              </w:rPr>
            </w:pPr>
            <w:r>
              <w:rPr>
                <w:rFonts w:hint="default" w:ascii="仿宋" w:hAnsi="仿宋" w:eastAsia="仿宋" w:cs="仿宋"/>
                <w:bCs/>
                <w:iCs/>
                <w:kern w:val="0"/>
                <w:szCs w:val="21"/>
                <w:lang w:val="en-US" w:eastAsia="zh-CN"/>
              </w:rPr>
              <w:t>2</w:t>
            </w:r>
            <w:r>
              <w:rPr>
                <w:rFonts w:hint="default" w:ascii="仿宋" w:hAnsi="仿宋" w:eastAsia="仿宋" w:cs="仿宋"/>
                <w:bCs/>
                <w:iCs/>
                <w:kern w:val="0"/>
                <w:szCs w:val="21"/>
              </w:rPr>
              <w:t>.脱色试验仅适用于添加了着色剂的产品</w:t>
            </w:r>
            <w:r>
              <w:rPr>
                <w:rFonts w:hint="eastAsia" w:ascii="仿宋" w:hAnsi="仿宋" w:eastAsia="仿宋" w:cs="仿宋"/>
                <w:bCs/>
                <w:iCs/>
                <w:kern w:val="0"/>
                <w:szCs w:val="21"/>
                <w:lang w:eastAsia="zh-CN"/>
              </w:rPr>
              <w:t>。</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17E2E02"/>
    <w:rsid w:val="02BD4475"/>
    <w:rsid w:val="03FF761E"/>
    <w:rsid w:val="04043AA5"/>
    <w:rsid w:val="04E74098"/>
    <w:rsid w:val="08705141"/>
    <w:rsid w:val="0A401166"/>
    <w:rsid w:val="0E9D78D8"/>
    <w:rsid w:val="0FAA5A14"/>
    <w:rsid w:val="117D2F3D"/>
    <w:rsid w:val="19330066"/>
    <w:rsid w:val="1DAB6F3A"/>
    <w:rsid w:val="1DB146C7"/>
    <w:rsid w:val="1DE41839"/>
    <w:rsid w:val="25725A7D"/>
    <w:rsid w:val="29156672"/>
    <w:rsid w:val="29621FF4"/>
    <w:rsid w:val="2D397142"/>
    <w:rsid w:val="2F6F34DE"/>
    <w:rsid w:val="323F5720"/>
    <w:rsid w:val="32F00F21"/>
    <w:rsid w:val="3AB030D6"/>
    <w:rsid w:val="423D1FE7"/>
    <w:rsid w:val="43285D3E"/>
    <w:rsid w:val="4757545E"/>
    <w:rsid w:val="47A66D96"/>
    <w:rsid w:val="4B275459"/>
    <w:rsid w:val="4D3E25C6"/>
    <w:rsid w:val="4EEE25C2"/>
    <w:rsid w:val="505B3D74"/>
    <w:rsid w:val="50774392"/>
    <w:rsid w:val="557A53C9"/>
    <w:rsid w:val="56A725B8"/>
    <w:rsid w:val="56E733A1"/>
    <w:rsid w:val="5BB626DD"/>
    <w:rsid w:val="5D7209DD"/>
    <w:rsid w:val="60BD0047"/>
    <w:rsid w:val="61657658"/>
    <w:rsid w:val="638144D0"/>
    <w:rsid w:val="64392943"/>
    <w:rsid w:val="65704D44"/>
    <w:rsid w:val="65E329B5"/>
    <w:rsid w:val="66616B07"/>
    <w:rsid w:val="6775534A"/>
    <w:rsid w:val="6B113937"/>
    <w:rsid w:val="6B9C351B"/>
    <w:rsid w:val="6D997ADE"/>
    <w:rsid w:val="6ED1305E"/>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Body Text Indent"/>
    <w:basedOn w:val="1"/>
    <w:qFormat/>
    <w:uiPriority w:val="0"/>
    <w:pPr>
      <w:spacing w:after="120"/>
      <w:ind w:left="420" w:leftChars="200"/>
    </w:pPr>
    <w:rPr>
      <w:rFonts w:eastAsia="仿宋"/>
    </w:rPr>
  </w:style>
  <w:style w:type="paragraph" w:styleId="5">
    <w:name w:val="List 2"/>
    <w:basedOn w:val="1"/>
    <w:next w:val="1"/>
    <w:qFormat/>
    <w:uiPriority w:val="0"/>
    <w:pPr>
      <w:adjustRightInd w:val="0"/>
      <w:snapToGrid w:val="0"/>
      <w:spacing w:line="360" w:lineRule="auto"/>
      <w:ind w:left="100" w:leftChars="200" w:hanging="200" w:hangingChars="200"/>
    </w:pPr>
    <w:rPr>
      <w:sz w:val="24"/>
    </w:rPr>
  </w:style>
  <w:style w:type="paragraph" w:styleId="6">
    <w:name w:val="Plain Text"/>
    <w:basedOn w:val="1"/>
    <w:qFormat/>
    <w:uiPriority w:val="99"/>
    <w:rPr>
      <w:rFonts w:ascii="宋体" w:hAnsi="Courier New"/>
      <w:kern w:val="0"/>
      <w:sz w:val="20"/>
      <w:szCs w:val="20"/>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Body Text Indent 3"/>
    <w:basedOn w:val="1"/>
    <w:qFormat/>
    <w:uiPriority w:val="0"/>
    <w:pPr>
      <w:spacing w:after="120"/>
      <w:ind w:left="420" w:leftChars="200"/>
    </w:pPr>
    <w:rPr>
      <w:rFonts w:eastAsia="仿宋"/>
      <w:sz w:val="16"/>
      <w:szCs w:val="16"/>
    </w:rPr>
  </w:style>
  <w:style w:type="paragraph" w:styleId="11">
    <w:name w:val="Body Text First Indent"/>
    <w:basedOn w:val="1"/>
    <w:unhideWhenUsed/>
    <w:qFormat/>
    <w:uiPriority w:val="99"/>
    <w:pPr>
      <w:ind w:firstLine="420" w:firstLineChars="100"/>
    </w:pPr>
  </w:style>
  <w:style w:type="table" w:styleId="13">
    <w:name w:val="Table Grid"/>
    <w:basedOn w:val="1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字符"/>
    <w:basedOn w:val="14"/>
    <w:link w:val="8"/>
    <w:qFormat/>
    <w:uiPriority w:val="99"/>
    <w:rPr>
      <w:rFonts w:ascii="Calibri" w:hAnsi="Calibri" w:eastAsia="宋体" w:cs="Times New Roman"/>
      <w:sz w:val="18"/>
      <w:szCs w:val="18"/>
    </w:rPr>
  </w:style>
  <w:style w:type="character" w:customStyle="1" w:styleId="16">
    <w:name w:val="页脚 字符"/>
    <w:basedOn w:val="14"/>
    <w:link w:val="7"/>
    <w:qFormat/>
    <w:uiPriority w:val="99"/>
    <w:rPr>
      <w:rFonts w:ascii="Calibri" w:hAnsi="Calibri" w:eastAsia="宋体" w:cs="Times New Roman"/>
      <w:sz w:val="18"/>
      <w:szCs w:val="18"/>
    </w:rPr>
  </w:style>
  <w:style w:type="paragraph" w:styleId="17">
    <w:name w:val="List Paragraph"/>
    <w:basedOn w:val="1"/>
    <w:qFormat/>
    <w:uiPriority w:val="34"/>
    <w:pPr>
      <w:ind w:firstLine="420" w:firstLineChars="200"/>
    </w:pPr>
  </w:style>
  <w:style w:type="paragraph" w:customStyle="1" w:styleId="18">
    <w:name w:val="_Style 3"/>
    <w:basedOn w:val="1"/>
    <w:qFormat/>
    <w:uiPriority w:val="0"/>
    <w:pPr>
      <w:ind w:firstLine="200" w:firstLineChars="200"/>
    </w:pPr>
    <w:rPr>
      <w:rFonts w:ascii="Times New Roman" w:hAnsi="Times New Roman"/>
    </w:rPr>
  </w:style>
  <w:style w:type="paragraph" w:customStyle="1" w:styleId="19">
    <w:name w:val="段"/>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20">
    <w:name w:val="font11"/>
    <w:basedOn w:val="14"/>
    <w:uiPriority w:val="0"/>
    <w:rPr>
      <w:rFonts w:hint="eastAsia" w:ascii="宋体" w:hAnsi="宋体" w:eastAsia="宋体" w:cs="宋体"/>
      <w:color w:val="000000"/>
      <w:sz w:val="20"/>
      <w:szCs w:val="20"/>
      <w:u w:val="none"/>
    </w:rPr>
  </w:style>
  <w:style w:type="character" w:customStyle="1" w:styleId="21">
    <w:name w:val="font31"/>
    <w:basedOn w:val="14"/>
    <w:uiPriority w:val="0"/>
    <w:rPr>
      <w:rFonts w:hint="eastAsia" w:ascii="宋体" w:hAnsi="宋体" w:eastAsia="宋体" w:cs="宋体"/>
      <w:color w:val="000000"/>
      <w:sz w:val="20"/>
      <w:szCs w:val="20"/>
      <w:u w:val="none"/>
      <w:vertAlign w:val="subscript"/>
    </w:r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0</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2024-07-20T03:58:36Z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A618E27759E24D9EBA601758814F24FD_13</vt:lpwstr>
  </property>
</Properties>
</file>