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3"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儿童及婴幼儿服装</w:t>
      </w:r>
    </w:p>
    <w:bookmarkEnd w:id="3"/>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儿童及婴幼儿服装</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3"/>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06</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日用及纺织品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纺织品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儿童及婴幼儿服装</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儿童及婴幼儿服装</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lang w:val="en-US" w:eastAsia="zh-CN"/>
        </w:rPr>
        <w:t>GB 18401-2010 国家纺织产品基本安全技术规范</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lang w:val="en-US" w:eastAsia="zh-CN"/>
        </w:rPr>
        <w:t>GB 31701-2015 婴幼儿及儿童纺织产品安全技术规范</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lang w:val="en-US" w:eastAsia="zh-CN"/>
        </w:rPr>
        <w:t>GB/T 14272-2011 羽绒服装</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lang w:val="en-US" w:eastAsia="zh-CN"/>
        </w:rPr>
        <w:t>GB/T 14272-2021 羽绒服装</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bookmarkStart w:id="0" w:name="_Hlk166234321"/>
      <w:r>
        <w:rPr>
          <w:rFonts w:hint="eastAsia" w:ascii="仿宋_GB2312" w:hAnsi="宋体" w:eastAsia="仿宋_GB2312" w:cs="Times New Roman"/>
          <w:sz w:val="28"/>
          <w:szCs w:val="28"/>
          <w:highlight w:val="none"/>
          <w:lang w:val="en-US" w:eastAsia="zh-CN"/>
        </w:rPr>
        <w:t>GB/T 29862-2013 纺织品 纤维含量的标识</w:t>
      </w:r>
    </w:p>
    <w:bookmarkEnd w:id="0"/>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lang w:val="en-US" w:eastAsia="zh-CN"/>
        </w:rPr>
        <w:t>GB/T 31900-2015 机织儿童服装</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bookmarkStart w:id="1" w:name="_Hlk166234385"/>
      <w:r>
        <w:rPr>
          <w:rFonts w:hint="eastAsia" w:ascii="仿宋_GB2312" w:hAnsi="宋体" w:eastAsia="仿宋_GB2312" w:cs="Times New Roman"/>
          <w:sz w:val="28"/>
          <w:szCs w:val="28"/>
          <w:highlight w:val="none"/>
          <w:lang w:val="en-US" w:eastAsia="zh-CN"/>
        </w:rPr>
        <w:t>GB/T 33271-2016 机织婴幼儿服装</w:t>
      </w:r>
    </w:p>
    <w:bookmarkEnd w:id="1"/>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bookmarkStart w:id="2" w:name="_Hlk166234376"/>
      <w:r>
        <w:rPr>
          <w:rFonts w:hint="eastAsia" w:ascii="仿宋_GB2312" w:hAnsi="宋体" w:eastAsia="仿宋_GB2312" w:cs="Times New Roman"/>
          <w:sz w:val="28"/>
          <w:szCs w:val="28"/>
          <w:highlight w:val="none"/>
          <w:lang w:val="en-US" w:eastAsia="zh-CN"/>
        </w:rPr>
        <w:t>GB/T 39508-2020 针织婴幼儿及儿童服装</w:t>
      </w:r>
    </w:p>
    <w:bookmarkEnd w:id="2"/>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lang w:val="en-US" w:eastAsia="zh-CN"/>
        </w:rPr>
        <w:t>FZ/T 08002-2022 新生儿纺织产品</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lang w:val="en-US" w:eastAsia="zh-CN"/>
        </w:rPr>
        <w:t>FZ/T 73025-2019 婴幼儿针织服饰</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lang w:val="en-US" w:eastAsia="zh-CN"/>
        </w:rPr>
        <w:t>FZ/T 73045-2013 针织儿童服装</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cs="Times New Roman"/>
          <w:sz w:val="28"/>
          <w:szCs w:val="28"/>
          <w:highlight w:val="none"/>
        </w:rPr>
        <w:t>相关的法律、行政法规、部门规章、</w:t>
      </w:r>
      <w:r>
        <w:rPr>
          <w:rFonts w:hint="eastAsia" w:ascii="仿宋_GB2312" w:hAnsi="宋体" w:eastAsia="仿宋_GB2312"/>
          <w:sz w:val="28"/>
          <w:szCs w:val="28"/>
          <w:highlight w:val="none"/>
        </w:rPr>
        <w:t>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每批次产品抽取样品数量见表</w:t>
      </w:r>
      <w:r>
        <w:rPr>
          <w:rFonts w:hint="eastAsia" w:ascii="仿宋_GB2312" w:hAnsi="宋体" w:eastAsia="仿宋_GB2312" w:cs="Times New Roman"/>
          <w:sz w:val="28"/>
          <w:szCs w:val="28"/>
          <w:lang w:val="en-US" w:eastAsia="zh-CN"/>
        </w:rPr>
        <w:t>2</w:t>
      </w:r>
      <w:r>
        <w:rPr>
          <w:rFonts w:hint="eastAsia" w:ascii="仿宋_GB2312" w:hAnsi="宋体" w:eastAsia="仿宋_GB2312" w:cs="Times New Roman"/>
          <w:sz w:val="28"/>
          <w:szCs w:val="28"/>
        </w:rPr>
        <w:t>。</w:t>
      </w:r>
    </w:p>
    <w:p>
      <w:pPr>
        <w:adjustRightInd w:val="0"/>
        <w:snapToGrid w:val="0"/>
        <w:spacing w:line="594"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表</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 xml:space="preserve"> 抽样数量</w:t>
      </w:r>
    </w:p>
    <w:tbl>
      <w:tblPr>
        <w:tblStyle w:val="1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
        <w:gridCol w:w="1638"/>
        <w:gridCol w:w="1774"/>
        <w:gridCol w:w="2456"/>
        <w:gridCol w:w="20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23" w:type="pct"/>
            <w:noWrap w:val="0"/>
            <w:vAlign w:val="center"/>
          </w:tcPr>
          <w:p>
            <w:pPr>
              <w:pStyle w:val="4"/>
              <w:ind w:left="0" w:lef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序号</w:t>
            </w:r>
          </w:p>
        </w:tc>
        <w:tc>
          <w:tcPr>
            <w:tcW w:w="927" w:type="pct"/>
            <w:noWrap w:val="0"/>
            <w:vAlign w:val="center"/>
          </w:tcPr>
          <w:p>
            <w:pPr>
              <w:pStyle w:val="4"/>
              <w:ind w:left="0" w:lef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产品种类</w:t>
            </w:r>
          </w:p>
        </w:tc>
        <w:tc>
          <w:tcPr>
            <w:tcW w:w="1004" w:type="pct"/>
            <w:noWrap w:val="0"/>
            <w:vAlign w:val="center"/>
          </w:tcPr>
          <w:p>
            <w:pPr>
              <w:pStyle w:val="4"/>
              <w:ind w:left="0" w:lef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抽样数量</w:t>
            </w:r>
          </w:p>
          <w:p>
            <w:pPr>
              <w:pStyle w:val="4"/>
              <w:ind w:left="0" w:lef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（件/条/套）</w:t>
            </w:r>
          </w:p>
        </w:tc>
        <w:tc>
          <w:tcPr>
            <w:tcW w:w="1390" w:type="pct"/>
            <w:noWrap w:val="0"/>
            <w:vAlign w:val="center"/>
          </w:tcPr>
          <w:p>
            <w:pPr>
              <w:pStyle w:val="4"/>
              <w:ind w:left="0" w:lef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检验样品数量</w:t>
            </w:r>
          </w:p>
          <w:p>
            <w:pPr>
              <w:pStyle w:val="4"/>
              <w:ind w:left="0" w:lef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（件/条/套）</w:t>
            </w:r>
          </w:p>
        </w:tc>
        <w:tc>
          <w:tcPr>
            <w:tcW w:w="1155" w:type="pct"/>
            <w:noWrap w:val="0"/>
            <w:vAlign w:val="center"/>
          </w:tcPr>
          <w:p>
            <w:pPr>
              <w:pStyle w:val="4"/>
              <w:ind w:left="0" w:lef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备用样品数量</w:t>
            </w:r>
          </w:p>
          <w:p>
            <w:pPr>
              <w:pStyle w:val="4"/>
              <w:ind w:left="0" w:lef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（件/条/套）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23" w:type="pct"/>
            <w:noWrap w:val="0"/>
            <w:vAlign w:val="center"/>
          </w:tcPr>
          <w:p>
            <w:pPr>
              <w:pStyle w:val="4"/>
              <w:ind w:left="0" w:lef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1</w:t>
            </w:r>
          </w:p>
        </w:tc>
        <w:tc>
          <w:tcPr>
            <w:tcW w:w="927" w:type="pct"/>
            <w:noWrap w:val="0"/>
            <w:vAlign w:val="center"/>
          </w:tcPr>
          <w:p>
            <w:pPr>
              <w:pStyle w:val="4"/>
              <w:ind w:left="0" w:lef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儿童服装</w:t>
            </w:r>
          </w:p>
        </w:tc>
        <w:tc>
          <w:tcPr>
            <w:tcW w:w="1004" w:type="pct"/>
            <w:noWrap w:val="0"/>
            <w:vAlign w:val="center"/>
          </w:tcPr>
          <w:p>
            <w:pPr>
              <w:pStyle w:val="4"/>
              <w:ind w:left="0" w:lef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3</w:t>
            </w:r>
          </w:p>
        </w:tc>
        <w:tc>
          <w:tcPr>
            <w:tcW w:w="1390" w:type="pct"/>
            <w:noWrap w:val="0"/>
            <w:vAlign w:val="center"/>
          </w:tcPr>
          <w:p>
            <w:pPr>
              <w:pStyle w:val="4"/>
              <w:ind w:left="0" w:lef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2</w:t>
            </w:r>
          </w:p>
        </w:tc>
        <w:tc>
          <w:tcPr>
            <w:tcW w:w="1155" w:type="pct"/>
            <w:noWrap w:val="0"/>
            <w:vAlign w:val="center"/>
          </w:tcPr>
          <w:p>
            <w:pPr>
              <w:pStyle w:val="4"/>
              <w:ind w:left="0" w:lef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23" w:type="pct"/>
            <w:noWrap w:val="0"/>
            <w:vAlign w:val="center"/>
          </w:tcPr>
          <w:p>
            <w:pPr>
              <w:pStyle w:val="4"/>
              <w:ind w:left="0" w:lef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2</w:t>
            </w:r>
          </w:p>
        </w:tc>
        <w:tc>
          <w:tcPr>
            <w:tcW w:w="927" w:type="pct"/>
            <w:noWrap w:val="0"/>
            <w:vAlign w:val="center"/>
          </w:tcPr>
          <w:p>
            <w:pPr>
              <w:pStyle w:val="4"/>
              <w:ind w:left="0" w:lef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婴幼儿服装</w:t>
            </w:r>
          </w:p>
        </w:tc>
        <w:tc>
          <w:tcPr>
            <w:tcW w:w="1004" w:type="pct"/>
            <w:noWrap w:val="0"/>
            <w:vAlign w:val="center"/>
          </w:tcPr>
          <w:p>
            <w:pPr>
              <w:pStyle w:val="4"/>
              <w:ind w:left="0" w:lef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6</w:t>
            </w:r>
          </w:p>
        </w:tc>
        <w:tc>
          <w:tcPr>
            <w:tcW w:w="1390" w:type="pct"/>
            <w:noWrap w:val="0"/>
            <w:vAlign w:val="center"/>
          </w:tcPr>
          <w:p>
            <w:pPr>
              <w:pStyle w:val="4"/>
              <w:ind w:left="0" w:lef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4</w:t>
            </w:r>
          </w:p>
        </w:tc>
        <w:tc>
          <w:tcPr>
            <w:tcW w:w="1155" w:type="pct"/>
            <w:noWrap w:val="0"/>
            <w:vAlign w:val="center"/>
          </w:tcPr>
          <w:p>
            <w:pPr>
              <w:pStyle w:val="4"/>
              <w:ind w:left="0" w:lef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gridSpan w:val="5"/>
            <w:noWrap w:val="0"/>
            <w:vAlign w:val="center"/>
          </w:tcPr>
          <w:p>
            <w:pPr>
              <w:pStyle w:val="4"/>
              <w:ind w:left="0" w:leftChars="0"/>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注：如样品面积过小，可适当增加抽样数量，不得超过检验、复检的合理需要。</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w:t>
      </w:r>
      <w:r>
        <w:rPr>
          <w:rFonts w:hint="eastAsia" w:ascii="仿宋" w:hAnsi="仿宋" w:eastAsia="仿宋" w:cs="仿宋"/>
          <w:color w:val="000000" w:themeColor="text1"/>
          <w:szCs w:val="21"/>
          <w:lang w:eastAsia="zh-CN"/>
          <w14:textFill>
            <w14:solidFill>
              <w14:schemeClr w14:val="tx1"/>
            </w14:solidFill>
          </w14:textFill>
        </w:rPr>
        <w:t>儿童及婴幼儿服装</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甲醛含量</w:t>
            </w:r>
          </w:p>
        </w:tc>
        <w:tc>
          <w:tcPr>
            <w:tcW w:w="2310" w:type="dxa"/>
            <w:vMerge w:val="restart"/>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 18401-2010</w:t>
            </w:r>
          </w:p>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 31701-2015</w:t>
            </w:r>
          </w:p>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14272-2011</w:t>
            </w:r>
          </w:p>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14272-2021</w:t>
            </w:r>
          </w:p>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29862-2013</w:t>
            </w:r>
          </w:p>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31900-2015</w:t>
            </w:r>
          </w:p>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33271-2016</w:t>
            </w:r>
          </w:p>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39508-2020</w:t>
            </w:r>
          </w:p>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FZ/T 08002-2022</w:t>
            </w:r>
          </w:p>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FZ/T 73025-2019</w:t>
            </w:r>
          </w:p>
          <w:p>
            <w:pPr>
              <w:widowControl/>
              <w:adjustRightInd w:val="0"/>
              <w:snapToGrid w:val="0"/>
              <w:jc w:val="center"/>
              <w:rPr>
                <w:rFonts w:hint="default" w:ascii="仿宋" w:hAnsi="仿宋" w:eastAsia="仿宋" w:cs="仿宋"/>
                <w:bCs/>
                <w:kern w:val="0"/>
                <w:szCs w:val="21"/>
                <w:lang w:val="en-US" w:eastAsia="zh-CN"/>
              </w:rPr>
            </w:pPr>
            <w:r>
              <w:rPr>
                <w:rFonts w:hint="eastAsia" w:ascii="仿宋" w:hAnsi="仿宋" w:eastAsia="仿宋" w:cs="仿宋"/>
                <w:bCs/>
                <w:kern w:val="0"/>
                <w:szCs w:val="21"/>
                <w:lang w:val="en-US" w:eastAsia="zh-CN"/>
              </w:rPr>
              <w:t>FZ/T 73045-2013</w:t>
            </w: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GB/T 2912.1</w:t>
            </w:r>
            <w:r>
              <w:rPr>
                <w:rFonts w:hint="eastAsia" w:ascii="仿宋" w:hAnsi="仿宋" w:eastAsia="仿宋" w:cs="仿宋"/>
                <w:bCs/>
                <w:kern w:val="0"/>
                <w:szCs w:val="21"/>
                <w:lang w:eastAsia="zh-CN"/>
              </w:rPr>
              <w:t>-</w:t>
            </w:r>
            <w:r>
              <w:rPr>
                <w:rFonts w:hint="eastAsia" w:ascii="仿宋" w:hAnsi="仿宋" w:eastAsia="仿宋" w:cs="仿宋"/>
                <w:bCs/>
                <w:kern w:val="0"/>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default" w:ascii="仿宋" w:hAnsi="仿宋" w:eastAsia="仿宋" w:cs="仿宋"/>
                <w:bCs/>
                <w:iCs/>
                <w:kern w:val="0"/>
                <w:sz w:val="21"/>
                <w:szCs w:val="21"/>
                <w:lang w:val="en-US" w:eastAsia="zh-CN" w:bidi="ar-SA"/>
              </w:rPr>
            </w:pP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pH值</w:t>
            </w:r>
          </w:p>
        </w:tc>
        <w:tc>
          <w:tcPr>
            <w:tcW w:w="2310" w:type="dxa"/>
            <w:vMerge w:val="continue"/>
            <w:vAlign w:val="center"/>
          </w:tcPr>
          <w:p>
            <w:pPr>
              <w:widowControl/>
              <w:adjustRightInd w:val="0"/>
              <w:snapToGrid w:val="0"/>
              <w:jc w:val="center"/>
              <w:rPr>
                <w:rFonts w:hint="eastAsia" w:ascii="仿宋" w:hAnsi="仿宋" w:eastAsia="仿宋" w:cs="仿宋"/>
                <w:bCs/>
                <w:kern w:val="0"/>
                <w:szCs w:val="21"/>
                <w:lang w:val="en-US" w:eastAsia="zh-CN"/>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GB/T 7573</w:t>
            </w:r>
            <w:r>
              <w:rPr>
                <w:rFonts w:hint="eastAsia" w:ascii="仿宋" w:hAnsi="仿宋" w:eastAsia="仿宋" w:cs="仿宋"/>
                <w:bCs/>
                <w:kern w:val="0"/>
                <w:szCs w:val="21"/>
                <w:lang w:eastAsia="zh-CN"/>
              </w:rPr>
              <w:t>-</w:t>
            </w:r>
            <w:r>
              <w:rPr>
                <w:rFonts w:hint="eastAsia" w:ascii="仿宋" w:hAnsi="仿宋" w:eastAsia="仿宋" w:cs="仿宋"/>
                <w:bCs/>
                <w:kern w:val="0"/>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default"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可分解致癌芳香胺染料</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17592-2011</w:t>
            </w:r>
          </w:p>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异味</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 18401-2010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耐唾液色牢度a</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18886-2019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耐水色牢度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5713-2013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耐酸汗渍色牢度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耐碱汗渍色牢度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耐干摩擦色牢度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耐湿摩擦色牢度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耐皂洗色牢度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3921-2008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重金属</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30157-2013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邻苯二甲酸酯</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20388-2016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附件抗拉强力</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 31701-2015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残留金属针</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 31701-2015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绳带要求</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 31701-2015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附件锐利性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31702-2015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羽绒充绒量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14272-2011</w:t>
            </w:r>
          </w:p>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14272-2021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羽绒含绒量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14272-2011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绒子含量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14272-2011</w:t>
            </w:r>
          </w:p>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14272-2021</w:t>
            </w:r>
          </w:p>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10288-2016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羽绒耗氧量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14272-2011</w:t>
            </w:r>
          </w:p>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14272-2021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羽绒清洁度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14272-2011</w:t>
            </w:r>
          </w:p>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14272-2021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羽绒蓬松度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14272-2011</w:t>
            </w:r>
          </w:p>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14272-2021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羽绒绒丝+羽丝</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14272-2021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纤维含量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FZ/T 01057.1-2007</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FZ/T 01057.2-2007</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FZ/T 01057.3-2007</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FZ/T 01057.4-2007</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FZ/T 01057.6-2007</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2910.1-2009</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2910.2-2009</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2910.3-2009</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2910.4-2022</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2910.6-2009</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2910.7-2009</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2910.8-2009</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2910.11-2009</w:t>
            </w:r>
          </w:p>
          <w:p>
            <w:pPr>
              <w:adjustRightInd w:val="0"/>
              <w:snapToGrid w:val="0"/>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2910.12-2023</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2910.18-2009</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2910.20-2009</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2910.22-2009</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2910.101-2009</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FZ/T 01101-2008</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FZ/T 01112-2012</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FZ/T 01026-2017</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FZ/T 01095-2002</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FZ/T 30003-2009</w:t>
            </w:r>
          </w:p>
          <w:p>
            <w:pPr>
              <w:adjustRightInd w:val="0"/>
              <w:snapToGrid w:val="0"/>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16988-2013</w:t>
            </w:r>
          </w:p>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38015-2019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numPr>
                <w:ilvl w:val="0"/>
                <w:numId w:val="1"/>
              </w:numPr>
              <w:ind w:left="440" w:leftChars="0" w:hanging="440" w:firstLineChars="0"/>
              <w:jc w:val="center"/>
              <w:rPr>
                <w:rFonts w:hint="eastAsia" w:ascii="仿宋" w:hAnsi="仿宋" w:eastAsia="仿宋" w:cs="仿宋"/>
                <w:bCs/>
                <w:iCs/>
                <w:kern w:val="0"/>
                <w:sz w:val="21"/>
                <w:szCs w:val="21"/>
                <w:lang w:val="en-US" w:eastAsia="zh-CN" w:bidi="ar-SA"/>
              </w:rPr>
            </w:pPr>
          </w:p>
        </w:tc>
        <w:tc>
          <w:tcPr>
            <w:tcW w:w="2387" w:type="dxa"/>
            <w:vAlign w:val="center"/>
          </w:tcPr>
          <w:p>
            <w:pPr>
              <w:pStyle w:val="22"/>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产品使用说明</w:t>
            </w:r>
          </w:p>
        </w:tc>
        <w:tc>
          <w:tcPr>
            <w:tcW w:w="2310" w:type="dxa"/>
            <w:vMerge w:val="continue"/>
            <w:vAlign w:val="center"/>
          </w:tcPr>
          <w:p>
            <w:pPr>
              <w:widowControl/>
              <w:adjustRightInd w:val="0"/>
              <w:snapToGrid w:val="0"/>
              <w:ind w:left="122" w:leftChars="58"/>
              <w:jc w:val="center"/>
              <w:rPr>
                <w:rFonts w:hint="eastAsia" w:ascii="仿宋" w:hAnsi="仿宋" w:eastAsia="仿宋" w:cs="仿宋"/>
                <w:bCs/>
                <w:color w:val="auto"/>
                <w:kern w:val="0"/>
                <w:sz w:val="21"/>
                <w:szCs w:val="21"/>
                <w:lang w:val="en-US" w:eastAsia="zh-CN" w:bidi="ar-SA"/>
              </w:rPr>
            </w:pPr>
          </w:p>
        </w:tc>
        <w:tc>
          <w:tcPr>
            <w:tcW w:w="2170" w:type="dxa"/>
            <w:vAlign w:val="center"/>
          </w:tcPr>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GB/T 5296.4-2012</w:t>
            </w:r>
          </w:p>
          <w:p>
            <w:pPr>
              <w:jc w:val="center"/>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明示产品标准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jc w:val="left"/>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a：仅考核婴幼儿产品。</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D53919"/>
    <w:multiLevelType w:val="multilevel"/>
    <w:tmpl w:val="7DD53919"/>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17E2E02"/>
    <w:rsid w:val="02BD4475"/>
    <w:rsid w:val="03FF761E"/>
    <w:rsid w:val="04043AA5"/>
    <w:rsid w:val="04E74098"/>
    <w:rsid w:val="08705141"/>
    <w:rsid w:val="0A401166"/>
    <w:rsid w:val="0E9D78D8"/>
    <w:rsid w:val="0FAA5A14"/>
    <w:rsid w:val="117D2F3D"/>
    <w:rsid w:val="19330066"/>
    <w:rsid w:val="1DB146C7"/>
    <w:rsid w:val="1DE41839"/>
    <w:rsid w:val="25725A7D"/>
    <w:rsid w:val="29156672"/>
    <w:rsid w:val="29621FF4"/>
    <w:rsid w:val="2D397142"/>
    <w:rsid w:val="2F6F34DE"/>
    <w:rsid w:val="323F5720"/>
    <w:rsid w:val="32F00F21"/>
    <w:rsid w:val="3AB030D6"/>
    <w:rsid w:val="423D1FE7"/>
    <w:rsid w:val="43285D3E"/>
    <w:rsid w:val="4757545E"/>
    <w:rsid w:val="47A66D96"/>
    <w:rsid w:val="4B275459"/>
    <w:rsid w:val="4D3E25C6"/>
    <w:rsid w:val="4EEE25C2"/>
    <w:rsid w:val="505B3D74"/>
    <w:rsid w:val="50774392"/>
    <w:rsid w:val="557A53C9"/>
    <w:rsid w:val="56A725B8"/>
    <w:rsid w:val="56E733A1"/>
    <w:rsid w:val="5BB626DD"/>
    <w:rsid w:val="5D7209DD"/>
    <w:rsid w:val="60BD0047"/>
    <w:rsid w:val="61657658"/>
    <w:rsid w:val="638144D0"/>
    <w:rsid w:val="64392943"/>
    <w:rsid w:val="65704D44"/>
    <w:rsid w:val="65E329B5"/>
    <w:rsid w:val="66616B07"/>
    <w:rsid w:val="6775534A"/>
    <w:rsid w:val="6B113937"/>
    <w:rsid w:val="6B9C351B"/>
    <w:rsid w:val="6D997ADE"/>
    <w:rsid w:val="6ED1305E"/>
    <w:rsid w:val="715D3C37"/>
    <w:rsid w:val="71BF3A5D"/>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Body Text Indent"/>
    <w:basedOn w:val="1"/>
    <w:qFormat/>
    <w:uiPriority w:val="0"/>
    <w:pPr>
      <w:spacing w:after="120"/>
      <w:ind w:left="420" w:leftChars="200"/>
    </w:pPr>
    <w:rPr>
      <w:rFonts w:eastAsia="仿宋"/>
    </w:rPr>
  </w:style>
  <w:style w:type="paragraph" w:styleId="5">
    <w:name w:val="List 2"/>
    <w:basedOn w:val="1"/>
    <w:next w:val="1"/>
    <w:qFormat/>
    <w:uiPriority w:val="0"/>
    <w:pPr>
      <w:adjustRightInd w:val="0"/>
      <w:snapToGrid w:val="0"/>
      <w:spacing w:line="360" w:lineRule="auto"/>
      <w:ind w:left="100" w:leftChars="200" w:hanging="200" w:hangingChars="200"/>
    </w:pPr>
    <w:rPr>
      <w:sz w:val="24"/>
    </w:rPr>
  </w:style>
  <w:style w:type="paragraph" w:styleId="6">
    <w:name w:val="Plain Text"/>
    <w:basedOn w:val="1"/>
    <w:qFormat/>
    <w:uiPriority w:val="99"/>
    <w:rPr>
      <w:rFonts w:ascii="宋体" w:hAnsi="Courier New"/>
      <w:kern w:val="0"/>
      <w:sz w:val="20"/>
      <w:szCs w:val="20"/>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Body Text Indent 3"/>
    <w:basedOn w:val="1"/>
    <w:qFormat/>
    <w:uiPriority w:val="0"/>
    <w:pPr>
      <w:spacing w:after="120"/>
      <w:ind w:left="420" w:leftChars="200"/>
    </w:pPr>
    <w:rPr>
      <w:rFonts w:eastAsia="仿宋"/>
      <w:sz w:val="16"/>
      <w:szCs w:val="16"/>
    </w:rPr>
  </w:style>
  <w:style w:type="paragraph" w:styleId="11">
    <w:name w:val="Body Text First Indent"/>
    <w:basedOn w:val="1"/>
    <w:unhideWhenUsed/>
    <w:qFormat/>
    <w:uiPriority w:val="99"/>
    <w:pPr>
      <w:ind w:firstLine="420" w:firstLineChars="100"/>
    </w:pPr>
  </w:style>
  <w:style w:type="table" w:styleId="13">
    <w:name w:val="Table Grid"/>
    <w:basedOn w:val="1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8"/>
    <w:qFormat/>
    <w:uiPriority w:val="99"/>
    <w:rPr>
      <w:rFonts w:ascii="Calibri" w:hAnsi="Calibri" w:eastAsia="宋体" w:cs="Times New Roman"/>
      <w:sz w:val="18"/>
      <w:szCs w:val="18"/>
    </w:rPr>
  </w:style>
  <w:style w:type="character" w:customStyle="1" w:styleId="16">
    <w:name w:val="页脚 字符"/>
    <w:basedOn w:val="14"/>
    <w:link w:val="7"/>
    <w:qFormat/>
    <w:uiPriority w:val="99"/>
    <w:rPr>
      <w:rFonts w:ascii="Calibri" w:hAnsi="Calibri" w:eastAsia="宋体" w:cs="Times New Roman"/>
      <w:sz w:val="18"/>
      <w:szCs w:val="18"/>
    </w:rPr>
  </w:style>
  <w:style w:type="paragraph" w:styleId="17">
    <w:name w:val="List Paragraph"/>
    <w:basedOn w:val="1"/>
    <w:qFormat/>
    <w:uiPriority w:val="34"/>
    <w:pPr>
      <w:ind w:firstLine="420" w:firstLineChars="200"/>
    </w:pPr>
  </w:style>
  <w:style w:type="paragraph" w:customStyle="1" w:styleId="18">
    <w:name w:val="_Style 3"/>
    <w:basedOn w:val="1"/>
    <w:qFormat/>
    <w:uiPriority w:val="0"/>
    <w:pPr>
      <w:ind w:firstLine="200" w:firstLineChars="200"/>
    </w:pPr>
    <w:rPr>
      <w:rFonts w:ascii="Times New Roman" w:hAnsi="Times New Roman"/>
    </w:rPr>
  </w:style>
  <w:style w:type="paragraph" w:customStyle="1" w:styleId="19">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20">
    <w:name w:val="font11"/>
    <w:basedOn w:val="14"/>
    <w:qFormat/>
    <w:uiPriority w:val="0"/>
    <w:rPr>
      <w:rFonts w:hint="eastAsia" w:ascii="宋体" w:hAnsi="宋体" w:eastAsia="宋体" w:cs="宋体"/>
      <w:color w:val="000000"/>
      <w:sz w:val="20"/>
      <w:szCs w:val="20"/>
      <w:u w:val="none"/>
    </w:rPr>
  </w:style>
  <w:style w:type="character" w:customStyle="1" w:styleId="21">
    <w:name w:val="font31"/>
    <w:basedOn w:val="14"/>
    <w:qFormat/>
    <w:uiPriority w:val="0"/>
    <w:rPr>
      <w:rFonts w:hint="eastAsia" w:ascii="宋体" w:hAnsi="宋体" w:eastAsia="宋体" w:cs="宋体"/>
      <w:color w:val="000000"/>
      <w:sz w:val="20"/>
      <w:szCs w:val="20"/>
      <w:u w:val="none"/>
      <w:vertAlign w:val="subscript"/>
    </w:r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1</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2024-07-22T03:04:40Z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FD459B5F40F746F3837F129472502035_13</vt:lpwstr>
  </property>
</Properties>
</file>