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玩具</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玩具</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1"/>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日用及纺织品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儿童用品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玩具</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玩具</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6675.1</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2014 玩具安全 第1部分：基本规范</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6675.2</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2014</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玩具安全 第2部分：机械与物理性能（含第1号修改单）</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6675.3</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2014 玩具安全 第3部分：易燃性能</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6675.4</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2014 玩具安全 第4部分：特定元素的迁移</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19865</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2005</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电玩具的安全（含第1号修改单）</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22048</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2022 玩具及儿童用品中特定邻苯二甲酸酯增塑剂的测定</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每批次产品抽样数量3个，其中2个作为检验样品，1个作为备用样品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3玩具</w:t>
      </w:r>
    </w:p>
    <w:tbl>
      <w:tblPr>
        <w:tblStyle w:val="11"/>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both"/>
              <w:rPr>
                <w:rFonts w:hint="eastAsia" w:ascii="仿宋" w:hAnsi="仿宋" w:eastAsia="仿宋" w:cs="仿宋"/>
                <w:bCs/>
                <w:iCs/>
                <w:kern w:val="0"/>
                <w:szCs w:val="21"/>
              </w:rPr>
            </w:pPr>
            <w:r>
              <w:rPr>
                <w:rFonts w:hint="eastAsia" w:ascii="仿宋" w:hAnsi="仿宋" w:eastAsia="仿宋" w:cs="仿宋"/>
                <w:bCs/>
                <w:iCs/>
                <w:kern w:val="0"/>
                <w:szCs w:val="21"/>
                <w:lang w:val="en-US" w:eastAsia="zh-CN"/>
              </w:rPr>
              <w:t>一、机械与物理性能（正常使用）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材料</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小零件</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挤压玩具、摇铃及类似玩具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小球</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5</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毛球</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6</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学前玩偶</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7</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玩具奶嘴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8</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气球</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弹珠</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10</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半球形玩具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11</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可触及的金属或玻璃边缘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12</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功能性锐利边缘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13</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金属玩具边缘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14</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模塑玩具边缘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15</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外露螺栓或螺纹杆的边缘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16</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可触及的锐利尖端</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17</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功能性锐利尖端</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18</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木制玩具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19</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突出物</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20</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用于包装或玩具中的塑料袋或塑料薄膜</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21</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18个月以下儿童使用的玩具上的绳索和弹性绳</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22</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18个月以下儿童使用的玩具上的自回缩绳</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23</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36个月以下儿童使用的拖拉玩具上的绳索或弹性绳</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24</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玩具袋上的绳索</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25</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铰链间隙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26</w:t>
            </w:r>
          </w:p>
        </w:tc>
        <w:tc>
          <w:tcPr>
            <w:tcW w:w="2387"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刚性材料上的圆孔</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27</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活动部件间的间隙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28</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其他驱动机构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29</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发条钥匙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30</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弹簧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31</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封闭头部的玩具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32</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仿制防护玩具（头盔、帽子、护目镜）</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33</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弹射玩具一般要求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34</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蓄能弹射玩具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35</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非蓄能弹射玩具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36</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水上玩具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37</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液体填充玩具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38</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口动玩具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39</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声响要求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40</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磁体和磁性部件</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both"/>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二、机械与物理性能（可预见的合理滥用）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小零件</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6675.2-2014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6675.2-2014</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小球</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6675.2-2014</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毛球</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6675.2-2014</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4</w:t>
            </w:r>
          </w:p>
        </w:tc>
        <w:tc>
          <w:tcPr>
            <w:tcW w:w="2387" w:type="dxa"/>
            <w:vAlign w:val="center"/>
          </w:tcPr>
          <w:p>
            <w:pPr>
              <w:pStyle w:val="5"/>
              <w:spacing w:line="300" w:lineRule="auto"/>
              <w:jc w:val="left"/>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弹珠</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5</w:t>
            </w:r>
          </w:p>
        </w:tc>
        <w:tc>
          <w:tcPr>
            <w:tcW w:w="2387" w:type="dxa"/>
            <w:vAlign w:val="center"/>
          </w:tcPr>
          <w:p>
            <w:pPr>
              <w:pStyle w:val="5"/>
              <w:spacing w:line="300" w:lineRule="auto"/>
              <w:jc w:val="left"/>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可触及的金属或玻璃边缘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金属玩具边缘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模塑玩具边缘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外露螺栓或螺纹杆的边缘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可触及的锐利尖端</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突出物</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金属丝和杆件</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刚性材料上的圆孔</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活动部件间的间隙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其他驱动机构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发条钥匙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16</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蓄能弹射玩具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17</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非蓄能弹射玩具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default"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18</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口动玩具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6675.2-2014/XG1-2022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both"/>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三、易燃性能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一般要求</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6675.3-2014</w:t>
            </w:r>
          </w:p>
        </w:tc>
        <w:tc>
          <w:tcPr>
            <w:tcW w:w="2170" w:type="dxa"/>
            <w:vAlign w:val="center"/>
          </w:tcPr>
          <w:p>
            <w:pPr>
              <w:keepNext w:val="0"/>
              <w:keepLines w:val="0"/>
              <w:widowControl/>
              <w:suppressLineNumbers w:val="0"/>
              <w:jc w:val="center"/>
              <w:textAlignment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头戴玩具</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keepNext w:val="0"/>
              <w:keepLines w:val="0"/>
              <w:widowControl/>
              <w:suppressLineNumbers w:val="0"/>
              <w:jc w:val="center"/>
              <w:textAlignment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化妆服饰</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keepNext w:val="0"/>
              <w:keepLines w:val="0"/>
              <w:widowControl/>
              <w:suppressLineNumbers w:val="0"/>
              <w:jc w:val="center"/>
              <w:textAlignment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4</w:t>
            </w:r>
          </w:p>
        </w:tc>
        <w:tc>
          <w:tcPr>
            <w:tcW w:w="2387"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供儿童进入的玩具</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keepNext w:val="0"/>
              <w:keepLines w:val="0"/>
              <w:widowControl/>
              <w:suppressLineNumbers w:val="0"/>
              <w:jc w:val="center"/>
              <w:textAlignment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5</w:t>
            </w:r>
          </w:p>
        </w:tc>
        <w:tc>
          <w:tcPr>
            <w:tcW w:w="2387" w:type="dxa"/>
            <w:vAlign w:val="center"/>
          </w:tcPr>
          <w:p>
            <w:pPr>
              <w:pStyle w:val="5"/>
              <w:spacing w:line="300" w:lineRule="exact"/>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具有毛绒或纺织表面的软体填充玩具（动物和娃娃等）</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keepNext w:val="0"/>
              <w:keepLines w:val="0"/>
              <w:widowControl/>
              <w:suppressLineNumbers w:val="0"/>
              <w:jc w:val="center"/>
              <w:textAlignment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四、特定元素的迁移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w:t>
            </w:r>
          </w:p>
        </w:tc>
        <w:tc>
          <w:tcPr>
            <w:tcW w:w="2387" w:type="dxa"/>
            <w:vAlign w:val="center"/>
          </w:tcPr>
          <w:p>
            <w:pPr>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最大限量要求</w:t>
            </w:r>
          </w:p>
        </w:tc>
        <w:tc>
          <w:tcPr>
            <w:tcW w:w="231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6675.4-2014</w:t>
            </w: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6675.4-2014</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GB/T 32602-2016</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GB/T 32603-2016</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GB/T 30419-2013</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GB/T 30419-2013</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GB/T 34435-2017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both"/>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五、增塑剂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w:t>
            </w:r>
          </w:p>
        </w:tc>
        <w:tc>
          <w:tcPr>
            <w:tcW w:w="2387" w:type="dxa"/>
            <w:vAlign w:val="center"/>
          </w:tcPr>
          <w:p>
            <w:pPr>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限定增塑剂限量要求</w:t>
            </w:r>
          </w:p>
        </w:tc>
        <w:tc>
          <w:tcPr>
            <w:tcW w:w="2310" w:type="dxa"/>
            <w:vAlign w:val="top"/>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6675.1-2014</w:t>
            </w:r>
          </w:p>
        </w:tc>
        <w:tc>
          <w:tcPr>
            <w:tcW w:w="2170" w:type="dxa"/>
            <w:vAlign w:val="center"/>
          </w:tcPr>
          <w:p>
            <w:pPr>
              <w:pStyle w:val="5"/>
              <w:spacing w:line="300" w:lineRule="auto"/>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GB/T 22048-2022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both"/>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六、电性能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标识和说明</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w:t>
            </w: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输入功率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发热和非正常工作</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工作温度下的电气强度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耐潮湿</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室温下的电气强度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机械强度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结构</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软线和电线的保护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螺钉和连接</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19865-2005/XG1-2022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电气间隙和爬电距离</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耐热和耐燃</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eastAsia" w:ascii="仿宋" w:hAnsi="仿宋" w:eastAsia="仿宋" w:cs="仿宋"/>
                <w:bCs/>
                <w:iCs/>
                <w:kern w:val="0"/>
                <w:sz w:val="21"/>
                <w:szCs w:val="21"/>
                <w:lang w:val="en-US" w:eastAsia="zh-CN" w:bidi="ar-SA"/>
              </w:rPr>
              <w:t>GB 19865-2005/XG1-2022</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6"/>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8705141"/>
    <w:rsid w:val="0A401166"/>
    <w:rsid w:val="0E9D78D8"/>
    <w:rsid w:val="0FAA5A14"/>
    <w:rsid w:val="19330066"/>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8A425EA"/>
    <w:rsid w:val="6B113937"/>
    <w:rsid w:val="6B9C351B"/>
    <w:rsid w:val="6D997ADE"/>
    <w:rsid w:val="6ED1305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Plain Text"/>
    <w:basedOn w:val="1"/>
    <w:qFormat/>
    <w:uiPriority w:val="99"/>
    <w:rPr>
      <w:rFonts w:ascii="宋体" w:hAnsi="Courier New"/>
      <w:kern w:val="0"/>
      <w:sz w:val="20"/>
      <w:szCs w:val="20"/>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Body Text First Indent"/>
    <w:basedOn w:val="1"/>
    <w:unhideWhenUsed/>
    <w:qFormat/>
    <w:uiPriority w:val="99"/>
    <w:pPr>
      <w:ind w:firstLine="420" w:firstLineChars="100"/>
    </w:pPr>
  </w:style>
  <w:style w:type="table" w:styleId="11">
    <w:name w:val="Table Grid"/>
    <w:basedOn w:val="1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7"/>
    <w:qFormat/>
    <w:uiPriority w:val="99"/>
    <w:rPr>
      <w:rFonts w:ascii="Calibri" w:hAnsi="Calibri" w:eastAsia="宋体" w:cs="Times New Roman"/>
      <w:sz w:val="18"/>
      <w:szCs w:val="18"/>
    </w:rPr>
  </w:style>
  <w:style w:type="character" w:customStyle="1" w:styleId="14">
    <w:name w:val="页脚 字符"/>
    <w:basedOn w:val="12"/>
    <w:link w:val="6"/>
    <w:qFormat/>
    <w:uiPriority w:val="99"/>
    <w:rPr>
      <w:rFonts w:ascii="Calibri" w:hAnsi="Calibri" w:eastAsia="宋体" w:cs="Times New Roman"/>
      <w:sz w:val="18"/>
      <w:szCs w:val="18"/>
    </w:rPr>
  </w:style>
  <w:style w:type="paragraph" w:styleId="15">
    <w:name w:val="List Paragraph"/>
    <w:basedOn w:val="1"/>
    <w:qFormat/>
    <w:uiPriority w:val="34"/>
    <w:pPr>
      <w:ind w:firstLine="420" w:firstLineChars="200"/>
    </w:pPr>
  </w:style>
  <w:style w:type="paragraph" w:customStyle="1" w:styleId="16">
    <w:name w:val="_Style 3"/>
    <w:basedOn w:val="1"/>
    <w:qFormat/>
    <w:uiPriority w:val="0"/>
    <w:pPr>
      <w:ind w:firstLine="200" w:firstLineChars="200"/>
    </w:pPr>
    <w:rPr>
      <w:rFonts w:ascii="Times New Roman" w:hAnsi="Times New Roman"/>
    </w:rPr>
  </w:style>
  <w:style w:type="paragraph" w:customStyle="1" w:styleId="17">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8">
    <w:name w:val="font11"/>
    <w:basedOn w:val="12"/>
    <w:qFormat/>
    <w:uiPriority w:val="0"/>
    <w:rPr>
      <w:rFonts w:hint="eastAsia" w:ascii="宋体" w:hAnsi="宋体" w:eastAsia="宋体" w:cs="宋体"/>
      <w:color w:val="000000"/>
      <w:sz w:val="20"/>
      <w:szCs w:val="20"/>
      <w:u w:val="none"/>
    </w:rPr>
  </w:style>
  <w:style w:type="character" w:customStyle="1" w:styleId="19">
    <w:name w:val="font31"/>
    <w:basedOn w:val="12"/>
    <w:qFormat/>
    <w:uiPriority w:val="0"/>
    <w:rPr>
      <w:rFonts w:hint="eastAsia" w:ascii="宋体" w:hAnsi="宋体" w:eastAsia="宋体" w:cs="宋体"/>
      <w:color w:val="000000"/>
      <w:sz w:val="20"/>
      <w:szCs w:val="20"/>
      <w:u w:val="none"/>
      <w:vertAlign w:val="subscript"/>
    </w:rPr>
  </w:style>
  <w:style w:type="character" w:customStyle="1" w:styleId="20">
    <w:name w:val="font91"/>
    <w:basedOn w:val="12"/>
    <w:qFormat/>
    <w:uiPriority w:val="0"/>
    <w:rPr>
      <w:rFonts w:hint="eastAsia" w:ascii="仿宋" w:hAnsi="仿宋" w:eastAsia="仿宋" w:cs="仿宋"/>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2</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2024-07-22T01:35:11Z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5FEA5CCA70F940A69EC449F12E507763_13</vt:lpwstr>
  </property>
</Properties>
</file>