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烟花爆竹</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烟花爆竹</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0"/>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03</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16</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轻工产品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日用及化工品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烟花爆竹</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本细则涉及产品</w:t>
      </w:r>
      <w:r>
        <w:rPr>
          <w:rFonts w:hint="eastAsia" w:ascii="仿宋_GB2312" w:hAnsi="宋体" w:eastAsia="仿宋_GB2312" w:cs="Times New Roman"/>
          <w:sz w:val="28"/>
          <w:szCs w:val="28"/>
        </w:rPr>
        <w:t>种类：</w:t>
      </w:r>
      <w:r>
        <w:rPr>
          <w:rFonts w:hint="eastAsia" w:ascii="仿宋_GB2312" w:hAnsi="宋体" w:eastAsia="仿宋_GB2312" w:cs="Times New Roman"/>
          <w:sz w:val="28"/>
          <w:szCs w:val="28"/>
          <w:lang w:eastAsia="zh-CN"/>
        </w:rPr>
        <w:t>烟花爆竹</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10631</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2013 烟花爆竹 安全与质量</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19593</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2015 烟花爆竹 组合烟花</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eastAsia="zh-CN"/>
        </w:rPr>
      </w:pPr>
      <w:r>
        <w:rPr>
          <w:rFonts w:hint="eastAsia" w:ascii="仿宋_GB2312" w:hAnsi="宋体" w:eastAsia="仿宋_GB2312" w:cs="Times New Roman"/>
          <w:sz w:val="28"/>
          <w:szCs w:val="28"/>
          <w:highlight w:val="none"/>
        </w:rPr>
        <w:t xml:space="preserve">GB </w:t>
      </w:r>
      <w:r>
        <w:rPr>
          <w:rFonts w:hint="eastAsia" w:ascii="仿宋_GB2312" w:hAnsi="宋体" w:eastAsia="仿宋_GB2312" w:cs="Times New Roman"/>
          <w:sz w:val="28"/>
          <w:szCs w:val="28"/>
          <w:highlight w:val="none"/>
          <w:lang w:val="en-US" w:eastAsia="zh-CN"/>
        </w:rPr>
        <w:t>21555</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20</w:t>
      </w:r>
      <w:r>
        <w:rPr>
          <w:rFonts w:hint="eastAsia" w:ascii="仿宋_GB2312" w:hAnsi="宋体" w:eastAsia="仿宋_GB2312" w:cs="Times New Roman"/>
          <w:sz w:val="28"/>
          <w:szCs w:val="28"/>
          <w:highlight w:val="none"/>
          <w:lang w:val="en-US" w:eastAsia="zh-CN"/>
        </w:rPr>
        <w:t>08</w:t>
      </w:r>
      <w:r>
        <w:rPr>
          <w:rFonts w:hint="eastAsia" w:ascii="仿宋_GB2312" w:hAnsi="宋体" w:eastAsia="仿宋_GB2312" w:cs="Times New Roman"/>
          <w:sz w:val="28"/>
          <w:szCs w:val="28"/>
          <w:highlight w:val="none"/>
        </w:rPr>
        <w:t xml:space="preserve"> 烟花爆竹 </w:t>
      </w:r>
      <w:r>
        <w:rPr>
          <w:rFonts w:hint="eastAsia" w:ascii="仿宋_GB2312" w:hAnsi="宋体" w:eastAsia="仿宋_GB2312" w:cs="Times New Roman"/>
          <w:sz w:val="28"/>
          <w:szCs w:val="28"/>
          <w:highlight w:val="none"/>
          <w:lang w:val="en-US" w:eastAsia="zh-CN"/>
        </w:rPr>
        <w:t>双响（升空类产品）</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检验样品数量按表</w:t>
      </w:r>
      <w:r>
        <w:rPr>
          <w:rFonts w:hint="eastAsia" w:ascii="仿宋_GB2312" w:hAnsi="宋体" w:eastAsia="仿宋_GB2312" w:cs="Times New Roman"/>
          <w:sz w:val="28"/>
          <w:szCs w:val="28"/>
          <w:lang w:val="en-US" w:eastAsia="zh-CN"/>
        </w:rPr>
        <w:t>2</w:t>
      </w:r>
      <w:r>
        <w:rPr>
          <w:rFonts w:hint="eastAsia" w:ascii="仿宋_GB2312" w:hAnsi="宋体" w:eastAsia="仿宋_GB2312" w:cs="Times New Roman"/>
          <w:sz w:val="28"/>
          <w:szCs w:val="28"/>
        </w:rPr>
        <w:t>、表</w:t>
      </w:r>
      <w:r>
        <w:rPr>
          <w:rFonts w:hint="eastAsia" w:ascii="仿宋_GB2312" w:hAnsi="宋体" w:eastAsia="仿宋_GB2312" w:cs="Times New Roman"/>
          <w:sz w:val="28"/>
          <w:szCs w:val="28"/>
          <w:lang w:val="en-US" w:eastAsia="zh-CN"/>
        </w:rPr>
        <w:t>3</w:t>
      </w:r>
      <w:r>
        <w:rPr>
          <w:rFonts w:hint="eastAsia" w:ascii="仿宋_GB2312" w:hAnsi="宋体" w:eastAsia="仿宋_GB2312" w:cs="Times New Roman"/>
          <w:sz w:val="28"/>
          <w:szCs w:val="28"/>
        </w:rPr>
        <w:t>和表</w:t>
      </w:r>
      <w:r>
        <w:rPr>
          <w:rFonts w:hint="eastAsia" w:ascii="仿宋_GB2312" w:hAnsi="宋体" w:eastAsia="仿宋_GB2312" w:cs="Times New Roman"/>
          <w:sz w:val="28"/>
          <w:szCs w:val="28"/>
          <w:lang w:val="en-US" w:eastAsia="zh-CN"/>
        </w:rPr>
        <w:t>4</w:t>
      </w:r>
      <w:r>
        <w:rPr>
          <w:rFonts w:hint="eastAsia" w:ascii="仿宋_GB2312" w:hAnsi="宋体" w:eastAsia="仿宋_GB2312" w:cs="Times New Roman"/>
          <w:sz w:val="28"/>
          <w:szCs w:val="28"/>
        </w:rPr>
        <w:t>的规定执行，同时抽取同等数量的备用样品。</w:t>
      </w:r>
      <w:r>
        <w:rPr>
          <w:rFonts w:hint="eastAsia" w:ascii="仿宋_GB2312" w:hAnsi="宋体" w:eastAsia="仿宋_GB2312" w:cs="Times New Roman"/>
          <w:sz w:val="28"/>
          <w:szCs w:val="28"/>
          <w:lang w:val="en-US" w:eastAsia="zh-CN"/>
        </w:rPr>
        <w:t>样品数量并</w:t>
      </w:r>
      <w:r>
        <w:rPr>
          <w:rFonts w:hint="eastAsia" w:ascii="仿宋_GB2312" w:hAnsi="宋体" w:eastAsia="仿宋_GB2312" w:cs="Times New Roman"/>
          <w:sz w:val="28"/>
          <w:szCs w:val="28"/>
        </w:rPr>
        <w:t>满足 GB 10631-2013 标准6.6.2 药量</w:t>
      </w:r>
      <w:r>
        <w:rPr>
          <w:rFonts w:hint="eastAsia" w:ascii="仿宋_GB2312" w:hAnsi="宋体" w:eastAsia="仿宋_GB2312" w:cs="Times New Roman"/>
          <w:sz w:val="28"/>
          <w:szCs w:val="28"/>
          <w:lang w:val="en-US" w:eastAsia="zh-CN"/>
        </w:rPr>
        <w:t>检验</w:t>
      </w:r>
      <w:r>
        <w:rPr>
          <w:rFonts w:hint="eastAsia" w:ascii="仿宋_GB2312" w:hAnsi="宋体" w:eastAsia="仿宋_GB2312" w:cs="Times New Roman"/>
          <w:sz w:val="28"/>
          <w:szCs w:val="28"/>
        </w:rPr>
        <w:t>要求</w:t>
      </w:r>
      <w:r>
        <w:rPr>
          <w:rFonts w:hint="eastAsia" w:ascii="仿宋_GB2312" w:hAnsi="宋体" w:eastAsia="仿宋_GB2312" w:cs="Times New Roman"/>
          <w:sz w:val="28"/>
          <w:szCs w:val="28"/>
          <w:lang w:eastAsia="zh-CN"/>
        </w:rPr>
        <w:t>。</w:t>
      </w:r>
    </w:p>
    <w:p>
      <w:pPr>
        <w:snapToGrid w:val="0"/>
        <w:spacing w:line="440" w:lineRule="exact"/>
        <w:jc w:val="center"/>
        <w:rPr>
          <w:szCs w:val="21"/>
        </w:rPr>
      </w:pPr>
      <w:r>
        <w:rPr>
          <w:rFonts w:hint="eastAsia" w:ascii="宋体" w:hAnsi="宋体" w:eastAsia="宋体" w:cs="宋体"/>
          <w:color w:val="000000" w:themeColor="text1"/>
          <w:szCs w:val="21"/>
          <w14:textFill>
            <w14:solidFill>
              <w14:schemeClr w14:val="tx1"/>
            </w14:solidFill>
          </w14:textFill>
        </w:rPr>
        <w:t>表</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 xml:space="preserve"> 一般产品抽取样品数量</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8"/>
        <w:gridCol w:w="1554"/>
        <w:gridCol w:w="1866"/>
        <w:gridCol w:w="1713"/>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88"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批量范围N</w:t>
            </w:r>
          </w:p>
        </w:tc>
        <w:tc>
          <w:tcPr>
            <w:tcW w:w="1554"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1866"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501~1000</w:t>
            </w:r>
          </w:p>
        </w:tc>
        <w:tc>
          <w:tcPr>
            <w:tcW w:w="1713"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1001~2000</w:t>
            </w:r>
          </w:p>
        </w:tc>
        <w:tc>
          <w:tcPr>
            <w:tcW w:w="1553"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88"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样本量n</w:t>
            </w:r>
          </w:p>
        </w:tc>
        <w:tc>
          <w:tcPr>
            <w:tcW w:w="1554"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1866"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1713"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1553"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w:t>
            </w:r>
          </w:p>
        </w:tc>
      </w:tr>
    </w:tbl>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表</w:t>
      </w: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 xml:space="preserve"> 爆竹产品抽取样品数量</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49"/>
        <w:gridCol w:w="1919"/>
        <w:gridCol w:w="2151"/>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84" w:type="dxa"/>
            <w:vMerge w:val="restart"/>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批量范围</w:t>
            </w:r>
          </w:p>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N（挂、卷）</w:t>
            </w:r>
          </w:p>
        </w:tc>
        <w:tc>
          <w:tcPr>
            <w:tcW w:w="7790" w:type="dxa"/>
            <w:gridSpan w:val="4"/>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样本量n (挂、卷)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84" w:type="dxa"/>
            <w:vMerge w:val="continue"/>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p>
        </w:tc>
        <w:tc>
          <w:tcPr>
            <w:tcW w:w="1749"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≤50响/（挂、卷）</w:t>
            </w:r>
          </w:p>
        </w:tc>
        <w:tc>
          <w:tcPr>
            <w:tcW w:w="1919"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51~500响/（挂、卷）</w:t>
            </w:r>
          </w:p>
        </w:tc>
        <w:tc>
          <w:tcPr>
            <w:tcW w:w="2151"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501~2000响/（挂、卷）</w:t>
            </w:r>
          </w:p>
        </w:tc>
        <w:tc>
          <w:tcPr>
            <w:tcW w:w="1971"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＞2000响/（挂、卷）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4"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≤500</w:t>
            </w:r>
          </w:p>
        </w:tc>
        <w:tc>
          <w:tcPr>
            <w:tcW w:w="1749"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1919"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p>
        </w:tc>
        <w:tc>
          <w:tcPr>
            <w:tcW w:w="2151"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1971"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84"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501~1000</w:t>
            </w:r>
          </w:p>
        </w:tc>
        <w:tc>
          <w:tcPr>
            <w:tcW w:w="1749"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1919"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2151"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p>
        </w:tc>
        <w:tc>
          <w:tcPr>
            <w:tcW w:w="1971"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84"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1001~2000</w:t>
            </w:r>
          </w:p>
        </w:tc>
        <w:tc>
          <w:tcPr>
            <w:tcW w:w="1749"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w:t>
            </w:r>
          </w:p>
        </w:tc>
        <w:tc>
          <w:tcPr>
            <w:tcW w:w="1919"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2151"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1971"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84"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＞2000</w:t>
            </w:r>
          </w:p>
        </w:tc>
        <w:tc>
          <w:tcPr>
            <w:tcW w:w="1749"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w:t>
            </w:r>
          </w:p>
        </w:tc>
        <w:tc>
          <w:tcPr>
            <w:tcW w:w="1919"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w:t>
            </w:r>
          </w:p>
        </w:tc>
        <w:tc>
          <w:tcPr>
            <w:tcW w:w="2151"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1971" w:type="dxa"/>
            <w:noWrap w:val="0"/>
            <w:vAlign w:val="center"/>
          </w:tcPr>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p>
        </w:tc>
      </w:tr>
    </w:tbl>
    <w:p>
      <w:pPr>
        <w:snapToGrid w:val="0"/>
        <w:spacing w:line="44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表</w:t>
      </w:r>
      <w:r>
        <w:rPr>
          <w:rFonts w:hint="eastAsia" w:ascii="宋体" w:hAnsi="宋体" w:eastAsia="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 xml:space="preserve"> 组合烟花产品抽取样品数量</w:t>
      </w:r>
    </w:p>
    <w:tbl>
      <w:tblPr>
        <w:tblStyle w:val="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07"/>
        <w:gridCol w:w="1259"/>
        <w:gridCol w:w="1240"/>
        <w:gridCol w:w="1300"/>
        <w:gridCol w:w="1295"/>
        <w:gridCol w:w="1246"/>
        <w:gridCol w:w="11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707" w:type="dxa"/>
            <w:vMerge w:val="restart"/>
            <w:tcBorders>
              <w:top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批量范围</w:t>
            </w:r>
          </w:p>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N（个）</w:t>
            </w:r>
          </w:p>
        </w:tc>
        <w:tc>
          <w:tcPr>
            <w:tcW w:w="7467" w:type="dxa"/>
            <w:gridSpan w:val="6"/>
            <w:tcBorders>
              <w:top w:val="single" w:color="auto" w:sz="4" w:space="0"/>
              <w:left w:val="single" w:color="auto" w:sz="4" w:space="0"/>
              <w:bottom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样本量 n /个</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707" w:type="dxa"/>
            <w:vMerge w:val="continue"/>
            <w:tcBorders>
              <w:top w:val="single" w:color="auto" w:sz="4" w:space="0"/>
              <w:bottom w:val="single" w:color="auto" w:sz="4" w:space="0"/>
              <w:right w:val="single" w:color="auto" w:sz="4" w:space="0"/>
            </w:tcBorders>
            <w:noWrap w:val="0"/>
            <w:vAlign w:val="center"/>
          </w:tcPr>
          <w:p>
            <w:pPr>
              <w:pStyle w:val="16"/>
              <w:ind w:firstLine="42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7467" w:type="dxa"/>
            <w:gridSpan w:val="6"/>
            <w:tcBorders>
              <w:top w:val="single" w:color="auto" w:sz="4" w:space="0"/>
              <w:left w:val="single" w:color="auto" w:sz="4" w:space="0"/>
              <w:bottom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组合发数（发/个）</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707" w:type="dxa"/>
            <w:vMerge w:val="continue"/>
            <w:tcBorders>
              <w:top w:val="single" w:color="auto" w:sz="4" w:space="0"/>
              <w:bottom w:val="single" w:color="auto" w:sz="4" w:space="0"/>
              <w:right w:val="single" w:color="auto" w:sz="4" w:space="0"/>
            </w:tcBorders>
            <w:noWrap w:val="0"/>
            <w:vAlign w:val="center"/>
          </w:tcPr>
          <w:p>
            <w:pPr>
              <w:pStyle w:val="16"/>
              <w:ind w:firstLine="42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2499" w:type="dxa"/>
            <w:gridSpan w:val="2"/>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≤20 </w:t>
            </w:r>
          </w:p>
        </w:tc>
        <w:tc>
          <w:tcPr>
            <w:tcW w:w="2595" w:type="dxa"/>
            <w:gridSpan w:val="2"/>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21～50</w:t>
            </w:r>
          </w:p>
        </w:tc>
        <w:tc>
          <w:tcPr>
            <w:tcW w:w="2373" w:type="dxa"/>
            <w:gridSpan w:val="2"/>
            <w:tcBorders>
              <w:top w:val="single" w:color="auto" w:sz="4" w:space="0"/>
              <w:left w:val="single" w:color="auto" w:sz="4" w:space="0"/>
              <w:bottom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＞50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707" w:type="dxa"/>
            <w:vMerge w:val="continue"/>
            <w:tcBorders>
              <w:top w:val="single" w:color="auto" w:sz="4" w:space="0"/>
              <w:bottom w:val="single" w:color="auto" w:sz="4" w:space="0"/>
              <w:right w:val="single" w:color="auto" w:sz="4" w:space="0"/>
            </w:tcBorders>
            <w:noWrap w:val="0"/>
            <w:vAlign w:val="center"/>
          </w:tcPr>
          <w:p>
            <w:pPr>
              <w:pStyle w:val="16"/>
              <w:ind w:firstLine="42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7467" w:type="dxa"/>
            <w:gridSpan w:val="6"/>
            <w:tcBorders>
              <w:top w:val="single" w:color="auto" w:sz="4" w:space="0"/>
              <w:left w:val="single" w:color="auto" w:sz="4" w:space="0"/>
              <w:bottom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单筒内径（mm）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707" w:type="dxa"/>
            <w:vMerge w:val="continue"/>
            <w:tcBorders>
              <w:top w:val="single" w:color="auto" w:sz="4" w:space="0"/>
              <w:bottom w:val="single" w:color="auto" w:sz="4" w:space="0"/>
              <w:right w:val="single" w:color="auto" w:sz="4" w:space="0"/>
            </w:tcBorders>
            <w:noWrap w:val="0"/>
            <w:vAlign w:val="center"/>
          </w:tcPr>
          <w:p>
            <w:pPr>
              <w:pStyle w:val="16"/>
              <w:ind w:firstLine="42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1259" w:type="dxa"/>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＞30</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≤30</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＞30</w:t>
            </w:r>
          </w:p>
        </w:tc>
        <w:tc>
          <w:tcPr>
            <w:tcW w:w="1295" w:type="dxa"/>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≤30</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＞30</w:t>
            </w:r>
          </w:p>
        </w:tc>
        <w:tc>
          <w:tcPr>
            <w:tcW w:w="1127" w:type="dxa"/>
            <w:tcBorders>
              <w:top w:val="single" w:color="auto" w:sz="4" w:space="0"/>
              <w:left w:val="single" w:color="auto" w:sz="4" w:space="0"/>
              <w:bottom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≤30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707" w:type="dxa"/>
            <w:tcBorders>
              <w:top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≤500</w:t>
            </w:r>
          </w:p>
        </w:tc>
        <w:tc>
          <w:tcPr>
            <w:tcW w:w="1259" w:type="dxa"/>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5</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6</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4</w:t>
            </w:r>
          </w:p>
        </w:tc>
        <w:tc>
          <w:tcPr>
            <w:tcW w:w="1295" w:type="dxa"/>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5</w:t>
            </w:r>
          </w:p>
        </w:tc>
        <w:tc>
          <w:tcPr>
            <w:tcW w:w="1246" w:type="dxa"/>
            <w:tcBorders>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4</w:t>
            </w:r>
          </w:p>
        </w:tc>
        <w:tc>
          <w:tcPr>
            <w:tcW w:w="1127" w:type="dxa"/>
            <w:tcBorders>
              <w:left w:val="single" w:color="auto" w:sz="4" w:space="0"/>
              <w:bottom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707" w:type="dxa"/>
            <w:tcBorders>
              <w:top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501~1000</w:t>
            </w:r>
          </w:p>
        </w:tc>
        <w:tc>
          <w:tcPr>
            <w:tcW w:w="1259" w:type="dxa"/>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6</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7</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5</w:t>
            </w:r>
          </w:p>
        </w:tc>
        <w:tc>
          <w:tcPr>
            <w:tcW w:w="1295" w:type="dxa"/>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6</w:t>
            </w:r>
          </w:p>
        </w:tc>
        <w:tc>
          <w:tcPr>
            <w:tcW w:w="1246" w:type="dxa"/>
            <w:tcBorders>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4</w:t>
            </w:r>
          </w:p>
        </w:tc>
        <w:tc>
          <w:tcPr>
            <w:tcW w:w="1127" w:type="dxa"/>
            <w:tcBorders>
              <w:left w:val="single" w:color="auto" w:sz="4" w:space="0"/>
              <w:bottom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707" w:type="dxa"/>
            <w:tcBorders>
              <w:top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≥1001</w:t>
            </w:r>
          </w:p>
        </w:tc>
        <w:tc>
          <w:tcPr>
            <w:tcW w:w="1259" w:type="dxa"/>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7</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8</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6</w:t>
            </w:r>
          </w:p>
        </w:tc>
        <w:tc>
          <w:tcPr>
            <w:tcW w:w="1295" w:type="dxa"/>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7</w:t>
            </w:r>
          </w:p>
        </w:tc>
        <w:tc>
          <w:tcPr>
            <w:tcW w:w="1246" w:type="dxa"/>
            <w:tcBorders>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5</w:t>
            </w:r>
          </w:p>
        </w:tc>
        <w:tc>
          <w:tcPr>
            <w:tcW w:w="1127" w:type="dxa"/>
            <w:tcBorders>
              <w:left w:val="single" w:color="auto" w:sz="4" w:space="0"/>
              <w:bottom w:val="single" w:color="auto" w:sz="4" w:space="0"/>
            </w:tcBorders>
            <w:noWrap w:val="0"/>
            <w:vAlign w:val="center"/>
          </w:tcPr>
          <w:p>
            <w:pPr>
              <w:pStyle w:val="16"/>
              <w:ind w:firstLine="0" w:firstLine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6</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5</w:t>
      </w:r>
      <w:r>
        <w:rPr>
          <w:rFonts w:hint="eastAsia" w:ascii="仿宋" w:hAnsi="仿宋" w:eastAsia="仿宋" w:cs="仿宋"/>
          <w:color w:val="000000" w:themeColor="text1"/>
          <w:szCs w:val="21"/>
          <w14:textFill>
            <w14:solidFill>
              <w14:schemeClr w14:val="tx1"/>
            </w14:solidFill>
          </w14:textFill>
        </w:rPr>
        <w:t>组合烟花</w:t>
      </w:r>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193"/>
        <w:gridCol w:w="1194"/>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标志</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运输包装标志</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10631</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2013</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 19593</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2015</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 19593</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销售包装标志</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19593</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包装</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运输包装</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10631</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销售包装</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 10631</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外观</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 19593</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引燃装置</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引火线</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 10631</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引火线牢固性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 10631</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引燃时间</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 10631</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结构和材质</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 19593</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主体稳定性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 19593</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药种</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21242</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药量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 19593</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燃放性能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 19593</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5"/>
            <w:vAlign w:val="center"/>
          </w:tcPr>
          <w:p>
            <w:pPr>
              <w:widowControl/>
              <w:adjustRightInd w:val="0"/>
              <w:snapToGrid w:val="0"/>
              <w:jc w:val="left"/>
              <w:rPr>
                <w:rFonts w:hint="eastAsia" w:ascii="仿宋" w:hAnsi="仿宋" w:eastAsia="仿宋" w:cs="仿宋"/>
                <w:bCs/>
                <w:iCs/>
                <w:kern w:val="0"/>
                <w:szCs w:val="21"/>
              </w:rPr>
            </w:pPr>
            <w:r>
              <w:rPr>
                <w:rFonts w:hint="eastAsia" w:ascii="仿宋" w:hAnsi="仿宋" w:eastAsia="仿宋" w:cs="仿宋"/>
                <w:bCs/>
                <w:iCs/>
                <w:kern w:val="0"/>
                <w:szCs w:val="21"/>
              </w:rPr>
              <w:t>注：1.标志要求的检验项目为GB10631</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2013中5.1.1、5.1.2、5.1.3及GB 19593</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2015中5.1.1、5.1.2 c）、d）、e），GB10631</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2013中5.1.2要求的检验项目为产品名称、制造商名称及地址，GB10631</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2013中5.1.3要求的检验项目为产品名称、制造商名称及地址、警示语、燃放说明；</w:t>
            </w:r>
          </w:p>
          <w:p>
            <w:pPr>
              <w:widowControl/>
              <w:adjustRightInd w:val="0"/>
              <w:snapToGrid w:val="0"/>
              <w:ind w:left="122" w:leftChars="58"/>
              <w:jc w:val="left"/>
              <w:rPr>
                <w:rFonts w:hint="eastAsia" w:ascii="仿宋" w:hAnsi="仿宋" w:eastAsia="仿宋" w:cs="仿宋"/>
                <w:bCs/>
                <w:iCs/>
                <w:kern w:val="0"/>
                <w:szCs w:val="21"/>
              </w:rPr>
            </w:pPr>
            <w:r>
              <w:rPr>
                <w:rFonts w:hint="eastAsia" w:ascii="仿宋" w:hAnsi="仿宋" w:eastAsia="仿宋" w:cs="仿宋"/>
                <w:bCs/>
                <w:iCs/>
                <w:kern w:val="0"/>
                <w:szCs w:val="21"/>
              </w:rPr>
              <w:t>2.包装要求的检验项目为GB10631</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2013中5.2.1、5.2.2；</w:t>
            </w:r>
          </w:p>
          <w:p>
            <w:pPr>
              <w:widowControl/>
              <w:adjustRightInd w:val="0"/>
              <w:snapToGrid w:val="0"/>
              <w:ind w:left="122" w:leftChars="58"/>
              <w:jc w:val="left"/>
              <w:rPr>
                <w:rFonts w:hint="eastAsia" w:ascii="仿宋" w:hAnsi="仿宋" w:eastAsia="仿宋" w:cs="仿宋"/>
                <w:bCs/>
                <w:iCs/>
                <w:kern w:val="0"/>
                <w:szCs w:val="21"/>
              </w:rPr>
            </w:pPr>
            <w:r>
              <w:rPr>
                <w:rFonts w:hint="eastAsia" w:ascii="仿宋" w:hAnsi="仿宋" w:eastAsia="仿宋" w:cs="仿宋"/>
                <w:bCs/>
                <w:iCs/>
                <w:kern w:val="0"/>
                <w:szCs w:val="21"/>
              </w:rPr>
              <w:t>3.外观要求的检验项目为GB10631</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2013 5.3中“重霉变，主体严重变形，开裂”；</w:t>
            </w:r>
          </w:p>
          <w:p>
            <w:pPr>
              <w:widowControl/>
              <w:adjustRightInd w:val="0"/>
              <w:snapToGrid w:val="0"/>
              <w:ind w:left="122" w:leftChars="58"/>
              <w:jc w:val="left"/>
              <w:rPr>
                <w:rFonts w:hint="eastAsia" w:ascii="仿宋" w:hAnsi="仿宋" w:eastAsia="仿宋" w:cs="仿宋"/>
                <w:bCs/>
                <w:iCs/>
                <w:kern w:val="0"/>
                <w:szCs w:val="21"/>
              </w:rPr>
            </w:pPr>
            <w:r>
              <w:rPr>
                <w:rFonts w:hint="eastAsia" w:ascii="仿宋" w:hAnsi="仿宋" w:eastAsia="仿宋" w:cs="仿宋"/>
                <w:bCs/>
                <w:iCs/>
                <w:kern w:val="0"/>
                <w:szCs w:val="21"/>
              </w:rPr>
              <w:t>4.部件要求的检验项目为GB10631</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2013中5.4.2.1、5.4.2.4及GB19593</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2015中5.3.2；</w:t>
            </w:r>
          </w:p>
          <w:p>
            <w:pPr>
              <w:widowControl/>
              <w:adjustRightInd w:val="0"/>
              <w:snapToGrid w:val="0"/>
              <w:ind w:left="122" w:leftChars="58"/>
              <w:jc w:val="left"/>
              <w:rPr>
                <w:rFonts w:hint="eastAsia" w:ascii="仿宋" w:hAnsi="仿宋" w:eastAsia="仿宋" w:cs="仿宋"/>
                <w:bCs/>
                <w:iCs/>
                <w:kern w:val="0"/>
                <w:szCs w:val="21"/>
              </w:rPr>
            </w:pPr>
            <w:r>
              <w:rPr>
                <w:rFonts w:hint="eastAsia" w:ascii="仿宋" w:hAnsi="仿宋" w:eastAsia="仿宋" w:cs="仿宋"/>
                <w:bCs/>
                <w:iCs/>
                <w:kern w:val="0"/>
                <w:szCs w:val="21"/>
              </w:rPr>
              <w:t>5.结构和材质要求的检验项目为GB10631</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2013中5.5及GB19593</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2015中5.4；</w:t>
            </w:r>
          </w:p>
          <w:p>
            <w:pPr>
              <w:widowControl/>
              <w:adjustRightInd w:val="0"/>
              <w:snapToGrid w:val="0"/>
              <w:ind w:left="122" w:leftChars="58"/>
              <w:jc w:val="left"/>
              <w:rPr>
                <w:rFonts w:hint="eastAsia" w:ascii="仿宋" w:hAnsi="仿宋" w:eastAsia="仿宋" w:cs="仿宋"/>
                <w:bCs/>
                <w:iCs/>
                <w:kern w:val="0"/>
                <w:szCs w:val="21"/>
              </w:rPr>
            </w:pPr>
            <w:r>
              <w:rPr>
                <w:rFonts w:hint="eastAsia" w:ascii="仿宋" w:hAnsi="仿宋" w:eastAsia="仿宋" w:cs="仿宋"/>
                <w:bCs/>
                <w:iCs/>
                <w:kern w:val="0"/>
                <w:szCs w:val="21"/>
              </w:rPr>
              <w:t>6.药种要求的检验项目为GB10631</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2013中5.6.1.1；</w:t>
            </w:r>
          </w:p>
          <w:p>
            <w:pPr>
              <w:widowControl/>
              <w:adjustRightInd w:val="0"/>
              <w:snapToGrid w:val="0"/>
              <w:ind w:left="122" w:leftChars="58"/>
              <w:jc w:val="left"/>
              <w:rPr>
                <w:rFonts w:hint="eastAsia" w:ascii="仿宋" w:hAnsi="仿宋" w:eastAsia="仿宋" w:cs="仿宋"/>
                <w:bCs/>
                <w:iCs/>
                <w:kern w:val="0"/>
                <w:szCs w:val="21"/>
              </w:rPr>
            </w:pPr>
            <w:r>
              <w:rPr>
                <w:rFonts w:hint="eastAsia" w:ascii="仿宋" w:hAnsi="仿宋" w:eastAsia="仿宋" w:cs="仿宋"/>
                <w:bCs/>
                <w:iCs/>
                <w:kern w:val="0"/>
                <w:szCs w:val="21"/>
              </w:rPr>
              <w:t>7.药量要求的检验项目为GB10631</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2013中5.6.2.2（不检验开包药药量）；</w:t>
            </w:r>
          </w:p>
          <w:p>
            <w:pPr>
              <w:widowControl/>
              <w:adjustRightInd w:val="0"/>
              <w:snapToGrid w:val="0"/>
              <w:ind w:left="122" w:leftChars="58"/>
              <w:jc w:val="left"/>
              <w:rPr>
                <w:rFonts w:hint="eastAsia" w:ascii="仿宋" w:hAnsi="仿宋" w:eastAsia="仿宋" w:cs="仿宋"/>
                <w:bCs/>
                <w:iCs/>
                <w:kern w:val="0"/>
                <w:szCs w:val="21"/>
                <w:lang w:val="en-US" w:eastAsia="zh-CN"/>
              </w:rPr>
            </w:pPr>
            <w:r>
              <w:rPr>
                <w:rFonts w:hint="eastAsia" w:ascii="仿宋" w:hAnsi="仿宋" w:eastAsia="仿宋" w:cs="仿宋"/>
                <w:bCs/>
                <w:iCs/>
                <w:kern w:val="0"/>
                <w:szCs w:val="21"/>
              </w:rPr>
              <w:t>8.燃放性能要求的检验项目为GB19593</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2015中5.7.5、5.7.6。</w:t>
            </w:r>
          </w:p>
        </w:tc>
      </w:tr>
    </w:tbl>
    <w:p>
      <w:pPr>
        <w:spacing w:before="100" w:beforeAutospacing="1" w:after="100" w:afterAutospacing="1"/>
        <w:contextualSpacing/>
        <w:jc w:val="center"/>
        <w:rPr>
          <w:rFonts w:hint="eastAsia" w:ascii="仿宋" w:hAnsi="仿宋" w:eastAsia="仿宋" w:cs="仿宋"/>
          <w:bCs/>
          <w:kern w:val="0"/>
          <w:szCs w:val="21"/>
          <w:lang w:eastAsia="zh-CN"/>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bCs/>
          <w:kern w:val="0"/>
          <w:szCs w:val="21"/>
          <w:lang w:val="en-US" w:eastAsia="zh-CN"/>
        </w:rPr>
        <w:t>6</w:t>
      </w:r>
      <w:r>
        <w:rPr>
          <w:rFonts w:hint="eastAsia" w:ascii="仿宋" w:hAnsi="仿宋" w:eastAsia="仿宋" w:cs="仿宋"/>
          <w:bCs/>
          <w:kern w:val="0"/>
          <w:szCs w:val="21"/>
        </w:rPr>
        <w:t>烟花爆竹（除组合烟花外）</w:t>
      </w:r>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795"/>
        <w:gridCol w:w="398"/>
        <w:gridCol w:w="204"/>
        <w:gridCol w:w="990"/>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gridSpan w:val="4"/>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检验项目</w:t>
            </w:r>
          </w:p>
        </w:tc>
        <w:tc>
          <w:tcPr>
            <w:tcW w:w="231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1193" w:type="dxa"/>
            <w:gridSpan w:val="2"/>
            <w:vMerge w:val="restart"/>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标志</w:t>
            </w:r>
          </w:p>
        </w:tc>
        <w:tc>
          <w:tcPr>
            <w:tcW w:w="1194" w:type="dxa"/>
            <w:gridSpan w:val="2"/>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运输包装标志</w:t>
            </w:r>
          </w:p>
        </w:tc>
        <w:tc>
          <w:tcPr>
            <w:tcW w:w="2310" w:type="dxa"/>
            <w:vMerge w:val="restart"/>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 10631</w:t>
            </w:r>
            <w:r>
              <w:rPr>
                <w:rFonts w:hint="eastAsia" w:ascii="仿宋" w:hAnsi="仿宋" w:eastAsia="仿宋" w:cs="仿宋"/>
                <w:bCs/>
                <w:kern w:val="0"/>
                <w:szCs w:val="21"/>
                <w:lang w:eastAsia="zh-CN"/>
              </w:rPr>
              <w:t>-</w:t>
            </w:r>
            <w:r>
              <w:rPr>
                <w:rFonts w:hint="eastAsia" w:ascii="仿宋" w:hAnsi="仿宋" w:eastAsia="仿宋" w:cs="仿宋"/>
                <w:bCs/>
                <w:kern w:val="0"/>
                <w:szCs w:val="21"/>
              </w:rPr>
              <w:t xml:space="preserve">2013 </w:t>
            </w:r>
          </w:p>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 xml:space="preserve">GB </w:t>
            </w:r>
            <w:r>
              <w:rPr>
                <w:rFonts w:hint="eastAsia" w:ascii="仿宋" w:hAnsi="仿宋" w:eastAsia="仿宋" w:cs="仿宋"/>
                <w:bCs/>
                <w:kern w:val="0"/>
                <w:szCs w:val="21"/>
                <w:lang w:val="en-US" w:eastAsia="zh-CN"/>
              </w:rPr>
              <w:t>21555</w:t>
            </w:r>
            <w:r>
              <w:rPr>
                <w:rFonts w:hint="eastAsia" w:ascii="仿宋" w:hAnsi="仿宋" w:eastAsia="仿宋" w:cs="仿宋"/>
                <w:bCs/>
                <w:kern w:val="0"/>
                <w:szCs w:val="21"/>
                <w:lang w:eastAsia="zh-CN"/>
              </w:rPr>
              <w:t>-</w:t>
            </w:r>
            <w:r>
              <w:rPr>
                <w:rFonts w:hint="eastAsia" w:ascii="仿宋" w:hAnsi="仿宋" w:eastAsia="仿宋" w:cs="仿宋"/>
                <w:bCs/>
                <w:kern w:val="0"/>
                <w:szCs w:val="21"/>
              </w:rPr>
              <w:t>20</w:t>
            </w:r>
            <w:r>
              <w:rPr>
                <w:rFonts w:hint="eastAsia" w:ascii="仿宋" w:hAnsi="仿宋" w:eastAsia="仿宋" w:cs="仿宋"/>
                <w:bCs/>
                <w:kern w:val="0"/>
                <w:szCs w:val="21"/>
                <w:lang w:val="en-US" w:eastAsia="zh-CN"/>
              </w:rPr>
              <w:t>08</w:t>
            </w: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 10631</w:t>
            </w:r>
            <w:r>
              <w:rPr>
                <w:rFonts w:hint="eastAsia" w:ascii="仿宋" w:hAnsi="仿宋" w:eastAsia="仿宋" w:cs="仿宋"/>
                <w:bCs/>
                <w:kern w:val="0"/>
                <w:szCs w:val="21"/>
                <w:lang w:eastAsia="zh-CN"/>
              </w:rPr>
              <w:t>-</w:t>
            </w:r>
            <w:r>
              <w:rPr>
                <w:rFonts w:hint="eastAsia" w:ascii="仿宋" w:hAnsi="仿宋" w:eastAsia="仿宋" w:cs="仿宋"/>
                <w:b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1193" w:type="dxa"/>
            <w:gridSpan w:val="2"/>
            <w:vMerge w:val="continue"/>
            <w:vAlign w:val="center"/>
          </w:tcPr>
          <w:p>
            <w:pPr>
              <w:widowControl/>
              <w:adjustRightInd w:val="0"/>
              <w:snapToGrid w:val="0"/>
              <w:jc w:val="center"/>
              <w:rPr>
                <w:rFonts w:hint="eastAsia" w:ascii="仿宋" w:hAnsi="仿宋" w:eastAsia="仿宋" w:cs="仿宋"/>
                <w:bCs/>
                <w:kern w:val="0"/>
                <w:szCs w:val="21"/>
              </w:rPr>
            </w:pPr>
          </w:p>
        </w:tc>
        <w:tc>
          <w:tcPr>
            <w:tcW w:w="1194" w:type="dxa"/>
            <w:gridSpan w:val="2"/>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销售包装标志</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 10631</w:t>
            </w:r>
            <w:r>
              <w:rPr>
                <w:rFonts w:hint="eastAsia" w:ascii="仿宋" w:hAnsi="仿宋" w:eastAsia="仿宋" w:cs="仿宋"/>
                <w:bCs/>
                <w:kern w:val="0"/>
                <w:szCs w:val="21"/>
                <w:lang w:eastAsia="zh-CN"/>
              </w:rPr>
              <w:t>-</w:t>
            </w:r>
            <w:r>
              <w:rPr>
                <w:rFonts w:hint="eastAsia" w:ascii="仿宋" w:hAnsi="仿宋" w:eastAsia="仿宋" w:cs="仿宋"/>
                <w:b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1193" w:type="dxa"/>
            <w:gridSpan w:val="2"/>
            <w:vMerge w:val="restart"/>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包装</w:t>
            </w:r>
          </w:p>
        </w:tc>
        <w:tc>
          <w:tcPr>
            <w:tcW w:w="1194" w:type="dxa"/>
            <w:gridSpan w:val="2"/>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运输包装</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 10631</w:t>
            </w:r>
            <w:r>
              <w:rPr>
                <w:rFonts w:hint="eastAsia" w:ascii="仿宋" w:hAnsi="仿宋" w:eastAsia="仿宋" w:cs="仿宋"/>
                <w:bCs/>
                <w:kern w:val="0"/>
                <w:szCs w:val="21"/>
                <w:lang w:eastAsia="zh-CN"/>
              </w:rPr>
              <w:t>-</w:t>
            </w:r>
            <w:r>
              <w:rPr>
                <w:rFonts w:hint="eastAsia" w:ascii="仿宋" w:hAnsi="仿宋" w:eastAsia="仿宋" w:cs="仿宋"/>
                <w:b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1193" w:type="dxa"/>
            <w:gridSpan w:val="2"/>
            <w:vMerge w:val="continue"/>
            <w:vAlign w:val="center"/>
          </w:tcPr>
          <w:p>
            <w:pPr>
              <w:widowControl/>
              <w:adjustRightInd w:val="0"/>
              <w:snapToGrid w:val="0"/>
              <w:jc w:val="center"/>
              <w:rPr>
                <w:rFonts w:hint="eastAsia" w:ascii="仿宋" w:hAnsi="仿宋" w:eastAsia="仿宋" w:cs="仿宋"/>
                <w:bCs/>
                <w:kern w:val="0"/>
                <w:szCs w:val="21"/>
              </w:rPr>
            </w:pPr>
          </w:p>
        </w:tc>
        <w:tc>
          <w:tcPr>
            <w:tcW w:w="1194" w:type="dxa"/>
            <w:gridSpan w:val="2"/>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销售包装</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 10631</w:t>
            </w:r>
            <w:r>
              <w:rPr>
                <w:rFonts w:hint="eastAsia" w:ascii="仿宋" w:hAnsi="仿宋" w:eastAsia="仿宋" w:cs="仿宋"/>
                <w:bCs/>
                <w:kern w:val="0"/>
                <w:szCs w:val="21"/>
                <w:lang w:eastAsia="zh-CN"/>
              </w:rPr>
              <w:t>-</w:t>
            </w:r>
            <w:r>
              <w:rPr>
                <w:rFonts w:hint="eastAsia" w:ascii="仿宋" w:hAnsi="仿宋" w:eastAsia="仿宋" w:cs="仿宋"/>
                <w:b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gridSpan w:val="4"/>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外观</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 10631</w:t>
            </w:r>
            <w:r>
              <w:rPr>
                <w:rFonts w:hint="eastAsia" w:ascii="仿宋" w:hAnsi="仿宋" w:eastAsia="仿宋" w:cs="仿宋"/>
                <w:bCs/>
                <w:kern w:val="0"/>
                <w:szCs w:val="21"/>
                <w:lang w:eastAsia="zh-CN"/>
              </w:rPr>
              <w:t>-</w:t>
            </w:r>
            <w:r>
              <w:rPr>
                <w:rFonts w:hint="eastAsia" w:ascii="仿宋" w:hAnsi="仿宋" w:eastAsia="仿宋" w:cs="仿宋"/>
                <w:b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795" w:type="dxa"/>
            <w:vMerge w:val="restart"/>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部件</w:t>
            </w:r>
          </w:p>
        </w:tc>
        <w:tc>
          <w:tcPr>
            <w:tcW w:w="1592" w:type="dxa"/>
            <w:gridSpan w:val="3"/>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部件牢固性</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 10631</w:t>
            </w:r>
            <w:r>
              <w:rPr>
                <w:rFonts w:hint="eastAsia" w:ascii="仿宋" w:hAnsi="仿宋" w:eastAsia="仿宋" w:cs="仿宋"/>
                <w:bCs/>
                <w:kern w:val="0"/>
                <w:szCs w:val="21"/>
                <w:lang w:eastAsia="zh-CN"/>
              </w:rPr>
              <w:t>-</w:t>
            </w:r>
            <w:r>
              <w:rPr>
                <w:rFonts w:hint="eastAsia" w:ascii="仿宋" w:hAnsi="仿宋" w:eastAsia="仿宋" w:cs="仿宋"/>
                <w:b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795" w:type="dxa"/>
            <w:vMerge w:val="continue"/>
            <w:tcBorders/>
            <w:vAlign w:val="center"/>
          </w:tcPr>
          <w:p>
            <w:pPr>
              <w:widowControl/>
              <w:adjustRightInd w:val="0"/>
              <w:snapToGrid w:val="0"/>
              <w:jc w:val="center"/>
              <w:rPr>
                <w:rFonts w:hint="eastAsia" w:ascii="仿宋" w:hAnsi="仿宋" w:eastAsia="仿宋" w:cs="仿宋"/>
                <w:bCs/>
                <w:kern w:val="0"/>
                <w:szCs w:val="21"/>
                <w:lang w:val="en-US" w:eastAsia="zh-CN"/>
              </w:rPr>
            </w:pPr>
          </w:p>
        </w:tc>
        <w:tc>
          <w:tcPr>
            <w:tcW w:w="602" w:type="dxa"/>
            <w:gridSpan w:val="2"/>
            <w:vMerge w:val="restart"/>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引燃装置</w:t>
            </w:r>
          </w:p>
        </w:tc>
        <w:tc>
          <w:tcPr>
            <w:tcW w:w="99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引火线</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 10631</w:t>
            </w:r>
            <w:r>
              <w:rPr>
                <w:rFonts w:hint="eastAsia" w:ascii="仿宋" w:hAnsi="仿宋" w:eastAsia="仿宋" w:cs="仿宋"/>
                <w:bCs/>
                <w:kern w:val="0"/>
                <w:szCs w:val="21"/>
                <w:lang w:eastAsia="zh-CN"/>
              </w:rPr>
              <w:t>-</w:t>
            </w:r>
            <w:r>
              <w:rPr>
                <w:rFonts w:hint="eastAsia" w:ascii="仿宋" w:hAnsi="仿宋" w:eastAsia="仿宋" w:cs="仿宋"/>
                <w:b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795" w:type="dxa"/>
            <w:vMerge w:val="continue"/>
            <w:tcBorders/>
            <w:vAlign w:val="center"/>
          </w:tcPr>
          <w:p>
            <w:pPr>
              <w:widowControl/>
              <w:adjustRightInd w:val="0"/>
              <w:snapToGrid w:val="0"/>
              <w:jc w:val="center"/>
              <w:rPr>
                <w:rFonts w:hint="eastAsia" w:ascii="仿宋" w:hAnsi="仿宋" w:eastAsia="仿宋" w:cs="仿宋"/>
                <w:bCs/>
                <w:kern w:val="0"/>
                <w:szCs w:val="21"/>
                <w:lang w:val="en-US" w:eastAsia="zh-CN"/>
              </w:rPr>
            </w:pPr>
          </w:p>
        </w:tc>
        <w:tc>
          <w:tcPr>
            <w:tcW w:w="602" w:type="dxa"/>
            <w:gridSpan w:val="2"/>
            <w:vMerge w:val="continue"/>
            <w:vAlign w:val="center"/>
          </w:tcPr>
          <w:p>
            <w:pPr>
              <w:widowControl/>
              <w:adjustRightInd w:val="0"/>
              <w:snapToGrid w:val="0"/>
              <w:jc w:val="center"/>
              <w:rPr>
                <w:rFonts w:hint="eastAsia" w:ascii="仿宋" w:hAnsi="仿宋" w:eastAsia="仿宋" w:cs="仿宋"/>
                <w:bCs/>
                <w:kern w:val="0"/>
                <w:szCs w:val="21"/>
                <w:lang w:val="en-US" w:eastAsia="zh-CN"/>
              </w:rPr>
            </w:pPr>
          </w:p>
        </w:tc>
        <w:tc>
          <w:tcPr>
            <w:tcW w:w="99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引火线牢固性</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 10631</w:t>
            </w:r>
            <w:r>
              <w:rPr>
                <w:rFonts w:hint="eastAsia" w:ascii="仿宋" w:hAnsi="仿宋" w:eastAsia="仿宋" w:cs="仿宋"/>
                <w:bCs/>
                <w:kern w:val="0"/>
                <w:szCs w:val="21"/>
                <w:lang w:eastAsia="zh-CN"/>
              </w:rPr>
              <w:t>-</w:t>
            </w:r>
            <w:r>
              <w:rPr>
                <w:rFonts w:hint="eastAsia" w:ascii="仿宋" w:hAnsi="仿宋" w:eastAsia="仿宋" w:cs="仿宋"/>
                <w:b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795" w:type="dxa"/>
            <w:vMerge w:val="continue"/>
            <w:tcBorders/>
            <w:vAlign w:val="center"/>
          </w:tcPr>
          <w:p>
            <w:pPr>
              <w:widowControl/>
              <w:adjustRightInd w:val="0"/>
              <w:snapToGrid w:val="0"/>
              <w:jc w:val="center"/>
              <w:rPr>
                <w:rFonts w:hint="eastAsia" w:ascii="仿宋" w:hAnsi="仿宋" w:eastAsia="仿宋" w:cs="仿宋"/>
                <w:bCs/>
                <w:kern w:val="0"/>
                <w:szCs w:val="21"/>
                <w:lang w:val="en-US" w:eastAsia="zh-CN"/>
              </w:rPr>
            </w:pPr>
          </w:p>
        </w:tc>
        <w:tc>
          <w:tcPr>
            <w:tcW w:w="602" w:type="dxa"/>
            <w:gridSpan w:val="2"/>
            <w:vMerge w:val="continue"/>
            <w:vAlign w:val="center"/>
          </w:tcPr>
          <w:p>
            <w:pPr>
              <w:widowControl/>
              <w:adjustRightInd w:val="0"/>
              <w:snapToGrid w:val="0"/>
              <w:jc w:val="center"/>
              <w:rPr>
                <w:rFonts w:hint="eastAsia" w:ascii="仿宋" w:hAnsi="仿宋" w:eastAsia="仿宋" w:cs="仿宋"/>
                <w:bCs/>
                <w:kern w:val="0"/>
                <w:szCs w:val="21"/>
                <w:lang w:val="en-US" w:eastAsia="zh-CN"/>
              </w:rPr>
            </w:pPr>
          </w:p>
        </w:tc>
        <w:tc>
          <w:tcPr>
            <w:tcW w:w="99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引燃时间</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 10631</w:t>
            </w:r>
            <w:r>
              <w:rPr>
                <w:rFonts w:hint="eastAsia" w:ascii="仿宋" w:hAnsi="仿宋" w:eastAsia="仿宋" w:cs="仿宋"/>
                <w:bCs/>
                <w:kern w:val="0"/>
                <w:szCs w:val="21"/>
                <w:lang w:eastAsia="zh-CN"/>
              </w:rPr>
              <w:t>-</w:t>
            </w:r>
            <w:r>
              <w:rPr>
                <w:rFonts w:hint="eastAsia" w:ascii="仿宋" w:hAnsi="仿宋" w:eastAsia="仿宋" w:cs="仿宋"/>
                <w:b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795" w:type="dxa"/>
            <w:vMerge w:val="continue"/>
            <w:tcBorders/>
            <w:vAlign w:val="center"/>
          </w:tcPr>
          <w:p>
            <w:pPr>
              <w:widowControl/>
              <w:adjustRightInd w:val="0"/>
              <w:snapToGrid w:val="0"/>
              <w:jc w:val="center"/>
              <w:rPr>
                <w:rFonts w:hint="eastAsia" w:ascii="仿宋" w:hAnsi="仿宋" w:eastAsia="仿宋" w:cs="仿宋"/>
                <w:bCs/>
                <w:kern w:val="0"/>
                <w:szCs w:val="21"/>
                <w:lang w:val="en-US" w:eastAsia="zh-CN"/>
              </w:rPr>
            </w:pPr>
          </w:p>
        </w:tc>
        <w:tc>
          <w:tcPr>
            <w:tcW w:w="1592" w:type="dxa"/>
            <w:gridSpan w:val="3"/>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手持部位</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 10631</w:t>
            </w:r>
            <w:r>
              <w:rPr>
                <w:rFonts w:hint="eastAsia" w:ascii="仿宋" w:hAnsi="仿宋" w:eastAsia="仿宋" w:cs="仿宋"/>
                <w:bCs/>
                <w:kern w:val="0"/>
                <w:szCs w:val="21"/>
                <w:lang w:eastAsia="zh-CN"/>
              </w:rPr>
              <w:t>-</w:t>
            </w:r>
            <w:r>
              <w:rPr>
                <w:rFonts w:hint="eastAsia" w:ascii="仿宋" w:hAnsi="仿宋" w:eastAsia="仿宋" w:cs="仿宋"/>
                <w:b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gridSpan w:val="4"/>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结构和材质</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 10631</w:t>
            </w:r>
            <w:r>
              <w:rPr>
                <w:rFonts w:hint="eastAsia" w:ascii="仿宋" w:hAnsi="仿宋" w:eastAsia="仿宋" w:cs="仿宋"/>
                <w:bCs/>
                <w:kern w:val="0"/>
                <w:szCs w:val="21"/>
                <w:lang w:eastAsia="zh-CN"/>
              </w:rPr>
              <w:t>-</w:t>
            </w:r>
            <w:r>
              <w:rPr>
                <w:rFonts w:hint="eastAsia" w:ascii="仿宋" w:hAnsi="仿宋" w:eastAsia="仿宋" w:cs="仿宋"/>
                <w:b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2387" w:type="dxa"/>
            <w:gridSpan w:val="4"/>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双响产品筒体尺寸</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 xml:space="preserve">GB </w:t>
            </w:r>
            <w:r>
              <w:rPr>
                <w:rFonts w:hint="eastAsia" w:ascii="仿宋" w:hAnsi="仿宋" w:eastAsia="仿宋" w:cs="仿宋"/>
                <w:bCs/>
                <w:kern w:val="0"/>
                <w:szCs w:val="21"/>
                <w:lang w:val="en-US" w:eastAsia="zh-CN"/>
              </w:rPr>
              <w:t>21555</w:t>
            </w:r>
            <w:r>
              <w:rPr>
                <w:rFonts w:hint="eastAsia" w:ascii="仿宋" w:hAnsi="仿宋" w:eastAsia="仿宋" w:cs="仿宋"/>
                <w:bCs/>
                <w:kern w:val="0"/>
                <w:szCs w:val="21"/>
                <w:lang w:eastAsia="zh-CN"/>
              </w:rPr>
              <w:t>-</w:t>
            </w:r>
            <w:r>
              <w:rPr>
                <w:rFonts w:hint="eastAsia" w:ascii="仿宋" w:hAnsi="仿宋" w:eastAsia="仿宋" w:cs="仿宋"/>
                <w:bCs/>
                <w:kern w:val="0"/>
                <w:szCs w:val="21"/>
              </w:rPr>
              <w:t>20</w:t>
            </w:r>
            <w:r>
              <w:rPr>
                <w:rFonts w:hint="eastAsia" w:ascii="仿宋" w:hAnsi="仿宋" w:eastAsia="仿宋" w:cs="仿宋"/>
                <w:bCs/>
                <w:kern w:val="0"/>
                <w:szCs w:val="21"/>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gridSpan w:val="4"/>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药种</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GB/T 21242</w:t>
            </w:r>
            <w:r>
              <w:rPr>
                <w:rFonts w:hint="eastAsia" w:ascii="仿宋" w:hAnsi="仿宋" w:eastAsia="仿宋" w:cs="仿宋"/>
                <w:bCs/>
                <w:kern w:val="0"/>
                <w:szCs w:val="21"/>
                <w:lang w:eastAsia="zh-CN"/>
              </w:rPr>
              <w:t>-</w:t>
            </w:r>
            <w:r>
              <w:rPr>
                <w:rFonts w:hint="eastAsia" w:ascii="仿宋" w:hAnsi="仿宋" w:eastAsia="仿宋" w:cs="仿宋"/>
                <w:bCs/>
                <w:kern w:val="0"/>
                <w:szCs w:val="21"/>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14</w:t>
            </w:r>
          </w:p>
        </w:tc>
        <w:tc>
          <w:tcPr>
            <w:tcW w:w="2387" w:type="dxa"/>
            <w:gridSpan w:val="4"/>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药量</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 10631</w:t>
            </w:r>
            <w:r>
              <w:rPr>
                <w:rFonts w:hint="eastAsia" w:ascii="仿宋" w:hAnsi="仿宋" w:eastAsia="仿宋" w:cs="仿宋"/>
                <w:bCs/>
                <w:kern w:val="0"/>
                <w:szCs w:val="21"/>
                <w:lang w:eastAsia="zh-CN"/>
              </w:rPr>
              <w:t>-</w:t>
            </w:r>
            <w:r>
              <w:rPr>
                <w:rFonts w:hint="eastAsia" w:ascii="仿宋" w:hAnsi="仿宋" w:eastAsia="仿宋" w:cs="仿宋"/>
                <w:b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15</w:t>
            </w:r>
          </w:p>
        </w:tc>
        <w:tc>
          <w:tcPr>
            <w:tcW w:w="2387" w:type="dxa"/>
            <w:gridSpan w:val="4"/>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燃放性能</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 10631</w:t>
            </w:r>
            <w:r>
              <w:rPr>
                <w:rFonts w:hint="eastAsia" w:ascii="仿宋" w:hAnsi="仿宋" w:eastAsia="仿宋" w:cs="仿宋"/>
                <w:bCs/>
                <w:kern w:val="0"/>
                <w:szCs w:val="21"/>
                <w:lang w:eastAsia="zh-CN"/>
              </w:rPr>
              <w:t>-</w:t>
            </w:r>
            <w:r>
              <w:rPr>
                <w:rFonts w:hint="eastAsia" w:ascii="仿宋" w:hAnsi="仿宋" w:eastAsia="仿宋" w:cs="仿宋"/>
                <w:bCs/>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7"/>
            <w:vAlign w:val="center"/>
          </w:tcPr>
          <w:p>
            <w:pPr>
              <w:widowControl/>
              <w:adjustRightInd w:val="0"/>
              <w:snapToGrid w:val="0"/>
              <w:jc w:val="left"/>
              <w:rPr>
                <w:rFonts w:hint="eastAsia" w:ascii="仿宋" w:hAnsi="仿宋" w:eastAsia="仿宋" w:cs="仿宋"/>
                <w:bCs/>
                <w:kern w:val="0"/>
                <w:szCs w:val="21"/>
              </w:rPr>
            </w:pPr>
            <w:r>
              <w:rPr>
                <w:rFonts w:hint="eastAsia" w:ascii="仿宋" w:hAnsi="仿宋" w:eastAsia="仿宋" w:cs="仿宋"/>
                <w:bCs/>
                <w:kern w:val="0"/>
                <w:szCs w:val="21"/>
              </w:rPr>
              <w:t>注：1.标志要求的检验项目为GB10631</w:t>
            </w:r>
            <w:r>
              <w:rPr>
                <w:rFonts w:hint="eastAsia" w:ascii="仿宋" w:hAnsi="仿宋" w:eastAsia="仿宋" w:cs="仿宋"/>
                <w:bCs/>
                <w:kern w:val="0"/>
                <w:szCs w:val="21"/>
                <w:lang w:eastAsia="zh-CN"/>
              </w:rPr>
              <w:t>-</w:t>
            </w:r>
            <w:r>
              <w:rPr>
                <w:rFonts w:hint="eastAsia" w:ascii="仿宋" w:hAnsi="仿宋" w:eastAsia="仿宋" w:cs="仿宋"/>
                <w:bCs/>
                <w:kern w:val="0"/>
                <w:szCs w:val="21"/>
              </w:rPr>
              <w:t>2013中5.1.1、5.1.2、5.1.3，GB10631</w:t>
            </w:r>
            <w:r>
              <w:rPr>
                <w:rFonts w:hint="eastAsia" w:ascii="仿宋" w:hAnsi="仿宋" w:eastAsia="仿宋" w:cs="仿宋"/>
                <w:bCs/>
                <w:kern w:val="0"/>
                <w:szCs w:val="21"/>
                <w:lang w:eastAsia="zh-CN"/>
              </w:rPr>
              <w:t>-</w:t>
            </w:r>
            <w:r>
              <w:rPr>
                <w:rFonts w:hint="eastAsia" w:ascii="仿宋" w:hAnsi="仿宋" w:eastAsia="仿宋" w:cs="仿宋"/>
                <w:bCs/>
                <w:kern w:val="0"/>
                <w:szCs w:val="21"/>
              </w:rPr>
              <w:t>2013中5.1.2要求的检验项目为产品名称、制造商名称及地址，GB10631-2013中5.1.3要求的检验项目为产品名称、制造商名称及地址、警示语、燃放说明；</w:t>
            </w:r>
          </w:p>
          <w:p>
            <w:pPr>
              <w:widowControl/>
              <w:adjustRightInd w:val="0"/>
              <w:snapToGrid w:val="0"/>
              <w:jc w:val="left"/>
              <w:rPr>
                <w:rFonts w:hint="eastAsia" w:ascii="仿宋" w:hAnsi="仿宋" w:eastAsia="仿宋" w:cs="仿宋"/>
                <w:bCs/>
                <w:kern w:val="0"/>
                <w:szCs w:val="21"/>
              </w:rPr>
            </w:pPr>
            <w:r>
              <w:rPr>
                <w:rFonts w:hint="eastAsia" w:ascii="仿宋" w:hAnsi="仿宋" w:eastAsia="仿宋" w:cs="仿宋"/>
                <w:bCs/>
                <w:kern w:val="0"/>
                <w:szCs w:val="21"/>
              </w:rPr>
              <w:t>2.包装要求的检验项目为GB10631</w:t>
            </w:r>
            <w:r>
              <w:rPr>
                <w:rFonts w:hint="eastAsia" w:ascii="仿宋" w:hAnsi="仿宋" w:eastAsia="仿宋" w:cs="仿宋"/>
                <w:bCs/>
                <w:kern w:val="0"/>
                <w:szCs w:val="21"/>
                <w:lang w:eastAsia="zh-CN"/>
              </w:rPr>
              <w:t>-</w:t>
            </w:r>
            <w:r>
              <w:rPr>
                <w:rFonts w:hint="eastAsia" w:ascii="仿宋" w:hAnsi="仿宋" w:eastAsia="仿宋" w:cs="仿宋"/>
                <w:bCs/>
                <w:kern w:val="0"/>
                <w:szCs w:val="21"/>
              </w:rPr>
              <w:t>2013中5.2.1、5.2.2；</w:t>
            </w:r>
          </w:p>
          <w:p>
            <w:pPr>
              <w:widowControl/>
              <w:adjustRightInd w:val="0"/>
              <w:snapToGrid w:val="0"/>
              <w:jc w:val="left"/>
              <w:rPr>
                <w:rFonts w:hint="eastAsia" w:ascii="仿宋" w:hAnsi="仿宋" w:eastAsia="仿宋" w:cs="仿宋"/>
                <w:bCs/>
                <w:kern w:val="0"/>
                <w:szCs w:val="21"/>
              </w:rPr>
            </w:pPr>
            <w:r>
              <w:rPr>
                <w:rFonts w:hint="eastAsia" w:ascii="仿宋" w:hAnsi="仿宋" w:eastAsia="仿宋" w:cs="仿宋"/>
                <w:bCs/>
                <w:kern w:val="0"/>
                <w:szCs w:val="21"/>
              </w:rPr>
              <w:t>3.外观要求的检验项目为GB10631</w:t>
            </w:r>
            <w:r>
              <w:rPr>
                <w:rFonts w:hint="eastAsia" w:ascii="仿宋" w:hAnsi="仿宋" w:eastAsia="仿宋" w:cs="仿宋"/>
                <w:bCs/>
                <w:kern w:val="0"/>
                <w:szCs w:val="21"/>
                <w:lang w:eastAsia="zh-CN"/>
              </w:rPr>
              <w:t>-</w:t>
            </w:r>
            <w:r>
              <w:rPr>
                <w:rFonts w:hint="eastAsia" w:ascii="仿宋" w:hAnsi="仿宋" w:eastAsia="仿宋" w:cs="仿宋"/>
                <w:bCs/>
                <w:kern w:val="0"/>
                <w:szCs w:val="21"/>
              </w:rPr>
              <w:t>2013 5.3中“重霉变，主体严重变形，开裂”；</w:t>
            </w:r>
          </w:p>
          <w:p>
            <w:pPr>
              <w:widowControl/>
              <w:adjustRightInd w:val="0"/>
              <w:snapToGrid w:val="0"/>
              <w:jc w:val="left"/>
              <w:rPr>
                <w:rFonts w:hint="eastAsia" w:ascii="仿宋" w:hAnsi="仿宋" w:eastAsia="仿宋" w:cs="仿宋"/>
                <w:bCs/>
                <w:kern w:val="0"/>
                <w:szCs w:val="21"/>
              </w:rPr>
            </w:pPr>
            <w:r>
              <w:rPr>
                <w:rFonts w:hint="eastAsia" w:ascii="仿宋" w:hAnsi="仿宋" w:eastAsia="仿宋" w:cs="仿宋"/>
                <w:bCs/>
                <w:kern w:val="0"/>
                <w:szCs w:val="21"/>
              </w:rPr>
              <w:t>4.部件要求的检验项目为GB10631</w:t>
            </w:r>
            <w:r>
              <w:rPr>
                <w:rFonts w:hint="eastAsia" w:ascii="仿宋" w:hAnsi="仿宋" w:eastAsia="仿宋" w:cs="仿宋"/>
                <w:bCs/>
                <w:kern w:val="0"/>
                <w:szCs w:val="21"/>
                <w:lang w:eastAsia="zh-CN"/>
              </w:rPr>
              <w:t>-</w:t>
            </w:r>
            <w:r>
              <w:rPr>
                <w:rFonts w:hint="eastAsia" w:ascii="仿宋" w:hAnsi="仿宋" w:eastAsia="仿宋" w:cs="仿宋"/>
                <w:bCs/>
                <w:kern w:val="0"/>
                <w:szCs w:val="21"/>
              </w:rPr>
              <w:t>2013中5.4.1、5.4.2.1、5.4.2.3、5.4.2.4、5.4.2.6、5.4.3；</w:t>
            </w:r>
          </w:p>
          <w:p>
            <w:pPr>
              <w:widowControl/>
              <w:adjustRightInd w:val="0"/>
              <w:snapToGrid w:val="0"/>
              <w:jc w:val="left"/>
              <w:rPr>
                <w:rFonts w:hint="eastAsia" w:ascii="仿宋" w:hAnsi="仿宋" w:eastAsia="仿宋" w:cs="仿宋"/>
                <w:bCs/>
                <w:kern w:val="0"/>
                <w:szCs w:val="21"/>
              </w:rPr>
            </w:pPr>
            <w:r>
              <w:rPr>
                <w:rFonts w:hint="eastAsia" w:ascii="仿宋" w:hAnsi="仿宋" w:eastAsia="仿宋" w:cs="仿宋"/>
                <w:bCs/>
                <w:kern w:val="0"/>
                <w:szCs w:val="21"/>
              </w:rPr>
              <w:t>5.结构和材质要求的检验项目为GB10631</w:t>
            </w:r>
            <w:r>
              <w:rPr>
                <w:rFonts w:hint="eastAsia" w:ascii="仿宋" w:hAnsi="仿宋" w:eastAsia="仿宋" w:cs="仿宋"/>
                <w:bCs/>
                <w:kern w:val="0"/>
                <w:szCs w:val="21"/>
                <w:lang w:eastAsia="zh-CN"/>
              </w:rPr>
              <w:t>-</w:t>
            </w:r>
            <w:r>
              <w:rPr>
                <w:rFonts w:hint="eastAsia" w:ascii="仿宋" w:hAnsi="仿宋" w:eastAsia="仿宋" w:cs="仿宋"/>
                <w:bCs/>
                <w:kern w:val="0"/>
                <w:szCs w:val="21"/>
              </w:rPr>
              <w:t>2013中5.5.1、5.5.4、5.5.5；</w:t>
            </w:r>
          </w:p>
          <w:p>
            <w:pPr>
              <w:widowControl/>
              <w:adjustRightInd w:val="0"/>
              <w:snapToGrid w:val="0"/>
              <w:jc w:val="left"/>
              <w:rPr>
                <w:rFonts w:hint="eastAsia" w:ascii="仿宋" w:hAnsi="仿宋" w:eastAsia="仿宋" w:cs="仿宋"/>
                <w:bCs/>
                <w:kern w:val="0"/>
                <w:szCs w:val="21"/>
              </w:rPr>
            </w:pPr>
            <w:r>
              <w:rPr>
                <w:rFonts w:hint="eastAsia" w:ascii="仿宋" w:hAnsi="仿宋" w:eastAsia="仿宋" w:cs="仿宋"/>
                <w:bCs/>
                <w:kern w:val="0"/>
                <w:szCs w:val="21"/>
              </w:rPr>
              <w:t>6.药种要求的检验项目为GB10631</w:t>
            </w:r>
            <w:r>
              <w:rPr>
                <w:rFonts w:hint="eastAsia" w:ascii="仿宋" w:hAnsi="仿宋" w:eastAsia="仿宋" w:cs="仿宋"/>
                <w:bCs/>
                <w:kern w:val="0"/>
                <w:szCs w:val="21"/>
                <w:lang w:eastAsia="zh-CN"/>
              </w:rPr>
              <w:t>-</w:t>
            </w:r>
            <w:r>
              <w:rPr>
                <w:rFonts w:hint="eastAsia" w:ascii="仿宋" w:hAnsi="仿宋" w:eastAsia="仿宋" w:cs="仿宋"/>
                <w:bCs/>
                <w:kern w:val="0"/>
                <w:szCs w:val="21"/>
              </w:rPr>
              <w:t>2013中5.6.1.1；</w:t>
            </w:r>
          </w:p>
          <w:p>
            <w:pPr>
              <w:widowControl/>
              <w:adjustRightInd w:val="0"/>
              <w:snapToGrid w:val="0"/>
              <w:jc w:val="left"/>
              <w:rPr>
                <w:rFonts w:hint="eastAsia" w:ascii="仿宋" w:hAnsi="仿宋" w:eastAsia="仿宋" w:cs="仿宋"/>
                <w:bCs/>
                <w:kern w:val="0"/>
                <w:szCs w:val="21"/>
              </w:rPr>
            </w:pPr>
            <w:r>
              <w:rPr>
                <w:rFonts w:hint="eastAsia" w:ascii="仿宋" w:hAnsi="仿宋" w:eastAsia="仿宋" w:cs="仿宋"/>
                <w:bCs/>
                <w:kern w:val="0"/>
                <w:szCs w:val="21"/>
              </w:rPr>
              <w:t>7.药量要求的检验项目为GB10631</w:t>
            </w:r>
            <w:r>
              <w:rPr>
                <w:rFonts w:hint="eastAsia" w:ascii="仿宋" w:hAnsi="仿宋" w:eastAsia="仿宋" w:cs="仿宋"/>
                <w:bCs/>
                <w:kern w:val="0"/>
                <w:szCs w:val="21"/>
                <w:lang w:eastAsia="zh-CN"/>
              </w:rPr>
              <w:t>-</w:t>
            </w:r>
            <w:r>
              <w:rPr>
                <w:rFonts w:hint="eastAsia" w:ascii="仿宋" w:hAnsi="仿宋" w:eastAsia="仿宋" w:cs="仿宋"/>
                <w:bCs/>
                <w:kern w:val="0"/>
                <w:szCs w:val="21"/>
              </w:rPr>
              <w:t>2013中5.6.2.2。</w:t>
            </w:r>
          </w:p>
          <w:p>
            <w:pPr>
              <w:widowControl/>
              <w:adjustRightInd w:val="0"/>
              <w:snapToGrid w:val="0"/>
              <w:jc w:val="left"/>
              <w:rPr>
                <w:rFonts w:hint="eastAsia" w:ascii="仿宋" w:hAnsi="仿宋" w:eastAsia="仿宋" w:cs="仿宋"/>
                <w:bCs/>
                <w:iCs/>
                <w:kern w:val="0"/>
                <w:szCs w:val="21"/>
                <w:lang w:val="en-US" w:eastAsia="zh-CN"/>
              </w:rPr>
            </w:pPr>
            <w:r>
              <w:rPr>
                <w:rFonts w:hint="eastAsia" w:ascii="仿宋" w:hAnsi="仿宋" w:eastAsia="仿宋" w:cs="仿宋"/>
                <w:bCs/>
                <w:kern w:val="0"/>
                <w:szCs w:val="21"/>
              </w:rPr>
              <w:t>8.燃放性能要求的检验项目为GB10631</w:t>
            </w:r>
            <w:r>
              <w:rPr>
                <w:rFonts w:hint="eastAsia" w:ascii="仿宋" w:hAnsi="仿宋" w:eastAsia="仿宋" w:cs="仿宋"/>
                <w:bCs/>
                <w:kern w:val="0"/>
                <w:szCs w:val="21"/>
                <w:lang w:eastAsia="zh-CN"/>
              </w:rPr>
              <w:t>-</w:t>
            </w:r>
            <w:r>
              <w:rPr>
                <w:rFonts w:hint="eastAsia" w:ascii="仿宋" w:hAnsi="仿宋" w:eastAsia="仿宋" w:cs="仿宋"/>
                <w:bCs/>
                <w:kern w:val="0"/>
                <w:szCs w:val="21"/>
              </w:rPr>
              <w:t>2013中5.7.8、5.7.9、5.7.10、5.7.11、5.7.12、5.7.14。</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6"/>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FF761E"/>
    <w:rsid w:val="04043AA5"/>
    <w:rsid w:val="08705141"/>
    <w:rsid w:val="0A401166"/>
    <w:rsid w:val="0E9D78D8"/>
    <w:rsid w:val="0FAA5A14"/>
    <w:rsid w:val="1DB146C7"/>
    <w:rsid w:val="1DE41839"/>
    <w:rsid w:val="25725A7D"/>
    <w:rsid w:val="29621FF4"/>
    <w:rsid w:val="2D397142"/>
    <w:rsid w:val="2F6F34DE"/>
    <w:rsid w:val="323F5720"/>
    <w:rsid w:val="32F00F21"/>
    <w:rsid w:val="423D1FE7"/>
    <w:rsid w:val="43285D3E"/>
    <w:rsid w:val="4757545E"/>
    <w:rsid w:val="47A66D96"/>
    <w:rsid w:val="4B275459"/>
    <w:rsid w:val="505B3D74"/>
    <w:rsid w:val="50774392"/>
    <w:rsid w:val="557A53C9"/>
    <w:rsid w:val="56A725B8"/>
    <w:rsid w:val="5D7209DD"/>
    <w:rsid w:val="60BD0047"/>
    <w:rsid w:val="61657658"/>
    <w:rsid w:val="64392943"/>
    <w:rsid w:val="65704D44"/>
    <w:rsid w:val="65E329B5"/>
    <w:rsid w:val="66616B07"/>
    <w:rsid w:val="6775534A"/>
    <w:rsid w:val="6B113937"/>
    <w:rsid w:val="6B9C351B"/>
    <w:rsid w:val="6D997AD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1"/>
    <w:unhideWhenUsed/>
    <w:qFormat/>
    <w:uiPriority w:val="99"/>
    <w:pPr>
      <w:ind w:firstLine="420" w:firstLineChars="100"/>
    </w:pPr>
  </w:style>
  <w:style w:type="paragraph" w:styleId="4">
    <w:name w:val="Normal Indent"/>
    <w:basedOn w:val="1"/>
    <w:qFormat/>
    <w:uiPriority w:val="99"/>
    <w:pPr>
      <w:ind w:firstLine="420" w:firstLineChars="200"/>
    </w:pPr>
  </w:style>
  <w:style w:type="paragraph" w:styleId="5">
    <w:name w:val="List 2"/>
    <w:basedOn w:val="1"/>
    <w:next w:val="1"/>
    <w:qFormat/>
    <w:uiPriority w:val="0"/>
    <w:pPr>
      <w:adjustRightInd w:val="0"/>
      <w:snapToGrid w:val="0"/>
      <w:spacing w:line="360" w:lineRule="auto"/>
      <w:ind w:left="100" w:leftChars="200" w:hanging="200" w:hangingChars="200"/>
    </w:pPr>
    <w:rPr>
      <w:sz w:val="24"/>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style>
  <w:style w:type="table" w:styleId="10">
    <w:name w:val="Table Grid"/>
    <w:basedOn w:val="9"/>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7"/>
    <w:qFormat/>
    <w:uiPriority w:val="99"/>
    <w:rPr>
      <w:rFonts w:ascii="Calibri" w:hAnsi="Calibri" w:eastAsia="宋体" w:cs="Times New Roman"/>
      <w:sz w:val="18"/>
      <w:szCs w:val="18"/>
    </w:rPr>
  </w:style>
  <w:style w:type="character" w:customStyle="1" w:styleId="13">
    <w:name w:val="页脚 字符"/>
    <w:basedOn w:val="11"/>
    <w:link w:val="6"/>
    <w:qFormat/>
    <w:uiPriority w:val="99"/>
    <w:rPr>
      <w:rFonts w:ascii="Calibri" w:hAnsi="Calibri" w:eastAsia="宋体" w:cs="Times New Roman"/>
      <w:sz w:val="18"/>
      <w:szCs w:val="18"/>
    </w:rPr>
  </w:style>
  <w:style w:type="paragraph" w:styleId="14">
    <w:name w:val="List Paragraph"/>
    <w:basedOn w:val="1"/>
    <w:qFormat/>
    <w:uiPriority w:val="34"/>
    <w:pPr>
      <w:ind w:firstLine="420" w:firstLineChars="200"/>
    </w:pPr>
  </w:style>
  <w:style w:type="paragraph" w:customStyle="1" w:styleId="15">
    <w:name w:val="_Style 3"/>
    <w:basedOn w:val="1"/>
    <w:qFormat/>
    <w:uiPriority w:val="0"/>
    <w:pPr>
      <w:ind w:firstLine="200" w:firstLineChars="200"/>
    </w:pPr>
    <w:rPr>
      <w:rFonts w:ascii="Times New Roman" w:hAnsi="Times New Roman"/>
    </w:rPr>
  </w:style>
  <w:style w:type="paragraph" w:customStyle="1" w:styleId="16">
    <w:name w:val="段"/>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1</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2024-07-19T10:16:44Z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C219570386CB41B4A505AC93E4F7976C_13</vt:lpwstr>
  </property>
</Properties>
</file>