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涂料</w:t>
      </w:r>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涂料</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9"/>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03</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建筑涂料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合成树脂乳液内墙涂料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04</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建筑和装饰装修材料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建筑涂料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外墙涂料</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合成树脂乳液外墙涂料</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本细则涉及产品种类：</w:t>
      </w:r>
      <w:r>
        <w:rPr>
          <w:rFonts w:hint="eastAsia" w:ascii="仿宋_GB2312" w:hAnsi="宋体" w:eastAsia="仿宋_GB2312" w:cs="Times New Roman"/>
          <w:sz w:val="28"/>
          <w:szCs w:val="28"/>
          <w:lang w:eastAsia="zh-CN"/>
        </w:rPr>
        <w:t>涂料（</w:t>
      </w:r>
      <w:r>
        <w:rPr>
          <w:rFonts w:hint="eastAsia" w:ascii="仿宋_GB2312" w:hAnsi="宋体" w:eastAsia="仿宋_GB2312" w:cs="Times New Roman"/>
          <w:sz w:val="28"/>
          <w:szCs w:val="28"/>
          <w:highlight w:val="none"/>
        </w:rPr>
        <w:t>溶剂型丙烯酸树脂涂料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硝基涂料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环氧沥青防腐涂料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醇酸树脂涂料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氯化橡胶防腐涂料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富锌底漆</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交联型氟树脂涂料</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溶济型聚氨酯涂料（双组份）</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环氧树脂底漆</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9756</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2018 合成树脂乳液内墙涂料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9755</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2014 合成树脂乳液外墙涂料</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18582</w:t>
      </w:r>
      <w:r>
        <w:rPr>
          <w:rFonts w:hint="eastAsia" w:ascii="仿宋_GB2312" w:hAnsi="宋体" w:eastAsia="仿宋_GB2312" w:cs="Times New Roman"/>
          <w:sz w:val="28"/>
          <w:szCs w:val="28"/>
          <w:highlight w:val="none"/>
          <w:lang w:eastAsia="zh-CN"/>
        </w:rPr>
        <w:t>-</w:t>
      </w:r>
      <w:r>
        <w:rPr>
          <w:rFonts w:hint="eastAsia" w:ascii="仿宋_GB2312" w:hAnsi="宋体" w:eastAsia="仿宋_GB2312" w:cs="Times New Roman"/>
          <w:sz w:val="28"/>
          <w:szCs w:val="28"/>
          <w:highlight w:val="none"/>
        </w:rPr>
        <w:t>2020 建筑用墙面涂料中有害物质限量</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在贮罐、大桶或其他较大容器中抽取样品，由于涂料易产生分层、沉底等情况，取样前应使用合适的搅拌工具将样品搅拌均匀。</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合成树脂乳液内墙涂料、合成树脂乳液外墙涂料均抽取2份样品，每份不少于3kg，一份为检验样品，一份为备用样品。当独立包装产品不大于5L或7.5kg时，应尽量整包装抽取，避免分装。</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其中合成树脂乳液内墙涂料：如需配套底漆，抽取底漆2份，每份不少于0.5kg，一份为检验样品，一份为备用样品；合成树脂乳液外墙涂料：独立的底漆或中涂漆不在本次抽查范围内</w:t>
      </w:r>
      <w:r>
        <w:rPr>
          <w:rFonts w:hint="eastAsia" w:ascii="仿宋_GB2312" w:hAnsi="宋体" w:eastAsia="仿宋_GB2312" w:cs="Times New Roman"/>
          <w:sz w:val="28"/>
          <w:szCs w:val="28"/>
          <w:lang w:val="en-US" w:eastAsia="zh-CN"/>
        </w:rPr>
        <w:t>，</w:t>
      </w:r>
      <w:r>
        <w:rPr>
          <w:rFonts w:hint="eastAsia" w:ascii="仿宋_GB2312" w:hAnsi="宋体" w:eastAsia="仿宋_GB2312" w:cs="Times New Roman"/>
          <w:sz w:val="28"/>
          <w:szCs w:val="28"/>
        </w:rPr>
        <w:t>如需配套底漆和/或中涂漆，抽取底漆和/或中涂漆各2份，每份不少于0.5kg，一份为检验样品，一份为备用样品。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w:t>
      </w:r>
      <w:bookmarkStart w:id="0" w:name="_GoBack"/>
      <w:bookmarkEnd w:id="0"/>
      <w:r>
        <w:rPr>
          <w:rFonts w:hint="eastAsia" w:ascii="仿宋_GB2312" w:hAnsi="宋体" w:eastAsia="仿宋_GB2312"/>
          <w:sz w:val="28"/>
          <w:szCs w:val="28"/>
        </w:rPr>
        <w:t>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14:textFill>
            <w14:solidFill>
              <w14:schemeClr w14:val="tx1"/>
            </w14:solidFill>
          </w14:textFill>
        </w:rPr>
        <w:t>合成树脂乳液内墙涂料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在容器中状态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18582-2020</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GB/T 9756-2018</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施工性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低温稳定性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低温成膜性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9756-2018</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涂膜外观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干燥时间（表干）</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耐碱性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9265-2009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抗泛碱性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对比率</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23981-2009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耐洗刷性</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9266-2009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9756-2018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VOC含量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23986-2009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甲醛含量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23993-2009</w:t>
            </w:r>
          </w:p>
        </w:tc>
      </w:tr>
    </w:tbl>
    <w:p>
      <w:pPr>
        <w:spacing w:before="100" w:beforeAutospacing="1" w:after="100" w:afterAutospacing="1"/>
        <w:contextualSpacing/>
        <w:jc w:val="center"/>
        <w:rPr>
          <w:rFonts w:hint="eastAsia" w:ascii="仿宋" w:hAnsi="仿宋" w:eastAsia="仿宋" w:cs="仿宋"/>
          <w:bCs/>
          <w:kern w:val="0"/>
          <w:szCs w:val="21"/>
          <w:lang w:eastAsia="zh-CN"/>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bCs/>
          <w:kern w:val="0"/>
          <w:szCs w:val="21"/>
          <w:lang w:val="en-US" w:eastAsia="zh-CN"/>
        </w:rPr>
        <w:t>3</w:t>
      </w:r>
      <w:r>
        <w:rPr>
          <w:rFonts w:hint="eastAsia" w:ascii="仿宋" w:hAnsi="仿宋" w:eastAsia="仿宋" w:cs="仿宋"/>
          <w:bCs/>
          <w:kern w:val="0"/>
          <w:szCs w:val="21"/>
        </w:rPr>
        <w:t>合成树脂乳液外墙涂料</w:t>
      </w:r>
    </w:p>
    <w:tbl>
      <w:tblPr>
        <w:tblStyle w:val="9"/>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容器中状态</w:t>
            </w:r>
          </w:p>
        </w:tc>
        <w:tc>
          <w:tcPr>
            <w:tcW w:w="2310" w:type="dxa"/>
            <w:vMerge w:val="restart"/>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GB/T 9755-2014</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GB 18582-2020</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施工性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低温稳定性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9268-2008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涂膜外观</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干燥时间</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1728-1979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耐碱性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9265-2009</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9755-2014</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耐水性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1733-1993</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9755-2014</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GB/T 1766-2008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对比率</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23981.1-2019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耐洗刷性</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9755-2014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VOC含量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23986-2009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甲醛含量</w:t>
            </w:r>
          </w:p>
        </w:tc>
        <w:tc>
          <w:tcPr>
            <w:tcW w:w="2310" w:type="dxa"/>
            <w:vMerge w:val="continue"/>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23993-2009</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C3DE6"/>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8705141"/>
    <w:rsid w:val="0A401166"/>
    <w:rsid w:val="0E9D78D8"/>
    <w:rsid w:val="0FAA5A14"/>
    <w:rsid w:val="1DB146C7"/>
    <w:rsid w:val="1DE41839"/>
    <w:rsid w:val="25725A7D"/>
    <w:rsid w:val="29621FF4"/>
    <w:rsid w:val="2D397142"/>
    <w:rsid w:val="2F6F34DE"/>
    <w:rsid w:val="323F5720"/>
    <w:rsid w:val="32F00F21"/>
    <w:rsid w:val="423D1FE7"/>
    <w:rsid w:val="43285D3E"/>
    <w:rsid w:val="4757545E"/>
    <w:rsid w:val="47A66D96"/>
    <w:rsid w:val="4B275459"/>
    <w:rsid w:val="505B3D74"/>
    <w:rsid w:val="50774392"/>
    <w:rsid w:val="557A53C9"/>
    <w:rsid w:val="56A725B8"/>
    <w:rsid w:val="5D7209DD"/>
    <w:rsid w:val="60BD0047"/>
    <w:rsid w:val="61657658"/>
    <w:rsid w:val="64392943"/>
    <w:rsid w:val="65704D44"/>
    <w:rsid w:val="65E329B5"/>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2"/>
    <w:unhideWhenUsed/>
    <w:qFormat/>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table" w:styleId="9">
    <w:name w:val="Table Grid"/>
    <w:basedOn w:val="8"/>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basedOn w:val="10"/>
    <w:link w:val="6"/>
    <w:qFormat/>
    <w:uiPriority w:val="99"/>
    <w:rPr>
      <w:rFonts w:ascii="Calibri" w:hAnsi="Calibri" w:eastAsia="宋体" w:cs="Times New Roman"/>
      <w:sz w:val="18"/>
      <w:szCs w:val="18"/>
    </w:rPr>
  </w:style>
  <w:style w:type="character" w:customStyle="1" w:styleId="12">
    <w:name w:val="页脚 字符"/>
    <w:basedOn w:val="10"/>
    <w:link w:val="5"/>
    <w:qFormat/>
    <w:uiPriority w:val="99"/>
    <w:rPr>
      <w:rFonts w:ascii="Calibri" w:hAnsi="Calibri" w:eastAsia="宋体" w:cs="Times New Roman"/>
      <w:sz w:val="18"/>
      <w:szCs w:val="18"/>
    </w:rPr>
  </w:style>
  <w:style w:type="paragraph" w:styleId="13">
    <w:name w:val="List Paragraph"/>
    <w:basedOn w:val="1"/>
    <w:qFormat/>
    <w:uiPriority w:val="34"/>
    <w:pPr>
      <w:ind w:firstLine="420" w:firstLineChars="200"/>
    </w:pPr>
  </w:style>
  <w:style w:type="paragraph" w:customStyle="1" w:styleId="14">
    <w:name w:val="_Style 3"/>
    <w:basedOn w:val="1"/>
    <w:qFormat/>
    <w:uiPriority w:val="0"/>
    <w:pPr>
      <w:ind w:firstLine="200" w:firstLineChars="200"/>
    </w:pPr>
    <w:rPr>
      <w:rFonts w:ascii="Times New Roman" w:hAnsi="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2024-07-22T03:18:15Z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FC84692D25454E30BB8D43B32293A14E_13</vt:lpwstr>
  </property>
</Properties>
</file>