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木制家具</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木制家具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轻工产品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木制家具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木制家具</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3324</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2017 木家具通用技术条件</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18584</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2001 室内装饰装修材料木家具中有害物质限量</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2件</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1件</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1件</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2木质家具</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表面理化性能-漆膜</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耐液性</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3324</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2017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18584</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2001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4893.1-2021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耐湿热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4893.2-2020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耐干热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4893.3-2020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附着力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4893.4-2013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4893.8-2013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抗冲击</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4893.9-2013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表面理化性能-软、硬质覆面</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耐冷热循环</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耐干热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耐湿热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表面耐磨性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抗冲击</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4893.9-2013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结构安全性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3324-2017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甲醛释放量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18584-2001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重金属含量（限色漆）</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可溶性铅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18584-2001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可溶性镉</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18584-2001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可溶性铬</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18584-2001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17</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可溶性汞</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18584-2001</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B146C7"/>
    <w:rsid w:val="1DE41839"/>
    <w:rsid w:val="25725A7D"/>
    <w:rsid w:val="29621FF4"/>
    <w:rsid w:val="2D397142"/>
    <w:rsid w:val="2F6F34DE"/>
    <w:rsid w:val="323F5720"/>
    <w:rsid w:val="423D1FE7"/>
    <w:rsid w:val="43285D3E"/>
    <w:rsid w:val="4757545E"/>
    <w:rsid w:val="47A66D96"/>
    <w:rsid w:val="4B275459"/>
    <w:rsid w:val="505B3D74"/>
    <w:rsid w:val="50774392"/>
    <w:rsid w:val="557A53C9"/>
    <w:rsid w:val="56A725B8"/>
    <w:rsid w:val="60BD0047"/>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2024-07-18T09:49:34Z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E38091FF98A449D7BABA95B02A07B04B_13</vt:lpwstr>
  </property>
</Properties>
</file>