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建筑防水卷材</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建筑防水卷材</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建筑防水材料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建筑防水卷材</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rPr>
              <w:t>弹性体、塑性体改性沥青防水卷材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建筑防水材料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建筑防水卷材</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高分子防水卷材</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建筑</w:t>
      </w:r>
      <w:r>
        <w:rPr>
          <w:rFonts w:hint="eastAsia" w:ascii="仿宋_GB2312" w:hAnsi="宋体" w:eastAsia="仿宋_GB2312" w:cs="Times New Roman"/>
          <w:sz w:val="28"/>
          <w:szCs w:val="28"/>
          <w:lang w:eastAsia="zh-CN"/>
        </w:rPr>
        <w:t>防水卷材</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弹性体改性沥青防水卷材</w:t>
      </w:r>
      <w:r>
        <w:rPr>
          <w:rFonts w:hint="eastAsia" w:ascii="仿宋_GB2312" w:hAnsi="宋体" w:eastAsia="仿宋_GB2312" w:cs="Times New Roman"/>
          <w:sz w:val="28"/>
          <w:szCs w:val="28"/>
          <w:lang w:val="en-US" w:eastAsia="zh-CN"/>
        </w:rPr>
        <w:t>、预铺防水卷材、高分子防水卷材料片材</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default" w:ascii="仿宋_GB2312" w:hAnsi="宋体" w:eastAsia="仿宋_GB2312" w:cs="Times New Roman"/>
          <w:sz w:val="28"/>
          <w:szCs w:val="28"/>
          <w:highlight w:val="none"/>
        </w:rPr>
        <w:t>GB 175</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2023 通用硅酸盐</w:t>
      </w:r>
      <w:r>
        <w:rPr>
          <w:rFonts w:hint="eastAsia" w:ascii="仿宋_GB2312" w:hAnsi="宋体" w:eastAsia="仿宋_GB2312" w:cs="Times New Roman"/>
          <w:sz w:val="28"/>
          <w:szCs w:val="28"/>
          <w:highlight w:val="none"/>
          <w:lang w:eastAsia="zh-CN"/>
        </w:rPr>
        <w:t>建筑防水卷材</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default" w:ascii="仿宋_GB2312" w:hAnsi="宋体" w:eastAsia="仿宋_GB2312" w:cs="Times New Roman"/>
          <w:sz w:val="28"/>
          <w:szCs w:val="28"/>
          <w:highlight w:val="none"/>
        </w:rPr>
        <w:t>GB 175</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2007 通用硅酸盐</w:t>
      </w:r>
      <w:r>
        <w:rPr>
          <w:rFonts w:hint="eastAsia" w:ascii="仿宋_GB2312" w:hAnsi="宋体" w:eastAsia="仿宋_GB2312" w:cs="Times New Roman"/>
          <w:sz w:val="28"/>
          <w:szCs w:val="28"/>
          <w:highlight w:val="none"/>
          <w:lang w:eastAsia="zh-CN"/>
        </w:rPr>
        <w:t>建筑防水卷材</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default" w:ascii="仿宋_GB2312" w:hAnsi="宋体" w:eastAsia="仿宋_GB2312" w:cs="Times New Roman"/>
          <w:sz w:val="28"/>
          <w:szCs w:val="28"/>
          <w:highlight w:val="none"/>
        </w:rPr>
        <w:fldChar w:fldCharType="begin"/>
      </w:r>
      <w:r>
        <w:rPr>
          <w:rFonts w:hint="default" w:ascii="仿宋_GB2312" w:hAnsi="宋体" w:eastAsia="仿宋_GB2312" w:cs="Times New Roman"/>
          <w:sz w:val="28"/>
          <w:szCs w:val="28"/>
          <w:highlight w:val="none"/>
        </w:rPr>
        <w:instrText xml:space="preserve">HYPERLINK "javascript:__doPostBack('ctl00$ctl00$ContentPlaceHolder1$ContentPlaceHolder1$rptStandard$ctl00$lbtnDetail','')" \o "点击查看标准详细信息"</w:instrText>
      </w:r>
      <w:r>
        <w:rPr>
          <w:rFonts w:hint="default" w:ascii="仿宋_GB2312" w:hAnsi="宋体" w:eastAsia="仿宋_GB2312" w:cs="Times New Roman"/>
          <w:sz w:val="28"/>
          <w:szCs w:val="28"/>
          <w:highlight w:val="none"/>
        </w:rPr>
        <w:fldChar w:fldCharType="separate"/>
      </w:r>
      <w:r>
        <w:rPr>
          <w:rFonts w:hint="default" w:ascii="仿宋_GB2312" w:hAnsi="宋体" w:eastAsia="仿宋_GB2312" w:cs="Times New Roman"/>
          <w:sz w:val="28"/>
          <w:szCs w:val="28"/>
          <w:highlight w:val="none"/>
        </w:rPr>
        <w:t>GB/T 3183</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2017</w:t>
      </w:r>
      <w:r>
        <w:rPr>
          <w:rFonts w:hint="default" w:ascii="仿宋_GB2312" w:hAnsi="宋体" w:eastAsia="仿宋_GB2312" w:cs="Times New Roman"/>
          <w:sz w:val="28"/>
          <w:szCs w:val="28"/>
          <w:highlight w:val="none"/>
        </w:rPr>
        <w:fldChar w:fldCharType="end"/>
      </w:r>
      <w:r>
        <w:rPr>
          <w:rFonts w:hint="default" w:ascii="仿宋_GB2312" w:hAnsi="宋体" w:eastAsia="仿宋_GB2312" w:cs="Times New Roman"/>
          <w:sz w:val="28"/>
          <w:szCs w:val="28"/>
          <w:highlight w:val="none"/>
        </w:rPr>
        <w:t xml:space="preserve"> 砌筑</w:t>
      </w:r>
      <w:r>
        <w:rPr>
          <w:rFonts w:hint="eastAsia" w:ascii="仿宋_GB2312" w:hAnsi="宋体" w:eastAsia="仿宋_GB2312" w:cs="Times New Roman"/>
          <w:sz w:val="28"/>
          <w:szCs w:val="28"/>
          <w:highlight w:val="none"/>
          <w:lang w:eastAsia="zh-CN"/>
        </w:rPr>
        <w:t>建筑防水卷材</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fldChar w:fldCharType="begin"/>
      </w:r>
      <w:r>
        <w:rPr>
          <w:rFonts w:hint="default" w:ascii="仿宋_GB2312" w:hAnsi="宋体" w:eastAsia="仿宋_GB2312" w:cs="Times New Roman"/>
          <w:sz w:val="28"/>
          <w:szCs w:val="28"/>
          <w:highlight w:val="none"/>
        </w:rPr>
        <w:instrText xml:space="preserve">HYPERLINK "javascript:__doPostBack('ctl00$ctl00$ContentPlaceHolder1$ContentPlaceHolder1$rptStandard$ctl00$lbtnDetail','')" \o "点击查看标准详细信息"</w:instrText>
      </w:r>
      <w:r>
        <w:rPr>
          <w:rFonts w:hint="default" w:ascii="仿宋_GB2312" w:hAnsi="宋体" w:eastAsia="仿宋_GB2312" w:cs="Times New Roman"/>
          <w:sz w:val="28"/>
          <w:szCs w:val="28"/>
          <w:highlight w:val="none"/>
        </w:rPr>
        <w:fldChar w:fldCharType="separate"/>
      </w:r>
      <w:r>
        <w:rPr>
          <w:rFonts w:hint="default" w:ascii="仿宋_GB2312" w:hAnsi="宋体" w:eastAsia="仿宋_GB2312" w:cs="Times New Roman"/>
          <w:sz w:val="28"/>
          <w:szCs w:val="28"/>
          <w:highlight w:val="none"/>
        </w:rPr>
        <w:t>GB 6566</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2010</w:t>
      </w:r>
      <w:r>
        <w:rPr>
          <w:rFonts w:hint="default" w:ascii="仿宋_GB2312" w:hAnsi="宋体" w:eastAsia="仿宋_GB2312" w:cs="Times New Roman"/>
          <w:sz w:val="28"/>
          <w:szCs w:val="28"/>
          <w:highlight w:val="none"/>
        </w:rPr>
        <w:fldChar w:fldCharType="end"/>
      </w:r>
      <w:r>
        <w:rPr>
          <w:rFonts w:hint="default" w:ascii="仿宋_GB2312" w:hAnsi="宋体" w:eastAsia="仿宋_GB2312" w:cs="Times New Roman"/>
          <w:sz w:val="28"/>
          <w:szCs w:val="28"/>
          <w:highlight w:val="none"/>
        </w:rPr>
        <w:t xml:space="preserve"> 建筑材料放射性核素限量</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fldChar w:fldCharType="begin"/>
      </w:r>
      <w:r>
        <w:rPr>
          <w:rFonts w:hint="default" w:ascii="仿宋_GB2312" w:hAnsi="宋体" w:eastAsia="仿宋_GB2312" w:cs="Times New Roman"/>
          <w:sz w:val="28"/>
          <w:szCs w:val="28"/>
          <w:highlight w:val="none"/>
        </w:rPr>
        <w:instrText xml:space="preserve">HYPERLINK "javascript:__doPostBack('ctl00$ctl00$ContentPlaceHolder1$ContentPlaceHolder1$rptStandard$ctl00$lbtnDetail','')" \o "点击查看标准详细信息"</w:instrText>
      </w:r>
      <w:r>
        <w:rPr>
          <w:rFonts w:hint="default" w:ascii="仿宋_GB2312" w:hAnsi="宋体" w:eastAsia="仿宋_GB2312" w:cs="Times New Roman"/>
          <w:sz w:val="28"/>
          <w:szCs w:val="28"/>
          <w:highlight w:val="none"/>
        </w:rPr>
        <w:fldChar w:fldCharType="separate"/>
      </w:r>
      <w:r>
        <w:rPr>
          <w:rFonts w:hint="default" w:ascii="仿宋_GB2312" w:hAnsi="宋体" w:eastAsia="仿宋_GB2312" w:cs="Times New Roman"/>
          <w:sz w:val="28"/>
          <w:szCs w:val="28"/>
          <w:highlight w:val="none"/>
        </w:rPr>
        <w:t>GB 31893</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2015</w:t>
      </w:r>
      <w:r>
        <w:rPr>
          <w:rFonts w:hint="default" w:ascii="仿宋_GB2312" w:hAnsi="宋体" w:eastAsia="仿宋_GB2312" w:cs="Times New Roman"/>
          <w:sz w:val="28"/>
          <w:szCs w:val="28"/>
          <w:highlight w:val="none"/>
        </w:rPr>
        <w:fldChar w:fldCharType="end"/>
      </w:r>
      <w:r>
        <w:rPr>
          <w:rFonts w:hint="default" w:ascii="仿宋_GB2312" w:hAnsi="宋体" w:eastAsia="仿宋_GB2312" w:cs="Times New Roman"/>
          <w:sz w:val="28"/>
          <w:szCs w:val="28"/>
          <w:highlight w:val="none"/>
        </w:rPr>
        <w:t xml:space="preserve"> </w:t>
      </w:r>
      <w:r>
        <w:rPr>
          <w:rFonts w:hint="eastAsia" w:ascii="仿宋_GB2312" w:hAnsi="宋体" w:eastAsia="仿宋_GB2312" w:cs="Times New Roman"/>
          <w:sz w:val="28"/>
          <w:szCs w:val="28"/>
          <w:highlight w:val="none"/>
          <w:lang w:eastAsia="zh-CN"/>
        </w:rPr>
        <w:t>建筑防水卷材</w:t>
      </w:r>
      <w:r>
        <w:rPr>
          <w:rFonts w:hint="default" w:ascii="仿宋_GB2312" w:hAnsi="宋体" w:eastAsia="仿宋_GB2312" w:cs="Times New Roman"/>
          <w:sz w:val="28"/>
          <w:szCs w:val="28"/>
          <w:highlight w:val="none"/>
        </w:rPr>
        <w:t>中水溶性铬(Ⅵ)的限量及测定方法</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default" w:ascii="仿宋_GB2312" w:hAnsi="宋体" w:eastAsia="仿宋_GB2312" w:cs="Times New Roman"/>
          <w:sz w:val="28"/>
          <w:szCs w:val="28"/>
        </w:rPr>
      </w:pPr>
      <w:r>
        <w:rPr>
          <w:rFonts w:hint="default" w:ascii="仿宋_GB2312" w:hAnsi="宋体" w:eastAsia="仿宋_GB2312" w:cs="Times New Roman"/>
          <w:sz w:val="28"/>
          <w:szCs w:val="28"/>
        </w:rPr>
        <w:t>每批次抽样数量见表</w:t>
      </w:r>
      <w:r>
        <w:rPr>
          <w:rFonts w:hint="eastAsia" w:ascii="仿宋_GB2312" w:hAnsi="宋体" w:eastAsia="仿宋_GB2312" w:cs="Times New Roman"/>
          <w:sz w:val="28"/>
          <w:szCs w:val="28"/>
          <w:lang w:val="en-US" w:eastAsia="zh-CN"/>
        </w:rPr>
        <w:t>2</w:t>
      </w:r>
      <w:r>
        <w:rPr>
          <w:rFonts w:hint="default" w:ascii="仿宋_GB2312" w:hAnsi="宋体" w:eastAsia="仿宋_GB2312" w:cs="Times New Roman"/>
          <w:sz w:val="28"/>
          <w:szCs w:val="28"/>
        </w:rPr>
        <w:t>。</w:t>
      </w:r>
    </w:p>
    <w:p>
      <w:pPr>
        <w:snapToGrid w:val="0"/>
        <w:spacing w:line="440" w:lineRule="exact"/>
        <w:ind w:firstLine="420" w:firstLineChars="200"/>
        <w:jc w:val="center"/>
        <w:rPr>
          <w:rFonts w:hint="default" w:ascii="Times New Roman" w:hAnsi="Times New Roman" w:cs="Times New Roman"/>
          <w:szCs w:val="21"/>
        </w:rPr>
      </w:pPr>
      <w:r>
        <w:rPr>
          <w:rFonts w:hint="default"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2</w:t>
      </w:r>
      <w:r>
        <w:rPr>
          <w:rFonts w:hint="default" w:ascii="宋体" w:hAnsi="宋体" w:eastAsia="宋体" w:cs="宋体"/>
          <w:color w:val="000000" w:themeColor="text1"/>
          <w:szCs w:val="21"/>
          <w14:textFill>
            <w14:solidFill>
              <w14:schemeClr w14:val="tx1"/>
            </w14:solidFill>
          </w14:textFill>
        </w:rPr>
        <w:t xml:space="preserve"> 抽取样品数量</w:t>
      </w:r>
    </w:p>
    <w:tbl>
      <w:tblPr>
        <w:tblStyle w:val="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972"/>
        <w:gridCol w:w="1614"/>
        <w:gridCol w:w="2000"/>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序号</w:t>
            </w:r>
          </w:p>
        </w:tc>
        <w:tc>
          <w:tcPr>
            <w:tcW w:w="2972"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产品品种</w:t>
            </w:r>
          </w:p>
        </w:tc>
        <w:tc>
          <w:tcPr>
            <w:tcW w:w="1614"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抽样数量（m）</w:t>
            </w:r>
          </w:p>
        </w:tc>
        <w:tc>
          <w:tcPr>
            <w:tcW w:w="2000"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检验样品数量（m）</w:t>
            </w:r>
          </w:p>
        </w:tc>
        <w:tc>
          <w:tcPr>
            <w:tcW w:w="1935"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备用样品数量（m）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1</w:t>
            </w:r>
          </w:p>
        </w:tc>
        <w:tc>
          <w:tcPr>
            <w:tcW w:w="2972"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弹性体改性沥青防水卷材</w:t>
            </w:r>
          </w:p>
        </w:tc>
        <w:tc>
          <w:tcPr>
            <w:tcW w:w="1614"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5.0</w:t>
            </w:r>
          </w:p>
        </w:tc>
        <w:tc>
          <w:tcPr>
            <w:tcW w:w="2000"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2.5</w:t>
            </w:r>
          </w:p>
        </w:tc>
        <w:tc>
          <w:tcPr>
            <w:tcW w:w="1935"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2</w:t>
            </w:r>
          </w:p>
        </w:tc>
        <w:tc>
          <w:tcPr>
            <w:tcW w:w="2972"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预铺防水卷材</w:t>
            </w:r>
          </w:p>
        </w:tc>
        <w:tc>
          <w:tcPr>
            <w:tcW w:w="1614"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8.0</w:t>
            </w:r>
          </w:p>
        </w:tc>
        <w:tc>
          <w:tcPr>
            <w:tcW w:w="2000"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4.0</w:t>
            </w:r>
          </w:p>
        </w:tc>
        <w:tc>
          <w:tcPr>
            <w:tcW w:w="1935"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3</w:t>
            </w:r>
          </w:p>
        </w:tc>
        <w:tc>
          <w:tcPr>
            <w:tcW w:w="2972"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高分子防水材料</w:t>
            </w:r>
            <w:r>
              <w:rPr>
                <w:rFonts w:hint="eastAsia" w:ascii="宋体" w:hAnsi="宋体" w:eastAsia="宋体" w:cs="宋体"/>
                <w:kern w:val="0"/>
                <w:szCs w:val="21"/>
                <w:lang w:eastAsia="zh-CN"/>
              </w:rPr>
              <w:t>-</w:t>
            </w:r>
            <w:r>
              <w:rPr>
                <w:rFonts w:hint="default" w:ascii="宋体" w:hAnsi="宋体" w:eastAsia="宋体" w:cs="宋体"/>
                <w:kern w:val="0"/>
                <w:szCs w:val="21"/>
              </w:rPr>
              <w:t xml:space="preserve">片材 </w:t>
            </w:r>
          </w:p>
        </w:tc>
        <w:tc>
          <w:tcPr>
            <w:tcW w:w="1614"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6.0</w:t>
            </w:r>
          </w:p>
        </w:tc>
        <w:tc>
          <w:tcPr>
            <w:tcW w:w="2000"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3.0</w:t>
            </w:r>
          </w:p>
        </w:tc>
        <w:tc>
          <w:tcPr>
            <w:tcW w:w="1935" w:type="dxa"/>
            <w:noWrap w:val="0"/>
            <w:vAlign w:val="center"/>
          </w:tcPr>
          <w:p>
            <w:pPr>
              <w:spacing w:before="100" w:beforeAutospacing="1" w:after="100" w:afterAutospacing="1"/>
              <w:contextualSpacing/>
              <w:jc w:val="center"/>
              <w:rPr>
                <w:rFonts w:hint="default" w:ascii="宋体" w:hAnsi="宋体" w:eastAsia="宋体" w:cs="宋体"/>
                <w:kern w:val="0"/>
                <w:szCs w:val="21"/>
              </w:rPr>
            </w:pPr>
            <w:r>
              <w:rPr>
                <w:rFonts w:hint="default" w:ascii="宋体" w:hAnsi="宋体" w:eastAsia="宋体" w:cs="宋体"/>
                <w:kern w:val="0"/>
                <w:szCs w:val="21"/>
              </w:rPr>
              <w:t>3.0</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default" w:ascii="仿宋" w:hAnsi="仿宋" w:eastAsia="仿宋" w:cs="仿宋"/>
          <w:color w:val="000000" w:themeColor="text1"/>
          <w:szCs w:val="21"/>
          <w14:textFill>
            <w14:solidFill>
              <w14:schemeClr w14:val="tx1"/>
            </w14:solidFill>
          </w14:textFill>
        </w:rPr>
        <w:t>弹性体改性沥青防水卷材</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1</w:t>
            </w:r>
          </w:p>
        </w:tc>
        <w:tc>
          <w:tcPr>
            <w:tcW w:w="2387" w:type="dxa"/>
            <w:gridSpan w:val="2"/>
            <w:vAlign w:val="top"/>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可溶物含量</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GB 18242</w:t>
            </w:r>
            <w:r>
              <w:rPr>
                <w:rFonts w:hint="eastAsia" w:ascii="仿宋" w:hAnsi="仿宋" w:eastAsia="仿宋" w:cs="仿宋"/>
                <w:bCs/>
                <w:kern w:val="0"/>
                <w:szCs w:val="21"/>
                <w:lang w:eastAsia="zh-CN"/>
              </w:rPr>
              <w:t>-</w:t>
            </w:r>
            <w:r>
              <w:rPr>
                <w:rFonts w:hint="default" w:ascii="仿宋" w:hAnsi="仿宋" w:eastAsia="仿宋" w:cs="仿宋"/>
                <w:bCs/>
                <w:kern w:val="0"/>
                <w:szCs w:val="21"/>
              </w:rPr>
              <w:t>2008</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9" w:type="dxa"/>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2</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耐热性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3</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低温柔性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4</w:t>
            </w:r>
          </w:p>
        </w:tc>
        <w:tc>
          <w:tcPr>
            <w:tcW w:w="2387" w:type="dxa"/>
            <w:gridSpan w:val="2"/>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不透水性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5</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拉力</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6</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延伸率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7</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浸水后质量增加</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18242-2008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759" w:type="dxa"/>
            <w:vMerge w:val="restart"/>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8</w:t>
            </w:r>
          </w:p>
        </w:tc>
        <w:tc>
          <w:tcPr>
            <w:tcW w:w="1193" w:type="dxa"/>
            <w:vMerge w:val="restart"/>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热老化</w:t>
            </w:r>
          </w:p>
        </w:tc>
        <w:tc>
          <w:tcPr>
            <w:tcW w:w="1194" w:type="dxa"/>
            <w:vAlign w:val="center"/>
          </w:tcPr>
          <w:p>
            <w:pPr>
              <w:widowControl/>
              <w:adjustRightInd w:val="0"/>
              <w:snapToGrid w:val="0"/>
              <w:jc w:val="center"/>
              <w:rPr>
                <w:rFonts w:hint="default" w:ascii="仿宋" w:hAnsi="仿宋" w:eastAsia="仿宋" w:cs="仿宋"/>
                <w:bCs/>
                <w:kern w:val="0"/>
                <w:szCs w:val="21"/>
              </w:rPr>
            </w:pPr>
            <w:r>
              <w:rPr>
                <w:rFonts w:hint="default" w:ascii="仿宋" w:hAnsi="仿宋" w:eastAsia="仿宋" w:cs="仿宋"/>
                <w:bCs/>
                <w:kern w:val="0"/>
                <w:szCs w:val="21"/>
              </w:rPr>
              <w:t>拉力保持率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restart"/>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18242-2008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759" w:type="dxa"/>
            <w:vMerge w:val="continue"/>
            <w:vAlign w:val="center"/>
          </w:tcPr>
          <w:p>
            <w:pPr>
              <w:widowControl/>
              <w:adjustRightInd w:val="0"/>
              <w:snapToGrid w:val="0"/>
              <w:jc w:val="center"/>
              <w:rPr>
                <w:rFonts w:hint="eastAsia" w:ascii="仿宋" w:hAnsi="仿宋" w:eastAsia="仿宋" w:cs="仿宋"/>
                <w:bCs/>
                <w:kern w:val="0"/>
                <w:szCs w:val="21"/>
              </w:rPr>
            </w:pPr>
          </w:p>
        </w:tc>
        <w:tc>
          <w:tcPr>
            <w:tcW w:w="1193" w:type="dxa"/>
            <w:vMerge w:val="continue"/>
            <w:vAlign w:val="center"/>
          </w:tcPr>
          <w:p>
            <w:pPr>
              <w:widowControl/>
              <w:adjustRightInd w:val="0"/>
              <w:snapToGrid w:val="0"/>
              <w:jc w:val="center"/>
              <w:rPr>
                <w:rFonts w:hint="eastAsia" w:ascii="仿宋" w:hAnsi="仿宋" w:eastAsia="仿宋" w:cs="仿宋"/>
                <w:bCs/>
                <w:kern w:val="0"/>
                <w:szCs w:val="21"/>
              </w:rPr>
            </w:pPr>
          </w:p>
        </w:tc>
        <w:tc>
          <w:tcPr>
            <w:tcW w:w="1194" w:type="dxa"/>
            <w:vAlign w:val="center"/>
          </w:tcPr>
          <w:p>
            <w:pPr>
              <w:widowControl/>
              <w:adjustRightInd w:val="0"/>
              <w:snapToGrid w:val="0"/>
              <w:jc w:val="center"/>
              <w:rPr>
                <w:rFonts w:hint="default" w:ascii="仿宋" w:hAnsi="仿宋" w:eastAsia="仿宋" w:cs="仿宋"/>
                <w:bCs/>
                <w:kern w:val="0"/>
                <w:szCs w:val="21"/>
              </w:rPr>
            </w:pPr>
            <w:r>
              <w:rPr>
                <w:rFonts w:hint="default" w:ascii="仿宋" w:hAnsi="仿宋" w:eastAsia="仿宋" w:cs="仿宋"/>
                <w:bCs/>
                <w:kern w:val="0"/>
                <w:szCs w:val="21"/>
              </w:rPr>
              <w:t>延伸率保持率</w:t>
            </w:r>
          </w:p>
        </w:tc>
        <w:tc>
          <w:tcPr>
            <w:tcW w:w="2310" w:type="dxa"/>
            <w:vMerge w:val="continue"/>
            <w:tcBorders/>
            <w:vAlign w:val="center"/>
          </w:tcPr>
          <w:p>
            <w:pPr>
              <w:widowControl/>
              <w:adjustRightInd w:val="0"/>
              <w:snapToGrid w:val="0"/>
              <w:jc w:val="center"/>
              <w:rPr>
                <w:rFonts w:hint="default"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default"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759" w:type="dxa"/>
            <w:vMerge w:val="continue"/>
            <w:vAlign w:val="center"/>
          </w:tcPr>
          <w:p>
            <w:pPr>
              <w:widowControl/>
              <w:adjustRightInd w:val="0"/>
              <w:snapToGrid w:val="0"/>
              <w:jc w:val="center"/>
              <w:rPr>
                <w:rFonts w:hint="default" w:ascii="仿宋" w:hAnsi="仿宋" w:eastAsia="仿宋" w:cs="仿宋"/>
                <w:bCs/>
                <w:kern w:val="0"/>
                <w:szCs w:val="21"/>
              </w:rPr>
            </w:pPr>
          </w:p>
        </w:tc>
        <w:tc>
          <w:tcPr>
            <w:tcW w:w="1193" w:type="dxa"/>
            <w:vMerge w:val="continue"/>
            <w:vAlign w:val="center"/>
          </w:tcPr>
          <w:p>
            <w:pPr>
              <w:widowControl/>
              <w:adjustRightInd w:val="0"/>
              <w:snapToGrid w:val="0"/>
              <w:jc w:val="center"/>
              <w:rPr>
                <w:rFonts w:hint="default" w:ascii="仿宋" w:hAnsi="仿宋" w:eastAsia="仿宋" w:cs="仿宋"/>
                <w:bCs/>
                <w:kern w:val="0"/>
                <w:szCs w:val="21"/>
              </w:rPr>
            </w:pPr>
          </w:p>
        </w:tc>
        <w:tc>
          <w:tcPr>
            <w:tcW w:w="1194" w:type="dxa"/>
            <w:vAlign w:val="center"/>
          </w:tcPr>
          <w:p>
            <w:pPr>
              <w:widowControl/>
              <w:adjustRightInd w:val="0"/>
              <w:snapToGrid w:val="0"/>
              <w:jc w:val="center"/>
              <w:rPr>
                <w:rFonts w:hint="default" w:ascii="仿宋" w:hAnsi="仿宋" w:eastAsia="仿宋" w:cs="仿宋"/>
                <w:bCs/>
                <w:kern w:val="0"/>
                <w:szCs w:val="21"/>
              </w:rPr>
            </w:pPr>
            <w:r>
              <w:rPr>
                <w:rFonts w:hint="default" w:ascii="仿宋" w:hAnsi="仿宋" w:eastAsia="仿宋" w:cs="仿宋"/>
                <w:bCs/>
                <w:kern w:val="0"/>
                <w:szCs w:val="21"/>
              </w:rPr>
              <w:t>低温柔性</w:t>
            </w:r>
          </w:p>
        </w:tc>
        <w:tc>
          <w:tcPr>
            <w:tcW w:w="2310" w:type="dxa"/>
            <w:vMerge w:val="continue"/>
            <w:tcBorders/>
            <w:vAlign w:val="center"/>
          </w:tcPr>
          <w:p>
            <w:pPr>
              <w:widowControl/>
              <w:adjustRightInd w:val="0"/>
              <w:snapToGrid w:val="0"/>
              <w:jc w:val="center"/>
              <w:rPr>
                <w:rFonts w:hint="default"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default"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759" w:type="dxa"/>
            <w:vMerge w:val="continue"/>
            <w:vAlign w:val="center"/>
          </w:tcPr>
          <w:p>
            <w:pPr>
              <w:widowControl/>
              <w:adjustRightInd w:val="0"/>
              <w:snapToGrid w:val="0"/>
              <w:jc w:val="center"/>
              <w:rPr>
                <w:rFonts w:hint="default" w:ascii="仿宋" w:hAnsi="仿宋" w:eastAsia="仿宋" w:cs="仿宋"/>
                <w:bCs/>
                <w:kern w:val="0"/>
                <w:szCs w:val="21"/>
              </w:rPr>
            </w:pPr>
          </w:p>
        </w:tc>
        <w:tc>
          <w:tcPr>
            <w:tcW w:w="1193" w:type="dxa"/>
            <w:vMerge w:val="continue"/>
            <w:vAlign w:val="center"/>
          </w:tcPr>
          <w:p>
            <w:pPr>
              <w:widowControl/>
              <w:adjustRightInd w:val="0"/>
              <w:snapToGrid w:val="0"/>
              <w:jc w:val="center"/>
              <w:rPr>
                <w:rFonts w:hint="default" w:ascii="仿宋" w:hAnsi="仿宋" w:eastAsia="仿宋" w:cs="仿宋"/>
                <w:bCs/>
                <w:kern w:val="0"/>
                <w:szCs w:val="21"/>
              </w:rPr>
            </w:pPr>
          </w:p>
        </w:tc>
        <w:tc>
          <w:tcPr>
            <w:tcW w:w="1194" w:type="dxa"/>
            <w:vAlign w:val="center"/>
          </w:tcPr>
          <w:p>
            <w:pPr>
              <w:widowControl/>
              <w:adjustRightInd w:val="0"/>
              <w:snapToGrid w:val="0"/>
              <w:jc w:val="center"/>
              <w:rPr>
                <w:rFonts w:hint="default" w:ascii="仿宋" w:hAnsi="仿宋" w:eastAsia="仿宋" w:cs="仿宋"/>
                <w:bCs/>
                <w:kern w:val="0"/>
                <w:szCs w:val="21"/>
              </w:rPr>
            </w:pPr>
            <w:r>
              <w:rPr>
                <w:rFonts w:hint="default" w:ascii="仿宋" w:hAnsi="仿宋" w:eastAsia="仿宋" w:cs="仿宋"/>
                <w:bCs/>
                <w:kern w:val="0"/>
                <w:szCs w:val="21"/>
              </w:rPr>
              <w:t>尺寸变化率</w:t>
            </w:r>
          </w:p>
        </w:tc>
        <w:tc>
          <w:tcPr>
            <w:tcW w:w="2310" w:type="dxa"/>
            <w:vMerge w:val="continue"/>
            <w:tcBorders/>
            <w:vAlign w:val="center"/>
          </w:tcPr>
          <w:p>
            <w:pPr>
              <w:widowControl/>
              <w:adjustRightInd w:val="0"/>
              <w:snapToGrid w:val="0"/>
              <w:jc w:val="center"/>
              <w:rPr>
                <w:rFonts w:hint="default"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default"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759" w:type="dxa"/>
            <w:vMerge w:val="continue"/>
            <w:vAlign w:val="center"/>
          </w:tcPr>
          <w:p>
            <w:pPr>
              <w:widowControl/>
              <w:adjustRightInd w:val="0"/>
              <w:snapToGrid w:val="0"/>
              <w:jc w:val="center"/>
              <w:rPr>
                <w:rFonts w:hint="default" w:ascii="仿宋" w:hAnsi="仿宋" w:eastAsia="仿宋" w:cs="仿宋"/>
                <w:bCs/>
                <w:kern w:val="0"/>
                <w:szCs w:val="21"/>
              </w:rPr>
            </w:pPr>
          </w:p>
        </w:tc>
        <w:tc>
          <w:tcPr>
            <w:tcW w:w="1193" w:type="dxa"/>
            <w:vMerge w:val="continue"/>
            <w:vAlign w:val="center"/>
          </w:tcPr>
          <w:p>
            <w:pPr>
              <w:widowControl/>
              <w:adjustRightInd w:val="0"/>
              <w:snapToGrid w:val="0"/>
              <w:jc w:val="center"/>
              <w:rPr>
                <w:rFonts w:hint="default" w:ascii="仿宋" w:hAnsi="仿宋" w:eastAsia="仿宋" w:cs="仿宋"/>
                <w:bCs/>
                <w:kern w:val="0"/>
                <w:szCs w:val="21"/>
              </w:rPr>
            </w:pPr>
          </w:p>
        </w:tc>
        <w:tc>
          <w:tcPr>
            <w:tcW w:w="1194" w:type="dxa"/>
            <w:vAlign w:val="center"/>
          </w:tcPr>
          <w:p>
            <w:pPr>
              <w:widowControl/>
              <w:adjustRightInd w:val="0"/>
              <w:snapToGrid w:val="0"/>
              <w:jc w:val="center"/>
              <w:rPr>
                <w:rFonts w:hint="default" w:ascii="仿宋" w:hAnsi="仿宋" w:eastAsia="仿宋" w:cs="仿宋"/>
                <w:bCs/>
                <w:kern w:val="0"/>
                <w:szCs w:val="21"/>
              </w:rPr>
            </w:pPr>
            <w:r>
              <w:rPr>
                <w:rFonts w:hint="default" w:ascii="仿宋" w:hAnsi="仿宋" w:eastAsia="仿宋" w:cs="仿宋"/>
                <w:bCs/>
                <w:kern w:val="0"/>
                <w:szCs w:val="21"/>
              </w:rPr>
              <w:t>质量损失</w:t>
            </w:r>
          </w:p>
        </w:tc>
        <w:tc>
          <w:tcPr>
            <w:tcW w:w="2310" w:type="dxa"/>
            <w:vMerge w:val="continue"/>
            <w:tcBorders/>
            <w:vAlign w:val="center"/>
          </w:tcPr>
          <w:p>
            <w:pPr>
              <w:widowControl/>
              <w:adjustRightInd w:val="0"/>
              <w:snapToGrid w:val="0"/>
              <w:jc w:val="center"/>
              <w:rPr>
                <w:rFonts w:hint="default"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default"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9</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渗油性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18242-2008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10</w:t>
            </w:r>
          </w:p>
        </w:tc>
        <w:tc>
          <w:tcPr>
            <w:tcW w:w="2387" w:type="dxa"/>
            <w:gridSpan w:val="2"/>
            <w:vAlign w:val="center"/>
          </w:tcPr>
          <w:p>
            <w:pPr>
              <w:widowControl/>
              <w:adjustRightInd w:val="0"/>
              <w:snapToGrid w:val="0"/>
              <w:jc w:val="center"/>
              <w:rPr>
                <w:rFonts w:hint="eastAsia" w:ascii="仿宋" w:hAnsi="仿宋" w:eastAsia="仿宋" w:cs="仿宋"/>
                <w:bCs/>
                <w:kern w:val="0"/>
                <w:szCs w:val="21"/>
              </w:rPr>
            </w:pPr>
            <w:r>
              <w:rPr>
                <w:rFonts w:hint="default" w:ascii="仿宋" w:hAnsi="仿宋" w:eastAsia="仿宋" w:cs="仿宋"/>
                <w:bCs/>
                <w:kern w:val="0"/>
                <w:szCs w:val="21"/>
              </w:rPr>
              <w:t>接缝剥离强度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328.20-2007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w:t>
      </w:r>
      <w:r>
        <w:rPr>
          <w:rFonts w:hint="default" w:ascii="仿宋" w:hAnsi="仿宋" w:eastAsia="仿宋" w:cs="仿宋"/>
          <w:color w:val="000000" w:themeColor="text1"/>
          <w:szCs w:val="21"/>
          <w14:textFill>
            <w14:solidFill>
              <w14:schemeClr w14:val="tx1"/>
            </w14:solidFill>
          </w14:textFill>
        </w:rPr>
        <w:t>预铺防水卷材</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可溶物含量</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23457</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2017</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759"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拉伸性能</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328.8-2007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759" w:type="dxa"/>
            <w:vMerge w:val="continue"/>
            <w:vAlign w:val="center"/>
          </w:tcPr>
          <w:p>
            <w:pPr>
              <w:widowControl/>
              <w:adjustRightInd w:val="0"/>
              <w:snapToGrid w:val="0"/>
              <w:ind w:left="122" w:leftChars="58"/>
              <w:jc w:val="cente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拉伸强度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759"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膜断裂伸长率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759"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最大拉力时伸长率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759"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拉伸时现象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钉杆撕裂强度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328.18-2007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抗冲击性能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12952-2011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抗静态荷载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328.25-2007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6</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耐热性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7</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低温弯折性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8</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低温柔性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9</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渗油性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10</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不透水性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与后浇混凝土剥离强度</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无处理</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continue"/>
            <w:vAlign w:val="center"/>
          </w:tcPr>
          <w:p>
            <w:pPr>
              <w:widowControl/>
              <w:adjustRightInd w:val="0"/>
              <w:snapToGrid w:val="0"/>
              <w:ind w:left="122" w:leftChars="58"/>
              <w:jc w:val="cente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浸水处理</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泥沙污染表面</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热处理</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热老化</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拉力保持率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continue"/>
            <w:vAlign w:val="center"/>
          </w:tcPr>
          <w:p>
            <w:pPr>
              <w:widowControl/>
              <w:adjustRightInd w:val="0"/>
              <w:snapToGrid w:val="0"/>
              <w:ind w:left="122" w:leftChars="58"/>
              <w:jc w:val="cente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伸长率保持率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低温弯折性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59"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低温柔性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尺寸变化率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23457-2017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w:t>
      </w:r>
      <w:r>
        <w:rPr>
          <w:rFonts w:hint="default" w:ascii="仿宋" w:hAnsi="仿宋" w:eastAsia="仿宋" w:cs="仿宋"/>
          <w:color w:val="000000" w:themeColor="text1"/>
          <w:szCs w:val="21"/>
          <w14:textFill>
            <w14:solidFill>
              <w14:schemeClr w14:val="tx1"/>
            </w14:solidFill>
          </w14:textFill>
        </w:rPr>
        <w:t>高分子防水材料-片材</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1</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拉伸强度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18173.1</w:t>
            </w:r>
            <w:r>
              <w:rPr>
                <w:rFonts w:hint="eastAsia" w:ascii="仿宋" w:hAnsi="仿宋" w:eastAsia="仿宋" w:cs="仿宋"/>
                <w:bCs/>
                <w:iCs/>
                <w:kern w:val="0"/>
                <w:szCs w:val="21"/>
                <w:lang w:eastAsia="zh-CN"/>
              </w:rPr>
              <w:t>-</w:t>
            </w:r>
            <w:r>
              <w:rPr>
                <w:rFonts w:hint="default" w:ascii="仿宋" w:hAnsi="仿宋" w:eastAsia="仿宋" w:cs="仿宋"/>
                <w:bCs/>
                <w:iCs/>
                <w:kern w:val="0"/>
                <w:szCs w:val="21"/>
              </w:rPr>
              <w:t>2012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528-2009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2</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拉断伸长率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528-2009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3</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撕裂强度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4</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不透水性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5</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低温弯折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6</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加热伸缩量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lang w:val="en-US" w:eastAsia="zh-CN"/>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9" w:type="dxa"/>
            <w:vMerge w:val="restart"/>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7</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热空气老化</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拉伸强度保持率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9" w:type="dxa"/>
            <w:vMerge w:val="continue"/>
            <w:vAlign w:val="center"/>
          </w:tcPr>
          <w:p>
            <w:pPr>
              <w:widowControl/>
              <w:adjustRightInd w:val="0"/>
              <w:snapToGrid w:val="0"/>
              <w:jc w:val="center"/>
            </w:pPr>
          </w:p>
        </w:tc>
        <w:tc>
          <w:tcPr>
            <w:tcW w:w="1193"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拉断伸长率保持率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8</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耐碱性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9</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复合强度(FS2型表层与芯层)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18173.1-2012</w:t>
            </w:r>
          </w:p>
        </w:tc>
      </w:tr>
    </w:tbl>
    <w:p>
      <w:pPr>
        <w:widowControl/>
        <w:adjustRightInd w:val="0"/>
        <w:snapToGrid w:val="0"/>
        <w:jc w:val="center"/>
        <w:rPr>
          <w:rFonts w:hint="eastAsia" w:ascii="仿宋" w:hAnsi="仿宋" w:eastAsia="仿宋" w:cs="仿宋"/>
          <w:b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8705141"/>
    <w:rsid w:val="0A401166"/>
    <w:rsid w:val="0E9D78D8"/>
    <w:rsid w:val="0FAA5A14"/>
    <w:rsid w:val="1DE41839"/>
    <w:rsid w:val="25725A7D"/>
    <w:rsid w:val="29621FF4"/>
    <w:rsid w:val="2D397142"/>
    <w:rsid w:val="2F6F34DE"/>
    <w:rsid w:val="323F5720"/>
    <w:rsid w:val="423D1FE7"/>
    <w:rsid w:val="4757545E"/>
    <w:rsid w:val="47A66D96"/>
    <w:rsid w:val="4B275459"/>
    <w:rsid w:val="505B3D74"/>
    <w:rsid w:val="50774392"/>
    <w:rsid w:val="557A53C9"/>
    <w:rsid w:val="56A725B8"/>
    <w:rsid w:val="60BD0047"/>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8</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2024-07-18T09:09:00Z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720A7F98EE3F48D58405D6B5BA40129E_13</vt:lpwstr>
  </property>
</Properties>
</file>