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水泥</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水泥</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建筑用材料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水泥</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rPr>
              <w:t>通用硅酸盐水泥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建筑用材料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水泥</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砌筑水泥</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水</w:t>
      </w:r>
      <w:r>
        <w:rPr>
          <w:rFonts w:hint="eastAsia" w:ascii="仿宋_GB2312" w:hAnsi="宋体" w:eastAsia="仿宋_GB2312" w:cs="Times New Roman"/>
          <w:sz w:val="28"/>
          <w:szCs w:val="28"/>
          <w:lang w:eastAsia="zh-CN"/>
        </w:rPr>
        <w:t>泥</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通用硅酸盐水泥</w:t>
      </w:r>
      <w:r>
        <w:rPr>
          <w:rFonts w:hint="eastAsia" w:ascii="仿宋_GB2312" w:hAnsi="宋体" w:eastAsia="仿宋_GB2312" w:cs="Times New Roman"/>
          <w:sz w:val="28"/>
          <w:szCs w:val="28"/>
          <w:lang w:val="en-US" w:eastAsia="zh-CN"/>
        </w:rPr>
        <w:t>、砌筑水泥</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GB 175</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2023 通用硅酸盐水泥</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GB 175</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2007 通用硅酸盐水泥</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fldChar w:fldCharType="begin"/>
      </w:r>
      <w:r>
        <w:rPr>
          <w:rFonts w:hint="default" w:ascii="仿宋_GB2312" w:hAnsi="宋体" w:eastAsia="仿宋_GB2312" w:cs="Times New Roman"/>
          <w:sz w:val="28"/>
          <w:szCs w:val="28"/>
          <w:highlight w:val="none"/>
        </w:rPr>
        <w:instrText xml:space="preserve">HYPERLINK "javascript:__doPostBack('ctl00$ctl00$ContentPlaceHolder1$ContentPlaceHolder1$rptStandard$ctl00$lbtnDetail','')" \o "点击查看标准详细信息"</w:instrText>
      </w:r>
      <w:r>
        <w:rPr>
          <w:rFonts w:hint="default" w:ascii="仿宋_GB2312" w:hAnsi="宋体" w:eastAsia="仿宋_GB2312" w:cs="Times New Roman"/>
          <w:sz w:val="28"/>
          <w:szCs w:val="28"/>
          <w:highlight w:val="none"/>
        </w:rPr>
        <w:fldChar w:fldCharType="separate"/>
      </w:r>
      <w:r>
        <w:rPr>
          <w:rFonts w:hint="default" w:ascii="仿宋_GB2312" w:hAnsi="宋体" w:eastAsia="仿宋_GB2312" w:cs="Times New Roman"/>
          <w:sz w:val="28"/>
          <w:szCs w:val="28"/>
          <w:highlight w:val="none"/>
        </w:rPr>
        <w:t>GB/T 3183</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2017</w:t>
      </w:r>
      <w:r>
        <w:rPr>
          <w:rFonts w:hint="default" w:ascii="仿宋_GB2312" w:hAnsi="宋体" w:eastAsia="仿宋_GB2312" w:cs="Times New Roman"/>
          <w:sz w:val="28"/>
          <w:szCs w:val="28"/>
          <w:highlight w:val="none"/>
        </w:rPr>
        <w:fldChar w:fldCharType="end"/>
      </w:r>
      <w:r>
        <w:rPr>
          <w:rFonts w:hint="default" w:ascii="仿宋_GB2312" w:hAnsi="宋体" w:eastAsia="仿宋_GB2312" w:cs="Times New Roman"/>
          <w:sz w:val="28"/>
          <w:szCs w:val="28"/>
          <w:highlight w:val="none"/>
        </w:rPr>
        <w:t xml:space="preserve"> 砌筑水泥</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fldChar w:fldCharType="begin"/>
      </w:r>
      <w:r>
        <w:rPr>
          <w:rFonts w:hint="default" w:ascii="仿宋_GB2312" w:hAnsi="宋体" w:eastAsia="仿宋_GB2312" w:cs="Times New Roman"/>
          <w:sz w:val="28"/>
          <w:szCs w:val="28"/>
          <w:highlight w:val="none"/>
        </w:rPr>
        <w:instrText xml:space="preserve">HYPERLINK "javascript:__doPostBack('ctl00$ctl00$ContentPlaceHolder1$ContentPlaceHolder1$rptStandard$ctl00$lbtnDetail','')" \o "点击查看标准详细信息"</w:instrText>
      </w:r>
      <w:r>
        <w:rPr>
          <w:rFonts w:hint="default" w:ascii="仿宋_GB2312" w:hAnsi="宋体" w:eastAsia="仿宋_GB2312" w:cs="Times New Roman"/>
          <w:sz w:val="28"/>
          <w:szCs w:val="28"/>
          <w:highlight w:val="none"/>
        </w:rPr>
        <w:fldChar w:fldCharType="separate"/>
      </w:r>
      <w:r>
        <w:rPr>
          <w:rFonts w:hint="default" w:ascii="仿宋_GB2312" w:hAnsi="宋体" w:eastAsia="仿宋_GB2312" w:cs="Times New Roman"/>
          <w:sz w:val="28"/>
          <w:szCs w:val="28"/>
          <w:highlight w:val="none"/>
        </w:rPr>
        <w:t>GB 6566</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2010</w:t>
      </w:r>
      <w:r>
        <w:rPr>
          <w:rFonts w:hint="default" w:ascii="仿宋_GB2312" w:hAnsi="宋体" w:eastAsia="仿宋_GB2312" w:cs="Times New Roman"/>
          <w:sz w:val="28"/>
          <w:szCs w:val="28"/>
          <w:highlight w:val="none"/>
        </w:rPr>
        <w:fldChar w:fldCharType="end"/>
      </w:r>
      <w:r>
        <w:rPr>
          <w:rFonts w:hint="default" w:ascii="仿宋_GB2312" w:hAnsi="宋体" w:eastAsia="仿宋_GB2312" w:cs="Times New Roman"/>
          <w:sz w:val="28"/>
          <w:szCs w:val="28"/>
          <w:highlight w:val="none"/>
        </w:rPr>
        <w:t xml:space="preserve"> 建筑材料放射性核素限量</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fldChar w:fldCharType="begin"/>
      </w:r>
      <w:r>
        <w:rPr>
          <w:rFonts w:hint="default" w:ascii="仿宋_GB2312" w:hAnsi="宋体" w:eastAsia="仿宋_GB2312" w:cs="Times New Roman"/>
          <w:sz w:val="28"/>
          <w:szCs w:val="28"/>
          <w:highlight w:val="none"/>
        </w:rPr>
        <w:instrText xml:space="preserve">HYPERLINK "javascript:__doPostBack('ctl00$ctl00$ContentPlaceHolder1$ContentPlaceHolder1$rptStandard$ctl00$lbtnDetail','')" \o "点击查看标准详细信息"</w:instrText>
      </w:r>
      <w:r>
        <w:rPr>
          <w:rFonts w:hint="default" w:ascii="仿宋_GB2312" w:hAnsi="宋体" w:eastAsia="仿宋_GB2312" w:cs="Times New Roman"/>
          <w:sz w:val="28"/>
          <w:szCs w:val="28"/>
          <w:highlight w:val="none"/>
        </w:rPr>
        <w:fldChar w:fldCharType="separate"/>
      </w:r>
      <w:r>
        <w:rPr>
          <w:rFonts w:hint="default" w:ascii="仿宋_GB2312" w:hAnsi="宋体" w:eastAsia="仿宋_GB2312" w:cs="Times New Roman"/>
          <w:sz w:val="28"/>
          <w:szCs w:val="28"/>
          <w:highlight w:val="none"/>
        </w:rPr>
        <w:t>GB 31893</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2015</w:t>
      </w:r>
      <w:r>
        <w:rPr>
          <w:rFonts w:hint="default" w:ascii="仿宋_GB2312" w:hAnsi="宋体" w:eastAsia="仿宋_GB2312" w:cs="Times New Roman"/>
          <w:sz w:val="28"/>
          <w:szCs w:val="28"/>
          <w:highlight w:val="none"/>
        </w:rPr>
        <w:fldChar w:fldCharType="end"/>
      </w:r>
      <w:r>
        <w:rPr>
          <w:rFonts w:hint="default" w:ascii="仿宋_GB2312" w:hAnsi="宋体" w:eastAsia="仿宋_GB2312" w:cs="Times New Roman"/>
          <w:sz w:val="28"/>
          <w:szCs w:val="28"/>
          <w:highlight w:val="none"/>
        </w:rPr>
        <w:t xml:space="preserve"> 水泥中水溶性铬(Ⅵ)的限量及测定方法</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通用硅酸盐水泥：2024年6月1日前抽样且执行标准GB 175</w:t>
      </w:r>
      <w:r>
        <w:rPr>
          <w:rFonts w:hint="eastAsia" w:ascii="仿宋_GB2312" w:hAnsi="宋体" w:eastAsia="仿宋_GB2312" w:cs="Times New Roman"/>
          <w:sz w:val="28"/>
          <w:szCs w:val="28"/>
          <w:lang w:val="en-US" w:eastAsia="zh-CN"/>
        </w:rPr>
        <w:t>-</w:t>
      </w:r>
      <w:r>
        <w:rPr>
          <w:rFonts w:hint="eastAsia" w:ascii="仿宋_GB2312" w:hAnsi="宋体" w:eastAsia="仿宋_GB2312" w:cs="Times New Roman"/>
          <w:sz w:val="28"/>
          <w:szCs w:val="28"/>
        </w:rPr>
        <w:t>2007：每批次抽取的样品数量不得少于16kg，将样品均分为两份，每份至少8kg，其中一份为检验样品，另一份为备用样品。执行标准GB 175</w:t>
      </w:r>
      <w:r>
        <w:rPr>
          <w:rFonts w:hint="eastAsia" w:ascii="仿宋_GB2312" w:hAnsi="宋体" w:eastAsia="仿宋_GB2312" w:cs="Times New Roman"/>
          <w:sz w:val="28"/>
          <w:szCs w:val="28"/>
          <w:lang w:val="en-US" w:eastAsia="zh-CN"/>
        </w:rPr>
        <w:t>-</w:t>
      </w:r>
      <w:r>
        <w:rPr>
          <w:rFonts w:hint="eastAsia" w:ascii="仿宋_GB2312" w:hAnsi="宋体" w:eastAsia="仿宋_GB2312" w:cs="Times New Roman"/>
          <w:sz w:val="28"/>
          <w:szCs w:val="28"/>
        </w:rPr>
        <w:t>2023：每批次抽取的样品数量不得少于24kg，将样品均分为两份，每份至少12kg，其中一份为检验样品，另一份为备用样品。</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砌筑水泥：每批次抽取的样品数量不得少于16kg，将样品均分为两份，每份至少8kg，其中一份为检验样品，另一份为备用样品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Cs/>
          <w:kern w:val="0"/>
          <w:szCs w:val="21"/>
          <w:lang w:eastAsia="zh-CN"/>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2</w:t>
      </w:r>
      <w:r>
        <w:rPr>
          <w:rFonts w:hint="eastAsia" w:ascii="仿宋" w:hAnsi="仿宋" w:eastAsia="仿宋" w:cs="仿宋"/>
          <w:bCs/>
          <w:kern w:val="0"/>
          <w:szCs w:val="21"/>
        </w:rPr>
        <w:t>通用硅酸盐水泥（2024年6月1日前抽样且执行标准GB 175—2007）</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三氧化硫</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 175</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2007</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fldChar w:fldCharType="begin"/>
            </w:r>
            <w:r>
              <w:rPr>
                <w:rFonts w:hint="eastAsia" w:ascii="仿宋" w:hAnsi="仿宋" w:eastAsia="仿宋" w:cs="仿宋"/>
                <w:bCs/>
                <w:kern w:val="0"/>
                <w:szCs w:val="21"/>
              </w:rPr>
              <w:instrText xml:space="preserve">HYPERLINK "javascript:__doPostBack('ctl00$ctl00$ContentPlaceHolder1$ContentPlaceHolder1$rptStandard$ctl00$lbtnDetail','')" \o "点击查看标准详细信息"</w:instrText>
            </w:r>
            <w:r>
              <w:rPr>
                <w:rFonts w:hint="eastAsia" w:ascii="仿宋" w:hAnsi="仿宋" w:eastAsia="仿宋" w:cs="仿宋"/>
                <w:bCs/>
                <w:kern w:val="0"/>
                <w:szCs w:val="21"/>
              </w:rPr>
              <w:fldChar w:fldCharType="separate"/>
            </w:r>
            <w:r>
              <w:rPr>
                <w:rFonts w:hint="eastAsia" w:ascii="仿宋" w:hAnsi="仿宋" w:eastAsia="仿宋" w:cs="仿宋"/>
                <w:bCs/>
                <w:kern w:val="0"/>
                <w:szCs w:val="21"/>
              </w:rPr>
              <w:t>GB 6566</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2010</w:t>
            </w:r>
            <w:r>
              <w:rPr>
                <w:rFonts w:hint="eastAsia" w:ascii="仿宋" w:hAnsi="仿宋" w:eastAsia="仿宋" w:cs="仿宋"/>
                <w:bCs/>
                <w:kern w:val="0"/>
                <w:szCs w:val="21"/>
              </w:rPr>
              <w:fldChar w:fldCharType="end"/>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fldChar w:fldCharType="begin"/>
            </w:r>
            <w:r>
              <w:rPr>
                <w:rFonts w:hint="eastAsia" w:ascii="仿宋" w:hAnsi="仿宋" w:eastAsia="仿宋" w:cs="仿宋"/>
                <w:bCs/>
                <w:kern w:val="0"/>
                <w:szCs w:val="21"/>
              </w:rPr>
              <w:instrText xml:space="preserve">HYPERLINK "javascript:__doPostBack('ctl00$ctl00$ContentPlaceHolder1$ContentPlaceHolder1$rptStandard$ctl00$lbtnDetail','')" \o "点击查看标准详细信息"</w:instrText>
            </w:r>
            <w:r>
              <w:rPr>
                <w:rFonts w:hint="eastAsia" w:ascii="仿宋" w:hAnsi="仿宋" w:eastAsia="仿宋" w:cs="仿宋"/>
                <w:bCs/>
                <w:kern w:val="0"/>
                <w:szCs w:val="21"/>
              </w:rPr>
              <w:fldChar w:fldCharType="separate"/>
            </w:r>
            <w:r>
              <w:rPr>
                <w:rFonts w:hint="eastAsia" w:ascii="仿宋" w:hAnsi="仿宋" w:eastAsia="仿宋" w:cs="仿宋"/>
                <w:bCs/>
                <w:kern w:val="0"/>
                <w:szCs w:val="21"/>
              </w:rPr>
              <w:t>GB 31893</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2015</w:t>
            </w:r>
            <w:r>
              <w:rPr>
                <w:rFonts w:hint="eastAsia" w:ascii="仿宋" w:hAnsi="仿宋" w:eastAsia="仿宋" w:cs="仿宋"/>
                <w:bCs/>
                <w:kern w:val="0"/>
                <w:szCs w:val="21"/>
              </w:rPr>
              <w:fldChar w:fldCharType="end"/>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氧化镁</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烧失量</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不溶物</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氯离子</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default" w:ascii="仿宋" w:hAnsi="仿宋" w:eastAsia="仿宋" w:cs="仿宋"/>
                <w:bCs/>
                <w:kern w:val="0"/>
                <w:szCs w:val="21"/>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6</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凝结时间</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1346-2011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安定性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1346-2011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17671-2021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放射性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fldChar w:fldCharType="begin"/>
            </w:r>
            <w:r>
              <w:rPr>
                <w:rFonts w:hint="eastAsia" w:ascii="仿宋" w:hAnsi="仿宋" w:eastAsia="仿宋" w:cs="仿宋"/>
                <w:bCs/>
                <w:kern w:val="0"/>
                <w:szCs w:val="21"/>
              </w:rPr>
              <w:instrText xml:space="preserve">HYPERLINK "javascript:__doPostBack('ctl00$ctl00$ContentPlaceHolder1$ContentPlaceHolder1$rptStandard$ctl00$lbtnDetail','')" \o "点击查看标准详细信息"</w:instrText>
            </w:r>
            <w:r>
              <w:rPr>
                <w:rFonts w:hint="eastAsia" w:ascii="仿宋" w:hAnsi="仿宋" w:eastAsia="仿宋" w:cs="仿宋"/>
                <w:bCs/>
                <w:kern w:val="0"/>
                <w:szCs w:val="21"/>
              </w:rPr>
              <w:fldChar w:fldCharType="separate"/>
            </w:r>
            <w:r>
              <w:rPr>
                <w:rFonts w:hint="eastAsia" w:ascii="仿宋" w:hAnsi="仿宋" w:eastAsia="仿宋" w:cs="仿宋"/>
                <w:bCs/>
                <w:kern w:val="0"/>
                <w:szCs w:val="21"/>
              </w:rPr>
              <w:t>GB 6566</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2010</w:t>
            </w:r>
            <w:r>
              <w:rPr>
                <w:rFonts w:hint="eastAsia" w:ascii="仿宋" w:hAnsi="仿宋" w:eastAsia="仿宋" w:cs="仿宋"/>
                <w:bCs/>
                <w:kern w:val="0"/>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水溶性铬(Ⅵ)</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fldChar w:fldCharType="begin"/>
            </w:r>
            <w:r>
              <w:rPr>
                <w:rFonts w:hint="eastAsia" w:ascii="仿宋" w:hAnsi="仿宋" w:eastAsia="仿宋" w:cs="仿宋"/>
                <w:bCs/>
                <w:kern w:val="0"/>
                <w:szCs w:val="21"/>
              </w:rPr>
              <w:instrText xml:space="preserve">HYPERLINK "javascript:__doPostBack('ctl00$ctl00$ContentPlaceHolder1$ContentPlaceHolder1$rptStandard$ctl00$lbtnDetail','')" \o "点击查看标准详细信息"</w:instrText>
            </w:r>
            <w:r>
              <w:rPr>
                <w:rFonts w:hint="eastAsia" w:ascii="仿宋" w:hAnsi="仿宋" w:eastAsia="仿宋" w:cs="仿宋"/>
                <w:bCs/>
                <w:kern w:val="0"/>
                <w:szCs w:val="21"/>
              </w:rPr>
              <w:fldChar w:fldCharType="separate"/>
            </w:r>
            <w:r>
              <w:rPr>
                <w:rFonts w:hint="eastAsia" w:ascii="仿宋" w:hAnsi="仿宋" w:eastAsia="仿宋" w:cs="仿宋"/>
                <w:bCs/>
                <w:kern w:val="0"/>
                <w:szCs w:val="21"/>
              </w:rPr>
              <w:t>GB 31893</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2015</w:t>
            </w:r>
            <w:r>
              <w:rPr>
                <w:rFonts w:hint="eastAsia" w:ascii="仿宋" w:hAnsi="仿宋" w:eastAsia="仿宋" w:cs="仿宋"/>
                <w:bCs/>
                <w:kern w:val="0"/>
                <w:szCs w:val="21"/>
              </w:rPr>
              <w:fldChar w:fldCharType="end"/>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14:textFill>
            <w14:solidFill>
              <w14:schemeClr w14:val="tx1"/>
            </w14:solidFill>
          </w14:textFill>
        </w:rPr>
        <w:t>通用硅酸盐水泥（2024年6月1日之日起执行标准GB 175</w:t>
      </w:r>
      <w:r>
        <w:rPr>
          <w:rFonts w:hint="eastAsia" w:ascii="仿宋" w:hAnsi="仿宋" w:eastAsia="仿宋" w:cs="仿宋"/>
          <w:color w:val="000000" w:themeColor="text1"/>
          <w:szCs w:val="21"/>
          <w:lang w:val="en-US" w:eastAsia="zh-CN"/>
          <w14:textFill>
            <w14:solidFill>
              <w14:schemeClr w14:val="tx1"/>
            </w14:solidFill>
          </w14:textFill>
        </w:rPr>
        <w:t>-</w:t>
      </w:r>
      <w:r>
        <w:rPr>
          <w:rFonts w:hint="eastAsia" w:ascii="仿宋" w:hAnsi="仿宋" w:eastAsia="仿宋" w:cs="仿宋"/>
          <w:color w:val="000000" w:themeColor="text1"/>
          <w:szCs w:val="21"/>
          <w14:textFill>
            <w14:solidFill>
              <w14:schemeClr w14:val="tx1"/>
            </w14:solidFill>
          </w14:textFill>
        </w:rPr>
        <w:t>2023）</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不溶物</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175</w:t>
            </w:r>
            <w:r>
              <w:rPr>
                <w:rFonts w:hint="eastAsia" w:ascii="仿宋" w:hAnsi="仿宋" w:eastAsia="仿宋" w:cs="仿宋"/>
                <w:bCs/>
                <w:iCs/>
                <w:kern w:val="0"/>
                <w:szCs w:val="21"/>
                <w:lang w:val="en-US" w:eastAsia="zh-CN"/>
              </w:rPr>
              <w:t>-</w:t>
            </w:r>
            <w:r>
              <w:rPr>
                <w:rFonts w:hint="eastAsia" w:ascii="仿宋" w:hAnsi="仿宋" w:eastAsia="仿宋" w:cs="仿宋"/>
                <w:bCs/>
                <w:iCs/>
                <w:kern w:val="0"/>
                <w:szCs w:val="21"/>
              </w:rPr>
              <w:t>2023</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烧失量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三氧化硫</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氧化镁</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氯离子</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水泥中水溶性铬(Ⅵ)</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31893-2015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31893-2015/XG1-2020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凝结时间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1346-2011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安定性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1346-2011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750-1992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 175-2023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17671-2021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2419-2005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细度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8074-2008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1345-2005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放射性核素限量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 6566-2010</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14:textFill>
            <w14:solidFill>
              <w14:schemeClr w14:val="tx1"/>
            </w14:solidFill>
          </w14:textFill>
        </w:rPr>
        <w:t>砌筑水泥</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三氧化硫</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fldChar w:fldCharType="begin"/>
            </w:r>
            <w:r>
              <w:rPr>
                <w:rFonts w:hint="eastAsia" w:ascii="仿宋" w:hAnsi="仿宋" w:eastAsia="仿宋" w:cs="仿宋"/>
                <w:bCs/>
                <w:kern w:val="0"/>
                <w:szCs w:val="21"/>
              </w:rPr>
              <w:instrText xml:space="preserve">HYPERLINK "javascript:__doPostBack('ctl00$ctl00$ContentPlaceHolder1$ContentPlaceHolder1$rptStandard$ctl00$lbtnDetail','')" \o "点击查看标准详细信息"</w:instrText>
            </w:r>
            <w:r>
              <w:rPr>
                <w:rFonts w:hint="eastAsia" w:ascii="仿宋" w:hAnsi="仿宋" w:eastAsia="仿宋" w:cs="仿宋"/>
                <w:bCs/>
                <w:kern w:val="0"/>
                <w:szCs w:val="21"/>
              </w:rPr>
              <w:fldChar w:fldCharType="separate"/>
            </w:r>
            <w:r>
              <w:rPr>
                <w:rFonts w:hint="eastAsia" w:ascii="仿宋" w:hAnsi="仿宋" w:eastAsia="仿宋" w:cs="仿宋"/>
                <w:bCs/>
                <w:kern w:val="0"/>
                <w:szCs w:val="21"/>
              </w:rPr>
              <w:t>GB/T 3183</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2017</w:t>
            </w:r>
            <w:r>
              <w:rPr>
                <w:rFonts w:hint="eastAsia" w:ascii="仿宋" w:hAnsi="仿宋" w:eastAsia="仿宋" w:cs="仿宋"/>
                <w:bCs/>
                <w:kern w:val="0"/>
                <w:szCs w:val="21"/>
              </w:rPr>
              <w:fldChar w:fldCharType="end"/>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氯离子</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176-2017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水泥中水溶性铬(Ⅵ)</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 31893-2015</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 31893-2015/XG1-2020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细度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1346-2011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凝结时间</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1346-2011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6</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沸煮法安定性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default" w:ascii="仿宋" w:hAnsi="仿宋" w:eastAsia="仿宋" w:cs="仿宋"/>
                <w:bCs/>
                <w:kern w:val="0"/>
                <w:szCs w:val="21"/>
              </w:rPr>
            </w:pPr>
            <w:r>
              <w:rPr>
                <w:rFonts w:hint="eastAsia" w:ascii="仿宋" w:hAnsi="仿宋" w:eastAsia="仿宋" w:cs="仿宋"/>
                <w:bCs/>
                <w:kern w:val="0"/>
                <w:szCs w:val="21"/>
                <w:lang w:val="en-US" w:eastAsia="zh-CN"/>
              </w:rPr>
              <w:t>GB/T 17671-2021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7</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保水率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GB/T 3183-2017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8</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GB/T 17671-2021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9</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放射性</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GB 6566-2010</w:t>
            </w:r>
          </w:p>
        </w:tc>
      </w:tr>
    </w:tbl>
    <w:p>
      <w:pPr>
        <w:widowControl/>
        <w:adjustRightInd w:val="0"/>
        <w:snapToGrid w:val="0"/>
        <w:jc w:val="center"/>
        <w:rPr>
          <w:rFonts w:hint="eastAsia" w:ascii="仿宋" w:hAnsi="仿宋" w:eastAsia="仿宋" w:cs="仿宋"/>
          <w:b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8705141"/>
    <w:rsid w:val="0A401166"/>
    <w:rsid w:val="0E9D78D8"/>
    <w:rsid w:val="0FAA5A14"/>
    <w:rsid w:val="1DE41839"/>
    <w:rsid w:val="25725A7D"/>
    <w:rsid w:val="29621FF4"/>
    <w:rsid w:val="2D397142"/>
    <w:rsid w:val="2F6F34DE"/>
    <w:rsid w:val="323F5720"/>
    <w:rsid w:val="423D1FE7"/>
    <w:rsid w:val="4757545E"/>
    <w:rsid w:val="47A66D96"/>
    <w:rsid w:val="4B275459"/>
    <w:rsid w:val="505B3D74"/>
    <w:rsid w:val="50774392"/>
    <w:rsid w:val="56A725B8"/>
    <w:rsid w:val="60BD0047"/>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2024-07-18T03:57:49Z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83987C6AB5634881B8A6A0F187D453F1_13</vt:lpwstr>
  </property>
</Properties>
</file>