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bookmarkStart w:id="0" w:name="_GoBack"/>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eastAsia="zh-CN"/>
        </w:rPr>
        <w:t>农用塑料管材</w:t>
      </w:r>
      <w:bookmarkEnd w:id="0"/>
    </w:p>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农用塑料管材</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8"/>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lang w:val="en-US" w:eastAsia="zh-CN"/>
              </w:rPr>
              <w:t>04</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03</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03</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建筑和装饰装修材料</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塑料管材及管件</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聚乙烯（PE）管材</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给水用聚乙烯（PE）管材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05</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11</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01</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农业生产资料</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节水灌溉设备</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滴灌带</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本细则涉及产品种类：</w:t>
      </w:r>
      <w:r>
        <w:rPr>
          <w:rFonts w:hint="eastAsia" w:ascii="仿宋_GB2312" w:hAnsi="宋体" w:eastAsia="仿宋_GB2312" w:cs="Times New Roman"/>
          <w:sz w:val="28"/>
          <w:szCs w:val="28"/>
          <w:lang w:eastAsia="zh-CN"/>
        </w:rPr>
        <w:t>农用塑</w:t>
      </w:r>
      <w:r>
        <w:rPr>
          <w:rFonts w:hint="eastAsia" w:ascii="仿宋_GB2312" w:hAnsi="宋体" w:eastAsia="仿宋_GB2312" w:cs="Times New Roman"/>
          <w:sz w:val="28"/>
          <w:szCs w:val="28"/>
          <w:lang w:eastAsia="zh-CN"/>
        </w:rPr>
        <w:t>料管材（</w:t>
      </w:r>
      <w:r>
        <w:rPr>
          <w:rFonts w:hint="eastAsia" w:ascii="仿宋_GB2312" w:hAnsi="宋体" w:eastAsia="仿宋_GB2312" w:cs="Times New Roman"/>
          <w:sz w:val="28"/>
          <w:szCs w:val="28"/>
          <w:lang w:val="en-US" w:eastAsia="zh-CN"/>
        </w:rPr>
        <w:t>给水用聚乙烯（PE）管材、单翼迷宫式滴灌带、埋地给水用聚丙烯(PP)管材</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default" w:ascii="仿宋_GB2312" w:hAnsi="宋体" w:eastAsia="仿宋_GB2312" w:cs="Times New Roman"/>
          <w:sz w:val="28"/>
          <w:szCs w:val="28"/>
          <w:highlight w:val="none"/>
        </w:rPr>
      </w:pPr>
      <w:r>
        <w:rPr>
          <w:rFonts w:hint="default" w:ascii="仿宋_GB2312" w:hAnsi="宋体" w:eastAsia="仿宋_GB2312" w:cs="Times New Roman"/>
          <w:sz w:val="28"/>
          <w:szCs w:val="28"/>
          <w:highlight w:val="none"/>
        </w:rPr>
        <w:t>GB/T 13663.2</w:t>
      </w:r>
      <w:r>
        <w:rPr>
          <w:rFonts w:hint="eastAsia" w:ascii="仿宋_GB2312" w:hAnsi="宋体" w:eastAsia="仿宋_GB2312" w:cs="Times New Roman"/>
          <w:sz w:val="28"/>
          <w:szCs w:val="28"/>
          <w:highlight w:val="none"/>
          <w:lang w:val="en-US" w:eastAsia="zh-CN"/>
        </w:rPr>
        <w:t>-</w:t>
      </w:r>
      <w:r>
        <w:rPr>
          <w:rFonts w:hint="default" w:ascii="仿宋_GB2312" w:hAnsi="宋体" w:eastAsia="仿宋_GB2312" w:cs="Times New Roman"/>
          <w:sz w:val="28"/>
          <w:szCs w:val="28"/>
          <w:highlight w:val="none"/>
        </w:rPr>
        <w:t>2018 给水用聚乙烯（PE）管道系统第2部分：管材</w:t>
      </w:r>
    </w:p>
    <w:p>
      <w:pPr>
        <w:adjustRightInd w:val="0"/>
        <w:snapToGrid w:val="0"/>
        <w:spacing w:line="594" w:lineRule="exact"/>
        <w:ind w:firstLine="560" w:firstLineChars="200"/>
        <w:rPr>
          <w:rFonts w:hint="default"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GB/T 19812.1-2017 塑料节水灌溉器材 第1部分：单翼迷宫式滴灌带</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QB/T 1929-2006 埋地给水用聚丙烯（PP）管材</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相关的法律、行政法规、部门规章、规范性文件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cs="Times New Roman"/>
          <w:sz w:val="28"/>
          <w:szCs w:val="28"/>
          <w:lang w:val="en-US" w:eastAsia="zh-CN"/>
        </w:rPr>
      </w:pPr>
      <w:r>
        <w:rPr>
          <w:rFonts w:hint="eastAsia" w:ascii="仿宋_GB2312" w:hAnsi="宋体" w:eastAsia="仿宋_GB2312" w:cs="Times New Roman"/>
          <w:sz w:val="28"/>
          <w:szCs w:val="28"/>
        </w:rPr>
        <w:t>管材类产品：</w:t>
      </w:r>
      <w:r>
        <w:rPr>
          <w:rFonts w:hint="eastAsia" w:ascii="仿宋_GB2312" w:hAnsi="宋体" w:eastAsia="仿宋_GB2312" w:cs="Times New Roman"/>
          <w:sz w:val="28"/>
          <w:szCs w:val="28"/>
          <w:lang w:val="en-US" w:eastAsia="zh-CN"/>
        </w:rPr>
        <w:t>若管材为4米一根，</w:t>
      </w:r>
      <w:r>
        <w:rPr>
          <w:rFonts w:hint="eastAsia" w:ascii="仿宋_GB2312" w:hAnsi="宋体" w:eastAsia="仿宋_GB2312" w:cs="Times New Roman"/>
          <w:sz w:val="28"/>
          <w:szCs w:val="28"/>
        </w:rPr>
        <w:t>每批次产品中抽取3根，每根截取4段，每段1米（共12米）。每根中的2段作为检验样品，2段作为备用样品（检验样品6米、备用样品6米）。</w:t>
      </w:r>
      <w:r>
        <w:rPr>
          <w:rFonts w:hint="eastAsia" w:ascii="仿宋_GB2312" w:hAnsi="宋体" w:eastAsia="仿宋_GB2312" w:cs="Times New Roman"/>
          <w:sz w:val="28"/>
          <w:szCs w:val="28"/>
          <w:lang w:val="en-US" w:eastAsia="zh-CN"/>
        </w:rPr>
        <w:t>若管材为6米一根，</w:t>
      </w:r>
      <w:r>
        <w:rPr>
          <w:rFonts w:hint="eastAsia" w:ascii="仿宋_GB2312" w:hAnsi="宋体" w:eastAsia="仿宋_GB2312" w:cs="Times New Roman"/>
          <w:sz w:val="28"/>
          <w:szCs w:val="28"/>
        </w:rPr>
        <w:t>每批次产品中抽取</w:t>
      </w:r>
      <w:r>
        <w:rPr>
          <w:rFonts w:hint="eastAsia" w:ascii="仿宋_GB2312" w:hAnsi="宋体" w:eastAsia="仿宋_GB2312" w:cs="Times New Roman"/>
          <w:sz w:val="28"/>
          <w:szCs w:val="28"/>
          <w:lang w:val="en-US" w:eastAsia="zh-CN"/>
        </w:rPr>
        <w:t>2</w:t>
      </w:r>
      <w:r>
        <w:rPr>
          <w:rFonts w:hint="eastAsia" w:ascii="仿宋_GB2312" w:hAnsi="宋体" w:eastAsia="仿宋_GB2312" w:cs="Times New Roman"/>
          <w:sz w:val="28"/>
          <w:szCs w:val="28"/>
        </w:rPr>
        <w:t>根，每根截取</w:t>
      </w:r>
      <w:r>
        <w:rPr>
          <w:rFonts w:hint="eastAsia" w:ascii="仿宋_GB2312" w:hAnsi="宋体" w:eastAsia="仿宋_GB2312" w:cs="Times New Roman"/>
          <w:sz w:val="28"/>
          <w:szCs w:val="28"/>
          <w:lang w:val="en-US" w:eastAsia="zh-CN"/>
        </w:rPr>
        <w:t>6</w:t>
      </w:r>
      <w:r>
        <w:rPr>
          <w:rFonts w:hint="eastAsia" w:ascii="仿宋_GB2312" w:hAnsi="宋体" w:eastAsia="仿宋_GB2312" w:cs="Times New Roman"/>
          <w:sz w:val="28"/>
          <w:szCs w:val="28"/>
        </w:rPr>
        <w:t>段，每段1米（共12米）。每根中的</w:t>
      </w:r>
      <w:r>
        <w:rPr>
          <w:rFonts w:hint="eastAsia" w:ascii="仿宋_GB2312" w:hAnsi="宋体" w:eastAsia="仿宋_GB2312" w:cs="Times New Roman"/>
          <w:sz w:val="28"/>
          <w:szCs w:val="28"/>
          <w:lang w:val="en-US" w:eastAsia="zh-CN"/>
        </w:rPr>
        <w:t>3</w:t>
      </w:r>
      <w:r>
        <w:rPr>
          <w:rFonts w:hint="eastAsia" w:ascii="仿宋_GB2312" w:hAnsi="宋体" w:eastAsia="仿宋_GB2312" w:cs="Times New Roman"/>
          <w:sz w:val="28"/>
          <w:szCs w:val="28"/>
        </w:rPr>
        <w:t>段作为检验样品，</w:t>
      </w:r>
      <w:r>
        <w:rPr>
          <w:rFonts w:hint="eastAsia" w:ascii="仿宋_GB2312" w:hAnsi="宋体" w:eastAsia="仿宋_GB2312" w:cs="Times New Roman"/>
          <w:sz w:val="28"/>
          <w:szCs w:val="28"/>
          <w:lang w:val="en-US" w:eastAsia="zh-CN"/>
        </w:rPr>
        <w:t>3</w:t>
      </w:r>
      <w:r>
        <w:rPr>
          <w:rFonts w:hint="eastAsia" w:ascii="仿宋_GB2312" w:hAnsi="宋体" w:eastAsia="仿宋_GB2312" w:cs="Times New Roman"/>
          <w:sz w:val="28"/>
          <w:szCs w:val="28"/>
        </w:rPr>
        <w:t>段作为备用样品（检验样品6米、备用样品6米）。</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管带类产品：每批次产品抽取样品2卷，1卷作为检验样品，1卷作为备用样品（滴灌带每卷不小于200米）</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备样可封存在受检单位。</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2</w:t>
      </w:r>
      <w:r>
        <w:rPr>
          <w:rFonts w:hint="eastAsia" w:ascii="仿宋" w:hAnsi="仿宋" w:eastAsia="仿宋" w:cs="仿宋"/>
          <w:color w:val="000000" w:themeColor="text1"/>
          <w:szCs w:val="21"/>
          <w:lang w:eastAsia="zh-CN"/>
          <w14:textFill>
            <w14:solidFill>
              <w14:schemeClr w14:val="tx1"/>
            </w14:solidFill>
          </w14:textFill>
        </w:rPr>
        <w:t>给水用聚乙烯（PE）管材</w:t>
      </w:r>
    </w:p>
    <w:tbl>
      <w:tblPr>
        <w:tblStyle w:val="8"/>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default"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外观</w:t>
            </w:r>
          </w:p>
        </w:tc>
        <w:tc>
          <w:tcPr>
            <w:tcW w:w="2310" w:type="dxa"/>
            <w:vMerge w:val="restart"/>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GB/T 13663.2</w:t>
            </w:r>
            <w:r>
              <w:rPr>
                <w:rFonts w:hint="eastAsia" w:ascii="仿宋" w:hAnsi="仿宋" w:eastAsia="仿宋" w:cs="仿宋"/>
                <w:bCs/>
                <w:kern w:val="0"/>
                <w:szCs w:val="21"/>
                <w:lang w:val="en-US" w:eastAsia="zh-CN"/>
              </w:rPr>
              <w:t>-</w:t>
            </w:r>
            <w:r>
              <w:rPr>
                <w:rFonts w:hint="eastAsia" w:ascii="仿宋" w:hAnsi="仿宋" w:eastAsia="仿宋" w:cs="仿宋"/>
                <w:bCs/>
                <w:kern w:val="0"/>
                <w:szCs w:val="21"/>
              </w:rPr>
              <w:t>2018</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GB/T 13663.2-2018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2</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几何尺寸</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ind w:left="122" w:leftChars="58"/>
              <w:jc w:val="center"/>
              <w:rPr>
                <w:rFonts w:hint="default" w:ascii="仿宋" w:hAnsi="仿宋" w:eastAsia="仿宋" w:cs="仿宋"/>
                <w:bCs/>
                <w:iCs/>
                <w:kern w:val="0"/>
                <w:szCs w:val="21"/>
              </w:rPr>
            </w:pPr>
            <w:r>
              <w:rPr>
                <w:rFonts w:hint="default" w:ascii="仿宋" w:hAnsi="仿宋" w:eastAsia="仿宋" w:cs="仿宋"/>
                <w:bCs/>
                <w:iCs/>
                <w:kern w:val="0"/>
                <w:szCs w:val="21"/>
              </w:rPr>
              <w:t>GB/T 8806-2008</w:t>
            </w:r>
          </w:p>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GB/T 13663.2-2018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default"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静液压强度</w:t>
            </w:r>
          </w:p>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（20℃，100h）</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tcBorders/>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GB/T 6111-2003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default"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断裂伸长率</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tcBorders/>
            <w:vAlign w:val="center"/>
          </w:tcPr>
          <w:p>
            <w:pPr>
              <w:widowControl/>
              <w:adjustRightInd w:val="0"/>
              <w:snapToGrid w:val="0"/>
              <w:ind w:left="122" w:leftChars="58"/>
              <w:jc w:val="center"/>
              <w:rPr>
                <w:rFonts w:hint="default" w:ascii="仿宋" w:hAnsi="仿宋" w:eastAsia="仿宋" w:cs="仿宋"/>
                <w:bCs/>
                <w:iCs/>
                <w:kern w:val="0"/>
                <w:szCs w:val="21"/>
              </w:rPr>
            </w:pPr>
            <w:r>
              <w:rPr>
                <w:rFonts w:hint="default" w:ascii="仿宋" w:hAnsi="仿宋" w:eastAsia="仿宋" w:cs="仿宋"/>
                <w:bCs/>
                <w:iCs/>
                <w:kern w:val="0"/>
                <w:szCs w:val="21"/>
              </w:rPr>
              <w:t>GB/T 8804.1-2003</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default" w:ascii="仿宋" w:hAnsi="仿宋" w:eastAsia="仿宋" w:cs="仿宋"/>
                <w:bCs/>
                <w:iCs/>
                <w:kern w:val="0"/>
                <w:szCs w:val="21"/>
              </w:rPr>
              <w:t>GB/T 8804.3-2003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default" w:ascii="仿宋" w:hAnsi="仿宋" w:eastAsia="仿宋" w:cs="仿宋"/>
                <w:bCs/>
                <w:iCs/>
                <w:kern w:val="0"/>
                <w:szCs w:val="21"/>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纵向回缩率</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tcBorders/>
            <w:vAlign w:val="center"/>
          </w:tcPr>
          <w:p>
            <w:pPr>
              <w:widowControl/>
              <w:adjustRightInd w:val="0"/>
              <w:snapToGrid w:val="0"/>
              <w:ind w:left="122" w:leftChars="58"/>
              <w:jc w:val="center"/>
              <w:rPr>
                <w:rFonts w:hint="default" w:ascii="仿宋" w:hAnsi="仿宋" w:eastAsia="仿宋" w:cs="仿宋"/>
                <w:bCs/>
                <w:iCs/>
                <w:kern w:val="0"/>
                <w:szCs w:val="21"/>
              </w:rPr>
            </w:pPr>
            <w:r>
              <w:rPr>
                <w:rFonts w:hint="default" w:ascii="仿宋" w:hAnsi="仿宋" w:eastAsia="仿宋" w:cs="仿宋"/>
                <w:bCs/>
                <w:iCs/>
                <w:kern w:val="0"/>
                <w:szCs w:val="21"/>
              </w:rPr>
              <w:t>GB/T 6671-2001</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default" w:ascii="仿宋" w:hAnsi="仿宋" w:eastAsia="仿宋" w:cs="仿宋"/>
                <w:bCs/>
                <w:iCs/>
                <w:kern w:val="0"/>
                <w:szCs w:val="21"/>
              </w:rPr>
              <w:t>GB/T 13663.2-2018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 w:val="21"/>
                <w:szCs w:val="21"/>
                <w:lang w:val="en-US" w:eastAsia="zh-CN" w:bidi="ar-SA"/>
              </w:rPr>
            </w:pPr>
            <w:r>
              <w:rPr>
                <w:rFonts w:hint="default" w:ascii="仿宋" w:hAnsi="仿宋" w:eastAsia="仿宋" w:cs="仿宋"/>
                <w:bCs/>
                <w:iCs/>
                <w:kern w:val="0"/>
                <w:szCs w:val="21"/>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氧化诱导时间</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tcBorders/>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GB/T 19466.6-2009</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GB/T 13663.2-2018</w:t>
            </w:r>
          </w:p>
        </w:tc>
      </w:tr>
    </w:tbl>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3</w:t>
      </w:r>
      <w:r>
        <w:rPr>
          <w:rFonts w:hint="eastAsia" w:ascii="仿宋" w:hAnsi="仿宋" w:eastAsia="仿宋" w:cs="仿宋"/>
          <w:color w:val="000000" w:themeColor="text1"/>
          <w:szCs w:val="21"/>
          <w14:textFill>
            <w14:solidFill>
              <w14:schemeClr w14:val="tx1"/>
            </w14:solidFill>
          </w14:textFill>
        </w:rPr>
        <w:t>单翼迷宫式滴灌带</w:t>
      </w:r>
    </w:p>
    <w:tbl>
      <w:tblPr>
        <w:tblStyle w:val="8"/>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外观</w:t>
            </w:r>
          </w:p>
        </w:tc>
        <w:tc>
          <w:tcPr>
            <w:tcW w:w="2310" w:type="dxa"/>
            <w:vMerge w:val="restart"/>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GB/T 19812.1-2017</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19812.1-2017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规格尺寸</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19812.1-2017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流量均匀性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GB/T 19812.1-2017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耐拉拔性能</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default" w:ascii="仿宋" w:hAnsi="仿宋" w:eastAsia="仿宋" w:cs="仿宋"/>
                <w:bCs/>
                <w:iCs/>
                <w:kern w:val="0"/>
                <w:szCs w:val="21"/>
              </w:rPr>
              <w:t>GB/T 19812.1-2017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耐水压</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default" w:ascii="仿宋" w:hAnsi="仿宋" w:eastAsia="仿宋" w:cs="仿宋"/>
                <w:bCs/>
                <w:iCs/>
                <w:kern w:val="0"/>
                <w:szCs w:val="21"/>
              </w:rPr>
              <w:t>GB/T 19812.1-2017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爆破压力</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GB/T 19812.1-2017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rPr>
            </w:pPr>
            <w:r>
              <w:rPr>
                <w:rFonts w:hint="eastAsia" w:ascii="仿宋" w:hAnsi="仿宋" w:eastAsia="仿宋" w:cs="仿宋"/>
                <w:bCs/>
                <w:iCs/>
                <w:kern w:val="0"/>
                <w:szCs w:val="21"/>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不透光性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GB/T 19812.1-2017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rPr>
            </w:pPr>
            <w:r>
              <w:rPr>
                <w:rFonts w:hint="eastAsia" w:ascii="仿宋" w:hAnsi="仿宋" w:eastAsia="仿宋" w:cs="仿宋"/>
                <w:bCs/>
                <w:iCs/>
                <w:kern w:val="0"/>
                <w:szCs w:val="21"/>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炭黑含量</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GB/T 13021-1991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rPr>
            </w:pPr>
            <w:r>
              <w:rPr>
                <w:rFonts w:hint="eastAsia" w:ascii="仿宋" w:hAnsi="仿宋" w:eastAsia="仿宋" w:cs="仿宋"/>
                <w:bCs/>
                <w:iCs/>
                <w:kern w:val="0"/>
                <w:szCs w:val="21"/>
              </w:rPr>
              <w:t>9</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炭黑分散</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GB/T 18251-2000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rPr>
            </w:pPr>
            <w:r>
              <w:rPr>
                <w:rFonts w:hint="eastAsia" w:ascii="仿宋" w:hAnsi="仿宋" w:eastAsia="仿宋" w:cs="仿宋"/>
                <w:bCs/>
                <w:iCs/>
                <w:kern w:val="0"/>
                <w:szCs w:val="21"/>
              </w:rPr>
              <w:t>10</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氧化诱导时间</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GB/T 19466.6-2009</w:t>
            </w:r>
          </w:p>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GB/T 19812.1-2017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26" w:type="dxa"/>
            <w:gridSpan w:val="4"/>
            <w:vAlign w:val="center"/>
          </w:tcPr>
          <w:p>
            <w:pPr>
              <w:widowControl/>
              <w:adjustRightInd w:val="0"/>
              <w:snapToGrid w:val="0"/>
              <w:jc w:val="left"/>
              <w:rPr>
                <w:rFonts w:hint="eastAsia" w:ascii="仿宋" w:hAnsi="仿宋" w:eastAsia="仿宋" w:cs="仿宋"/>
                <w:bCs/>
                <w:iCs/>
                <w:kern w:val="0"/>
                <w:szCs w:val="21"/>
              </w:rPr>
            </w:pPr>
            <w:r>
              <w:rPr>
                <w:rFonts w:hint="eastAsia" w:ascii="仿宋" w:hAnsi="仿宋" w:eastAsia="仿宋" w:cs="仿宋"/>
                <w:bCs/>
                <w:iCs/>
                <w:kern w:val="0"/>
                <w:szCs w:val="21"/>
                <w:lang w:val="en-US" w:eastAsia="zh-CN"/>
              </w:rPr>
              <w:t>备注：</w:t>
            </w:r>
            <w:r>
              <w:rPr>
                <w:rFonts w:hint="eastAsia" w:ascii="仿宋" w:hAnsi="仿宋" w:eastAsia="仿宋" w:cs="仿宋"/>
                <w:bCs/>
                <w:iCs/>
                <w:kern w:val="0"/>
                <w:szCs w:val="21"/>
              </w:rPr>
              <w:t>根据实际产品对应标准要求，检测项目和检测方法略有删减和变化，以实际产品为准</w:t>
            </w:r>
          </w:p>
        </w:tc>
      </w:tr>
    </w:tbl>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4</w:t>
      </w:r>
      <w:r>
        <w:rPr>
          <w:rFonts w:hint="eastAsia" w:ascii="仿宋" w:hAnsi="仿宋" w:eastAsia="仿宋" w:cs="仿宋"/>
          <w:color w:val="000000" w:themeColor="text1"/>
          <w:szCs w:val="21"/>
          <w14:textFill>
            <w14:solidFill>
              <w14:schemeClr w14:val="tx1"/>
            </w14:solidFill>
          </w14:textFill>
        </w:rPr>
        <w:t>埋地给水用聚丙烯(PP)管材</w:t>
      </w:r>
    </w:p>
    <w:tbl>
      <w:tblPr>
        <w:tblStyle w:val="8"/>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外观</w:t>
            </w:r>
          </w:p>
        </w:tc>
        <w:tc>
          <w:tcPr>
            <w:tcW w:w="2310" w:type="dxa"/>
            <w:vMerge w:val="restart"/>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QB/T 1929-2006</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QB/T 1929-2006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规格尺寸</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QB/T 1929-2006</w:t>
            </w:r>
          </w:p>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8806-1988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纵向回缩率</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default" w:ascii="仿宋" w:hAnsi="仿宋" w:eastAsia="仿宋" w:cs="仿宋"/>
                <w:bCs/>
                <w:iCs/>
                <w:kern w:val="0"/>
                <w:szCs w:val="21"/>
              </w:rPr>
              <w:t>GB/T 6671-2001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落锤冲击试验</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default" w:ascii="仿宋" w:hAnsi="仿宋" w:eastAsia="仿宋" w:cs="仿宋"/>
                <w:bCs/>
                <w:iCs/>
                <w:kern w:val="0"/>
                <w:szCs w:val="21"/>
              </w:rPr>
            </w:pPr>
            <w:r>
              <w:rPr>
                <w:rFonts w:hint="default" w:ascii="仿宋" w:hAnsi="仿宋" w:eastAsia="仿宋" w:cs="仿宋"/>
                <w:bCs/>
                <w:iCs/>
                <w:kern w:val="0"/>
                <w:szCs w:val="21"/>
              </w:rPr>
              <w:t>GB/T 14152-2001</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default" w:ascii="仿宋" w:hAnsi="仿宋" w:eastAsia="仿宋" w:cs="仿宋"/>
                <w:bCs/>
                <w:iCs/>
                <w:kern w:val="0"/>
                <w:szCs w:val="21"/>
              </w:rPr>
              <w:t>QB/T 1929-2006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静液压强度试验</w:t>
            </w:r>
            <w:r>
              <w:rPr>
                <w:rFonts w:hint="eastAsia" w:ascii="仿宋" w:hAnsi="仿宋" w:eastAsia="仿宋" w:cs="仿宋"/>
                <w:bCs/>
                <w:iCs/>
                <w:kern w:val="0"/>
                <w:szCs w:val="21"/>
              </w:rPr>
              <w:t>（20℃ 1h</w:t>
            </w:r>
            <w:r>
              <w:rPr>
                <w:rFonts w:hint="eastAsia" w:ascii="仿宋" w:hAnsi="仿宋" w:eastAsia="仿宋" w:cs="仿宋"/>
                <w:bCs/>
                <w:iCs/>
                <w:kern w:val="0"/>
                <w:szCs w:val="21"/>
              </w:rPr>
              <w:t>）</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default" w:ascii="仿宋" w:hAnsi="仿宋" w:eastAsia="仿宋" w:cs="仿宋"/>
                <w:bCs/>
                <w:iCs/>
                <w:kern w:val="0"/>
                <w:szCs w:val="21"/>
              </w:rPr>
              <w:t>GB/T 19812.1-2017</w:t>
            </w:r>
          </w:p>
        </w:tc>
      </w:tr>
    </w:tbl>
    <w:p>
      <w:pPr>
        <w:spacing w:before="100" w:beforeAutospacing="1" w:after="100" w:afterAutospacing="1"/>
        <w:contextualSpacing/>
        <w:jc w:val="center"/>
        <w:rPr>
          <w:rFonts w:ascii="宋体" w:hAnsi="宋体" w:cs="宋体"/>
          <w:color w:val="000000" w:themeColor="text1"/>
          <w:szCs w:val="21"/>
          <w14:textFill>
            <w14:solidFill>
              <w14:schemeClr w14:val="tx1"/>
            </w14:solidFill>
          </w14:textFill>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4"/>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2BD4475"/>
    <w:rsid w:val="08705141"/>
    <w:rsid w:val="0A401166"/>
    <w:rsid w:val="0E9D78D8"/>
    <w:rsid w:val="0FAA5A14"/>
    <w:rsid w:val="1DE41839"/>
    <w:rsid w:val="25725A7D"/>
    <w:rsid w:val="29621FF4"/>
    <w:rsid w:val="2D397142"/>
    <w:rsid w:val="2F6F34DE"/>
    <w:rsid w:val="323F5720"/>
    <w:rsid w:val="423D1FE7"/>
    <w:rsid w:val="4757545E"/>
    <w:rsid w:val="47A66D96"/>
    <w:rsid w:val="4B275459"/>
    <w:rsid w:val="505B3D74"/>
    <w:rsid w:val="50774392"/>
    <w:rsid w:val="56A725B8"/>
    <w:rsid w:val="60BD0047"/>
    <w:rsid w:val="64392943"/>
    <w:rsid w:val="65704D44"/>
    <w:rsid w:val="65E329B5"/>
    <w:rsid w:val="6775534A"/>
    <w:rsid w:val="6B113937"/>
    <w:rsid w:val="6B9C351B"/>
    <w:rsid w:val="6D997ADE"/>
    <w:rsid w:val="715D3C37"/>
    <w:rsid w:val="745B1E70"/>
    <w:rsid w:val="776D6448"/>
    <w:rsid w:val="7BF2196F"/>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List 2"/>
    <w:basedOn w:val="1"/>
    <w:next w:val="1"/>
    <w:qFormat/>
    <w:uiPriority w:val="0"/>
    <w:pPr>
      <w:adjustRightInd w:val="0"/>
      <w:snapToGrid w:val="0"/>
      <w:spacing w:line="360" w:lineRule="auto"/>
      <w:ind w:left="100" w:leftChars="200" w:hanging="200" w:hangingChars="200"/>
    </w:pPr>
    <w:rPr>
      <w:sz w:val="24"/>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unhideWhenUsed/>
    <w:qFormat/>
    <w:uiPriority w:val="39"/>
  </w:style>
  <w:style w:type="table" w:styleId="8">
    <w:name w:val="Table Grid"/>
    <w:basedOn w:val="7"/>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5"/>
    <w:qFormat/>
    <w:uiPriority w:val="99"/>
    <w:rPr>
      <w:rFonts w:ascii="Calibri" w:hAnsi="Calibri" w:eastAsia="宋体" w:cs="Times New Roman"/>
      <w:sz w:val="18"/>
      <w:szCs w:val="18"/>
    </w:rPr>
  </w:style>
  <w:style w:type="character" w:customStyle="1" w:styleId="11">
    <w:name w:val="页脚 字符"/>
    <w:basedOn w:val="9"/>
    <w:link w:val="4"/>
    <w:qFormat/>
    <w:uiPriority w:val="99"/>
    <w:rPr>
      <w:rFonts w:ascii="Calibri" w:hAnsi="Calibri" w:eastAsia="宋体" w:cs="Times New Roman"/>
      <w:sz w:val="18"/>
      <w:szCs w:val="18"/>
    </w:rPr>
  </w:style>
  <w:style w:type="paragraph" w:styleId="12">
    <w:name w:val="List Paragraph"/>
    <w:basedOn w:val="1"/>
    <w:qFormat/>
    <w:uiPriority w:val="34"/>
    <w:pPr>
      <w:ind w:firstLine="420" w:firstLineChars="200"/>
    </w:pPr>
  </w:style>
  <w:style w:type="paragraph" w:customStyle="1" w:styleId="13">
    <w:name w:val="_Style 3"/>
    <w:basedOn w:val="1"/>
    <w:qFormat/>
    <w:uiPriority w:val="0"/>
    <w:pPr>
      <w:ind w:firstLine="200" w:firstLineChars="200"/>
    </w:pPr>
    <w:rPr>
      <w:rFonts w:ascii="Times New Roman" w:hAnsi="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2</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2024-07-18T02:58:46Z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6D189EA7364045C7AED43D7BA01836E3_13</vt:lpwstr>
  </property>
</Properties>
</file>