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43434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43434"/>
          <w:spacing w:val="0"/>
          <w:kern w:val="0"/>
          <w:sz w:val="44"/>
          <w:szCs w:val="44"/>
          <w:lang w:val="en-US" w:eastAsia="zh-CN" w:bidi="ar"/>
        </w:rPr>
        <w:t>推动更多政策“免申即享”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当下，“免申即享”实践升温。上海今年将新增34项“免申即享”服务，雄安新区发布首批54项“免申即享”产业政策清单，等等。“免申即享”已成为优化营商环境、提升政府服务效能的重要抓手。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“免申即享”即通过强化数据归集共享，依靠模型算法和大数据分析支撑，通过多部门协作，精准快速实现“政策找人”。这一举措可有效解决群众申请政策时“条件看不懂、材料一大堆、申报靠跑腿”等难题。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“免申即享”不仅能有效提升企业和群众对各项惠企利民政策的获得感和满意度，也能牵引带动公共服务水平和数字政府建设更进一步。各地各部门要凝聚共识、形成合力，用“如我在办”的意识，理顺流程机制、打通堵点难点、优化平台技术，持续推动“免申即享”扩围增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更好实现“免申即享”，需在政策谋划设计时就对“免申即享”的形式方法进行统筹考量和细化明确。科学设计“免申即享”过程中各部门分工和机制流程，确保数据应用安全高效。通过加强调研问需和动态评估，让“免申即享”更精准满足需求，同时能根据新情况新问题及时调整优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实现“免申即享”，担当是核心、协作是基础、技术是保障。要根据实际情况进行系统研究，聚焦重点领域和关键环节探索“免申即享”路径方法。对各项条件都已达到的，汇聚合力尽早实现“免申即享”；对条件还有些许欠缺的，加大协同研究，打破数据藩篱，优化流程和技术，全力创造条件；对当前尚不具备条件的，研究透问题和障碍所在，坚持不懈系统谋划推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政策“免申即享”不能急于求成。要结合各地实际分重点、有批次推进，稳扎稳打讲求实效。“免申即享”对数据的精准性和算法的智能性提出更高要求，一定要确保各项数据权威准确，技术稳定高效，避免漏洞发生。要将“免申即享”与信用体系建设有机融合，更好利用信用信息和信用管理机制，让诚信企业享受更多“免申即享”便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来源：董碧娟/经济日报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ODIxZjhiNDdkMGI2ZTNkMDBmZjFhZjJhY2YyNTEifQ=="/>
    <w:docVar w:name="KSO_WPS_MARK_KEY" w:val="c22867d4-bd74-4147-930c-b94d784a5865"/>
  </w:docVars>
  <w:rsids>
    <w:rsidRoot w:val="00000000"/>
    <w:rsid w:val="326F31C0"/>
    <w:rsid w:val="344F4FD4"/>
    <w:rsid w:val="4A312E54"/>
    <w:rsid w:val="5C32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839</Characters>
  <Lines>0</Lines>
  <Paragraphs>0</Paragraphs>
  <TotalTime>2</TotalTime>
  <ScaleCrop>false</ScaleCrop>
  <LinksUpToDate>false</LinksUpToDate>
  <CharactersWithSpaces>839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2024-10-28T07:27:00Z</dcterms:created>
  <dc:creator>Administrator</dc:creator>
  <cp:lastModifiedBy>小铁块儿</cp:lastModifiedBy>
  <dcterms:modified xsi:type="dcterms:W3CDTF">2024-10-30T02:12:30Z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CAFE3FD5B1C543E7AF8E37361724C2DA_13</vt:lpwstr>
  </property>
</Properties>
</file>