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辽宁省盘锦市兴隆台区交通运输局(本级）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辽宁省盘锦市兴隆台区交通运输局(本级）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辽宁省盘锦市兴隆台区交通运输局(本级）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辽宁省盘锦市兴隆台区交通运输局(本级）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辽宁省盘锦市兴隆台区交通运输局(本级）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辽宁省盘锦市兴隆台区交通运输局(本级）概况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推进全区交通运输体系建设，统筹区内公路水路行业发展，协调地方铁路建设，建立健全与全区综合交通运输体系相适应的制度机制，优化全区交通运输主要通道和重要枢纽节点布局，促进各种交通运输方式融合发展。</w:t>
        <w:br/>
        <w:t xml:space="preserve">    （二）贯彻执行国家和省、市有关交通运输业的发展战略、方针政策和法律法规，拟定全区公路、水路行业政策和标准并监督实施组织起草交通运输地方性法规、区政府规章草案，组织编制全区综合交通运输体系规划，拟定并组织实施枢纽与管理，按规定组织协调国家、省市重点物资运输和紧急客货运输，承担交通战备工作，指导全区交通运输行业体质改革工作。</w:t>
        <w:br/>
        <w:t xml:space="preserve">    （三）承担全区公路、水路建设市场监管责任，组织编制交通运输资产投资计划，协调推进告诉公路工程建设。负责全区公路、水路等交通运输基础设施与维护的行业管理，负责地方铁路交通运输规划建设组织实施国省干线普通公路、重点交通工程建设与维护，指导农村公路建设与维护、政府有关交通工程造价的监督管理工作，负责全区港口、宜港岸线、航道及其辅助设施的规划、利用与监督管理。</w:t>
        <w:br/>
        <w:t xml:space="preserve">    （四）承担全区公路、水路运输管理及市场监管责任，指导全区运政、航政、交通工程质量监督等行政执法和队伍建设工作，负责全区运输船舶、海（水）上设施、船用产品及渔船检验和监督管理工作。</w:t>
        <w:br/>
        <w:t xml:space="preserve">    （五）负责指导城市公共交通、轨道交通运营，负责地方铁路的行业管理.</w:t>
        <w:br/>
        <w:t xml:space="preserve">    (六)提出交通运输固定资产投资规模和方向、财政性资金安排意见和有关财政、土地、价格等政策建议。</w:t>
        <w:br/>
        <w:t xml:space="preserve">    （七）负责全区公路路网运行监测协调工作、指导全区公路、水路行业安全生产和应急管理工作，指导全区内陆水域水上交通安全监管、防止船舶污染，负责港口引航的行政管理。</w:t>
        <w:br/>
        <w:t xml:space="preserve">    （八）组织重大交通运输科研项目研发、引进、推广及应用，指导全区交通运输行业环境保护、节能减排和外事工作。</w:t>
        <w:br/>
        <w:t xml:space="preserve">    （九）负责智慧交通建设工作，加快推进信息化建设，实施全区交通运输行业智能化监管。</w:t>
        <w:br/>
        <w:t xml:space="preserve">    （十）承担春运领导小组日常工作。</w:t>
        <w:br/>
        <w:t xml:space="preserve">    （十一）完成区委、区政府交办的其他任务。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辽宁省盘锦市兴隆台区交通运输局(本级）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377.88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377.88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377.88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增加199.09万元，增长111.36%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交通运输项目支出以及灾后重建工程增加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377.88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99.10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26.23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工资福利支出85.41万元；商品和服务支出13.22万元；对个人和家庭的补助0.48万元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278.78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主要包括灾后重建工程、自然灾害救灾补助等业务支出。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增加199.09万元，增长111.36%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增加灾后重建工程、自然灾害救灾工作等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377.88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99.10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278.78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增加199.09万元，增长111.36%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增加灾后重建工程、自然灾害救灾工作等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84.69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151.16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73.25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2023年度一般公共预算财政拨款支出377.88万元。按支出功能分类科目分，包括：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1.社会保障和就业支出13.36万元，具体包括：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（1）社会保障和就业支出（类）行政事业单位养老支出（款）行政单位离退休（项）0.48万元,主要是退休人员取暖费等支出，完成年初预算的100%，决算数与年初预算数存在差异的主要原因是无。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7.04万元,主要是机关养老保险缴费等支出，完成年初预算的116.5%，决算数与年初预算数存在差异的主要原因是机关养老保险每年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5.84万元,主要是退休人员职业年金缴费等支出，完成年初预算的100%，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（1）卫生健康支出（类）行政事业单位医疗（款）行政单位医疗（项）2.70万元,主要是职工基本医疗保险缴费等支出，完成年初预算的69.77%，决算数与年初预算数存在差异的主要原因是人员减少。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（2）卫生健康支出（类）行政事业单位医疗（款）公务员医疗补助（项）0.76万元,主要是公务员医疗补助缴费等支出，完成年初预算的100%，决算数与年初预算数存在差异的主要原因是无。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（3）卫生健康支出（类）行政事业单位医疗（款）其他行政事业单位医疗支出（项）0.17万元,主要是行政事业单位医疗支出等支出，完成年初预算的100%，决算数与年初预算数存在差异的主要原因是无。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3.农林水支出8.20万元，具体包括：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（1）农林水支出（类）水利（款）防汛（项）8.20万元,主要是防汛转运车辆等支出，完成年初预算的100%，决算数与年初预算数存在差异的主要原因是无。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4.交通运输支出204.71万元，具体包括：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（1）交通运输支出（类）公路水路运输（款）行政运行（项）75.97万元,主要是交通运输类行政人员基本支出等支出，完成年初预算的179.32%，决算数与年初预算数存在差异的主要原因是人员增加。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（2）交通运输支出（类）公路水路运输（款）其他公路水路运输支出（项）128.74万元,主要是其他公路水路运输等支出，完成年初预算的42.91%，决算数与年初预算数存在差异的主要原因是项目支出减少。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5.住房保障支出6.13万元，具体包括：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（1）住房保障支出（类）住房改革支出（款）住房公积金（项）6.13万元,主要是住房公积金缴费等支出，完成年初预算的124.85%，决算数与年初预算数存在差异的主要原因是基数调整增加公积金补缴部分。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6.灾害防治及应急管理支出141.84万元，具体包括：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29.91万元,主要是自然灾害救灾转运车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自然灾害救灾及恢复重建支出（款）自然灾害灾后重建补助（项）111.93万元,主要是灾后重建工程项目增加等支出，完成年初预算的100%，决算数与年初预算数存在差异的主要原因是项目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公务车运行维护费增加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公车维护费用支出增加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比上年增加2.49万元，增长71.14%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2022年下半年从城建中心调入公务车辆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主要用于车辆燃油费、车辆保险、车辆维修等，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99.11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85.89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13.22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13.22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比上年增加2.86万元，增长27.61%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根据预算绩效管理要求，盘锦市兴隆台区交通运输局组织开展部门（单位）整体绩效自评工作，涉及资金65.56万元，其中财政拨款资金65.56万元，自评得分100分。</w:t>
        <w:br/>
        <w:t xml:space="preserve">详见附件《部门（单位）整体绩效自评表》。</w:t>
        <w:br/>
        <w:t xml:space="preserve">2.项目绩效自评情况</w:t>
        <w:br/>
        <w:t xml:space="preserve">2023年度，盘锦市兴隆台区交通运输局对本部门（单位）6个项目开展项目绩效自评工作，涉及资金75.94万元，其中财政拨款资金75.94万元，自评覆盖率（开展绩效自评的项目数/年初批复绩效目标的项目数*100%）达到100%，自评平均分（开展绩效自评的项目分数总和/开展绩效自评的项目数）89.45分。</w:t>
        <w:br/>
        <w:t xml:space="preserve">详见附件《预算项目（政策）绩效自评表》。</w:t>
        <w:br/>
        <w:t xml:space="preserve">3.部门重点评价情况</w:t>
        <w:br/>
        <w:t xml:space="preserve">2023年度，兴隆台区交通运输局未开展部门重点评价工作。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377.88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8.20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204.70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141.84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377.88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377.88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377.88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377.88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377.88</w:t>
            </w:r>
          </w:p>
        </w:tc>
        <w:tc>
          <w:tcPr>
            <w:tcW w:w="1160" w:type="dxa"/>
            <w:tcBorders/>
            <w:vAlign w:val="center"/>
          </w:tcPr>
          <w:p>
            <w:pPr>
              <w:jc w:val="right"/>
            </w:pPr>
            <w:r>
              <w:rPr>
                <w:rFonts w:ascii="宋体" w:eastAsia="宋体" w:hAnsi="宋体" w:cs="宋体"/>
                <w:b/>
                <w:i w:val="0"/>
                <w:color w:val="000000"/>
                <w:sz w:val="14"/>
              </w:rPr>
              <w:t xml:space="preserve">377.88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jc w:val="right"/>
            </w:pPr>
            <w:r>
              <w:rPr>
                <w:rFonts w:ascii="宋体" w:eastAsia="宋体" w:hAnsi="宋体" w:cs="宋体"/>
                <w:b w:val="0"/>
                <w:i w:val="0"/>
                <w:color w:val="000000"/>
                <w:sz w:val="14"/>
              </w:rPr>
              <w:t xml:space="preserve">13.36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7.04</w:t>
            </w:r>
          </w:p>
        </w:tc>
        <w:tc>
          <w:tcPr>
            <w:tcW w:w="1160" w:type="dxa"/>
            <w:tcBorders/>
            <w:vAlign w:val="center"/>
          </w:tcPr>
          <w:p>
            <w:pPr>
              <w:jc w:val="right"/>
            </w:pPr>
            <w:r>
              <w:rPr>
                <w:rFonts w:ascii="宋体" w:eastAsia="宋体" w:hAnsi="宋体" w:cs="宋体"/>
                <w:b w:val="0"/>
                <w:i w:val="0"/>
                <w:color w:val="000000"/>
                <w:sz w:val="14"/>
              </w:rPr>
              <w:t xml:space="preserve">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5.84</w:t>
            </w:r>
          </w:p>
        </w:tc>
        <w:tc>
          <w:tcPr>
            <w:tcW w:w="1160" w:type="dxa"/>
            <w:tcBorders/>
            <w:vAlign w:val="center"/>
          </w:tcPr>
          <w:p>
            <w:pPr>
              <w:jc w:val="right"/>
            </w:pPr>
            <w:r>
              <w:rPr>
                <w:rFonts w:ascii="宋体" w:eastAsia="宋体" w:hAnsi="宋体" w:cs="宋体"/>
                <w:b w:val="0"/>
                <w:i w:val="0"/>
                <w:color w:val="000000"/>
                <w:sz w:val="14"/>
              </w:rPr>
              <w:t xml:space="preserve">5.84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jc w:val="right"/>
            </w:pPr>
            <w:r>
              <w:rPr>
                <w:rFonts w:ascii="宋体" w:eastAsia="宋体" w:hAnsi="宋体" w:cs="宋体"/>
                <w:b w:val="0"/>
                <w:i w:val="0"/>
                <w:color w:val="000000"/>
                <w:sz w:val="14"/>
              </w:rPr>
              <w:t xml:space="preserve">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204.71</w:t>
            </w:r>
          </w:p>
        </w:tc>
        <w:tc>
          <w:tcPr>
            <w:tcW w:w="1160" w:type="dxa"/>
            <w:tcBorders/>
            <w:vAlign w:val="center"/>
          </w:tcPr>
          <w:p>
            <w:pPr>
              <w:jc w:val="right"/>
            </w:pPr>
            <w:r>
              <w:rPr>
                <w:rFonts w:ascii="宋体" w:eastAsia="宋体" w:hAnsi="宋体" w:cs="宋体"/>
                <w:b w:val="0"/>
                <w:i w:val="0"/>
                <w:color w:val="000000"/>
                <w:sz w:val="14"/>
              </w:rPr>
              <w:t xml:space="preserve">204.71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204.71</w:t>
            </w:r>
          </w:p>
        </w:tc>
        <w:tc>
          <w:tcPr>
            <w:tcW w:w="1160" w:type="dxa"/>
            <w:tcBorders/>
            <w:vAlign w:val="center"/>
          </w:tcPr>
          <w:p>
            <w:pPr>
              <w:jc w:val="right"/>
            </w:pPr>
            <w:r>
              <w:rPr>
                <w:rFonts w:ascii="宋体" w:eastAsia="宋体" w:hAnsi="宋体" w:cs="宋体"/>
                <w:b w:val="0"/>
                <w:i w:val="0"/>
                <w:color w:val="000000"/>
                <w:sz w:val="14"/>
              </w:rPr>
              <w:t xml:space="preserve">204.71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128.74</w:t>
            </w:r>
          </w:p>
        </w:tc>
        <w:tc>
          <w:tcPr>
            <w:tcW w:w="1160" w:type="dxa"/>
            <w:tcBorders/>
            <w:vAlign w:val="center"/>
          </w:tcPr>
          <w:p>
            <w:pPr>
              <w:jc w:val="right"/>
            </w:pPr>
            <w:r>
              <w:rPr>
                <w:rFonts w:ascii="宋体" w:eastAsia="宋体" w:hAnsi="宋体" w:cs="宋体"/>
                <w:b w:val="0"/>
                <w:i w:val="0"/>
                <w:color w:val="000000"/>
                <w:sz w:val="14"/>
              </w:rPr>
              <w:t xml:space="preserve">128.74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141.84</w:t>
            </w:r>
          </w:p>
        </w:tc>
        <w:tc>
          <w:tcPr>
            <w:tcW w:w="1160" w:type="dxa"/>
            <w:tcBorders/>
            <w:vAlign w:val="center"/>
          </w:tcPr>
          <w:p>
            <w:pPr>
              <w:jc w:val="right"/>
            </w:pPr>
            <w:r>
              <w:rPr>
                <w:rFonts w:ascii="宋体" w:eastAsia="宋体" w:hAnsi="宋体" w:cs="宋体"/>
                <w:b w:val="0"/>
                <w:i w:val="0"/>
                <w:color w:val="000000"/>
                <w:sz w:val="14"/>
              </w:rPr>
              <w:t xml:space="preserve">141.84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141.84</w:t>
            </w:r>
          </w:p>
        </w:tc>
        <w:tc>
          <w:tcPr>
            <w:tcW w:w="1160" w:type="dxa"/>
            <w:tcBorders/>
            <w:vAlign w:val="center"/>
          </w:tcPr>
          <w:p>
            <w:pPr>
              <w:jc w:val="right"/>
            </w:pPr>
            <w:r>
              <w:rPr>
                <w:rFonts w:ascii="宋体" w:eastAsia="宋体" w:hAnsi="宋体" w:cs="宋体"/>
                <w:b w:val="0"/>
                <w:i w:val="0"/>
                <w:color w:val="000000"/>
                <w:sz w:val="14"/>
              </w:rPr>
              <w:t xml:space="preserve">141.84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29.91</w:t>
            </w:r>
          </w:p>
        </w:tc>
        <w:tc>
          <w:tcPr>
            <w:tcW w:w="1160" w:type="dxa"/>
            <w:tcBorders/>
            <w:vAlign w:val="center"/>
          </w:tcPr>
          <w:p>
            <w:pPr>
              <w:jc w:val="right"/>
            </w:pPr>
            <w:r>
              <w:rPr>
                <w:rFonts w:ascii="宋体" w:eastAsia="宋体" w:hAnsi="宋体" w:cs="宋体"/>
                <w:b w:val="0"/>
                <w:i w:val="0"/>
                <w:color w:val="000000"/>
                <w:sz w:val="14"/>
              </w:rPr>
              <w:t xml:space="preserve">29.91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111.93</w:t>
            </w:r>
          </w:p>
        </w:tc>
        <w:tc>
          <w:tcPr>
            <w:tcW w:w="1160" w:type="dxa"/>
            <w:tcBorders/>
            <w:vAlign w:val="center"/>
          </w:tcPr>
          <w:p>
            <w:pPr>
              <w:jc w:val="right"/>
            </w:pPr>
            <w:r>
              <w:rPr>
                <w:rFonts w:ascii="宋体" w:eastAsia="宋体" w:hAnsi="宋体" w:cs="宋体"/>
                <w:b w:val="0"/>
                <w:i w:val="0"/>
                <w:color w:val="000000"/>
                <w:sz w:val="14"/>
              </w:rPr>
              <w:t xml:space="preserve">111.93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377.88</w:t>
            </w:r>
          </w:p>
        </w:tc>
        <w:tc>
          <w:tcPr>
            <w:tcW w:w="1120" w:type="dxa"/>
            <w:tcBorders/>
            <w:vAlign w:val="center"/>
          </w:tcPr>
          <w:p>
            <w:pPr>
              <w:jc w:val="right"/>
            </w:pPr>
            <w:r>
              <w:rPr>
                <w:rFonts w:ascii="宋体" w:eastAsia="宋体" w:hAnsi="宋体" w:cs="宋体"/>
                <w:b/>
                <w:i w:val="0"/>
                <w:color w:val="000000"/>
                <w:sz w:val="16"/>
              </w:rPr>
              <w:t xml:space="preserve">99.10</w:t>
            </w:r>
          </w:p>
        </w:tc>
        <w:tc>
          <w:tcPr>
            <w:tcW w:w="1120" w:type="dxa"/>
            <w:tcBorders/>
            <w:vAlign w:val="center"/>
          </w:tcPr>
          <w:p>
            <w:pPr>
              <w:jc w:val="right"/>
            </w:pPr>
            <w:r>
              <w:rPr>
                <w:rFonts w:ascii="宋体" w:eastAsia="宋体" w:hAnsi="宋体" w:cs="宋体"/>
                <w:b/>
                <w:i w:val="0"/>
                <w:color w:val="000000"/>
                <w:sz w:val="16"/>
              </w:rPr>
              <w:t xml:space="preserve">278.78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jc w:val="right"/>
            </w:pPr>
            <w:r>
              <w:rPr>
                <w:rFonts w:ascii="宋体" w:eastAsia="宋体" w:hAnsi="宋体" w:cs="宋体"/>
                <w:b w:val="0"/>
                <w:i w:val="0"/>
                <w:color w:val="000000"/>
                <w:sz w:val="16"/>
              </w:rPr>
              <w:t xml:space="preserve">13.36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7.04</w:t>
            </w:r>
          </w:p>
        </w:tc>
        <w:tc>
          <w:tcPr>
            <w:tcW w:w="1120" w:type="dxa"/>
            <w:tcBorders/>
            <w:vAlign w:val="center"/>
          </w:tcPr>
          <w:p>
            <w:pPr>
              <w:jc w:val="right"/>
            </w:pPr>
            <w:r>
              <w:rPr>
                <w:rFonts w:ascii="宋体" w:eastAsia="宋体" w:hAnsi="宋体" w:cs="宋体"/>
                <w:b w:val="0"/>
                <w:i w:val="0"/>
                <w:color w:val="000000"/>
                <w:sz w:val="16"/>
              </w:rPr>
              <w:t xml:space="preserve">7.04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5.84</w:t>
            </w:r>
          </w:p>
        </w:tc>
        <w:tc>
          <w:tcPr>
            <w:tcW w:w="1120" w:type="dxa"/>
            <w:tcBorders/>
            <w:vAlign w:val="center"/>
          </w:tcPr>
          <w:p>
            <w:pPr>
              <w:jc w:val="right"/>
            </w:pPr>
            <w:r>
              <w:rPr>
                <w:rFonts w:ascii="宋体" w:eastAsia="宋体" w:hAnsi="宋体" w:cs="宋体"/>
                <w:b w:val="0"/>
                <w:i w:val="0"/>
                <w:color w:val="000000"/>
                <w:sz w:val="16"/>
              </w:rPr>
              <w:t xml:space="preserve">5.84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2.70</w:t>
            </w:r>
          </w:p>
        </w:tc>
        <w:tc>
          <w:tcPr>
            <w:tcW w:w="1120" w:type="dxa"/>
            <w:tcBorders/>
            <w:vAlign w:val="center"/>
          </w:tcPr>
          <w:p>
            <w:pPr>
              <w:jc w:val="right"/>
            </w:pPr>
            <w:r>
              <w:rPr>
                <w:rFonts w:ascii="宋体" w:eastAsia="宋体" w:hAnsi="宋体" w:cs="宋体"/>
                <w:b w:val="0"/>
                <w:i w:val="0"/>
                <w:color w:val="000000"/>
                <w:sz w:val="16"/>
              </w:rPr>
              <w:t xml:space="preserve">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204.71</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128.74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204.71</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128.74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128.74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141.84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141.84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29.91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111.93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13.36</w:t>
            </w:r>
          </w:p>
        </w:tc>
        <w:tc>
          <w:tcPr>
            <w:tcW w:w="1100" w:type="dxa"/>
            <w:tcBorders/>
            <w:vAlign w:val="center"/>
          </w:tcPr>
          <w:p>
            <w:pPr>
              <w:jc w:val="right"/>
            </w:pPr>
            <w:r>
              <w:rPr>
                <w:rFonts w:ascii="宋体" w:eastAsia="宋体" w:hAnsi="宋体" w:cs="宋体"/>
                <w:b w:val="0"/>
                <w:i w:val="0"/>
                <w:color w:val="000000"/>
                <w:sz w:val="14"/>
              </w:rPr>
              <w:t xml:space="preserve">13.36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3.64</w:t>
            </w:r>
          </w:p>
        </w:tc>
        <w:tc>
          <w:tcPr>
            <w:tcW w:w="1100" w:type="dxa"/>
            <w:tcBorders/>
            <w:vAlign w:val="center"/>
          </w:tcPr>
          <w:p>
            <w:pPr>
              <w:jc w:val="right"/>
            </w:pPr>
            <w:r>
              <w:rPr>
                <w:rFonts w:ascii="宋体" w:eastAsia="宋体" w:hAnsi="宋体" w:cs="宋体"/>
                <w:b w:val="0"/>
                <w:i w:val="0"/>
                <w:color w:val="000000"/>
                <w:sz w:val="14"/>
              </w:rPr>
              <w:t xml:space="preserve">3.64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8.20</w:t>
            </w:r>
          </w:p>
        </w:tc>
        <w:tc>
          <w:tcPr>
            <w:tcW w:w="1100" w:type="dxa"/>
            <w:tcBorders/>
            <w:vAlign w:val="center"/>
          </w:tcPr>
          <w:p>
            <w:pPr>
              <w:jc w:val="right"/>
            </w:pPr>
            <w:r>
              <w:rPr>
                <w:rFonts w:ascii="宋体" w:eastAsia="宋体" w:hAnsi="宋体" w:cs="宋体"/>
                <w:b w:val="0"/>
                <w:i w:val="0"/>
                <w:color w:val="000000"/>
                <w:sz w:val="14"/>
              </w:rPr>
              <w:t xml:space="preserve">8.20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204.70</w:t>
            </w:r>
          </w:p>
        </w:tc>
        <w:tc>
          <w:tcPr>
            <w:tcW w:w="1100" w:type="dxa"/>
            <w:tcBorders/>
            <w:vAlign w:val="center"/>
          </w:tcPr>
          <w:p>
            <w:pPr>
              <w:jc w:val="right"/>
            </w:pPr>
            <w:r>
              <w:rPr>
                <w:rFonts w:ascii="宋体" w:eastAsia="宋体" w:hAnsi="宋体" w:cs="宋体"/>
                <w:b w:val="0"/>
                <w:i w:val="0"/>
                <w:color w:val="000000"/>
                <w:sz w:val="14"/>
              </w:rPr>
              <w:t xml:space="preserve">204.70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6.13</w:t>
            </w:r>
          </w:p>
        </w:tc>
        <w:tc>
          <w:tcPr>
            <w:tcW w:w="1100" w:type="dxa"/>
            <w:tcBorders/>
            <w:vAlign w:val="center"/>
          </w:tcPr>
          <w:p>
            <w:pPr>
              <w:jc w:val="right"/>
            </w:pPr>
            <w:r>
              <w:rPr>
                <w:rFonts w:ascii="宋体" w:eastAsia="宋体" w:hAnsi="宋体" w:cs="宋体"/>
                <w:b w:val="0"/>
                <w:i w:val="0"/>
                <w:color w:val="000000"/>
                <w:sz w:val="14"/>
              </w:rPr>
              <w:t xml:space="preserve">6.13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141.84</w:t>
            </w:r>
          </w:p>
        </w:tc>
        <w:tc>
          <w:tcPr>
            <w:tcW w:w="1100" w:type="dxa"/>
            <w:tcBorders/>
            <w:vAlign w:val="center"/>
          </w:tcPr>
          <w:p>
            <w:pPr>
              <w:jc w:val="right"/>
            </w:pPr>
            <w:r>
              <w:rPr>
                <w:rFonts w:ascii="宋体" w:eastAsia="宋体" w:hAnsi="宋体" w:cs="宋体"/>
                <w:b w:val="0"/>
                <w:i w:val="0"/>
                <w:color w:val="000000"/>
                <w:sz w:val="14"/>
              </w:rPr>
              <w:t xml:space="preserve">141.84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1100" w:type="dxa"/>
            <w:tcBorders/>
            <w:vAlign w:val="center"/>
          </w:tcPr>
          <w:p>
            <w:pPr>
              <w:jc w:val="right"/>
            </w:pPr>
            <w:r>
              <w:rPr>
                <w:rFonts w:ascii="宋体" w:eastAsia="宋体" w:hAnsi="宋体" w:cs="宋体"/>
                <w:b w:val="0"/>
                <w:i w:val="0"/>
                <w:color w:val="000000"/>
                <w:sz w:val="14"/>
              </w:rPr>
              <w:t xml:space="preserve">377.88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377.88</w:t>
            </w:r>
          </w:p>
        </w:tc>
        <w:tc>
          <w:tcPr>
            <w:tcW w:w="1980" w:type="dxa"/>
            <w:tcBorders/>
            <w:vAlign w:val="center"/>
          </w:tcPr>
          <w:p>
            <w:pPr>
              <w:jc w:val="right"/>
            </w:pPr>
            <w:r>
              <w:rPr>
                <w:rFonts w:ascii="宋体" w:eastAsia="宋体" w:hAnsi="宋体" w:cs="宋体"/>
                <w:b/>
                <w:i w:val="0"/>
                <w:color w:val="000000"/>
                <w:sz w:val="20"/>
              </w:rPr>
              <w:t xml:space="preserve">99.10</w:t>
            </w:r>
          </w:p>
        </w:tc>
        <w:tc>
          <w:tcPr>
            <w:tcW w:w="1952" w:type="dxa"/>
            <w:tcBorders/>
            <w:vAlign w:val="center"/>
          </w:tcPr>
          <w:p>
            <w:pPr>
              <w:jc w:val="right"/>
            </w:pPr>
            <w:r>
              <w:rPr>
                <w:rFonts w:ascii="宋体" w:eastAsia="宋体" w:hAnsi="宋体" w:cs="宋体"/>
                <w:b/>
                <w:i w:val="0"/>
                <w:color w:val="000000"/>
                <w:sz w:val="20"/>
              </w:rPr>
              <w:t xml:space="preserve">278.78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80" w:type="dxa"/>
            <w:tcBorders/>
            <w:vAlign w:val="center"/>
          </w:tcPr>
          <w:p>
            <w:pPr>
              <w:jc w:val="right"/>
            </w:pPr>
            <w:r>
              <w:rPr>
                <w:rFonts w:ascii="宋体" w:eastAsia="宋体" w:hAnsi="宋体" w:cs="宋体"/>
                <w:b w:val="0"/>
                <w:i w:val="0"/>
                <w:color w:val="000000"/>
                <w:sz w:val="20"/>
              </w:rPr>
              <w:t xml:space="preserve">13.36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7.04</w:t>
            </w:r>
          </w:p>
        </w:tc>
        <w:tc>
          <w:tcPr>
            <w:tcW w:w="1980" w:type="dxa"/>
            <w:tcBorders/>
            <w:vAlign w:val="center"/>
          </w:tcPr>
          <w:p>
            <w:pPr>
              <w:jc w:val="right"/>
            </w:pPr>
            <w:r>
              <w:rPr>
                <w:rFonts w:ascii="宋体" w:eastAsia="宋体" w:hAnsi="宋体" w:cs="宋体"/>
                <w:b w:val="0"/>
                <w:i w:val="0"/>
                <w:color w:val="000000"/>
                <w:sz w:val="20"/>
              </w:rPr>
              <w:t xml:space="preserve">7.04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5.84</w:t>
            </w:r>
          </w:p>
        </w:tc>
        <w:tc>
          <w:tcPr>
            <w:tcW w:w="1980" w:type="dxa"/>
            <w:tcBorders/>
            <w:vAlign w:val="center"/>
          </w:tcPr>
          <w:p>
            <w:pPr>
              <w:jc w:val="right"/>
            </w:pPr>
            <w:r>
              <w:rPr>
                <w:rFonts w:ascii="宋体" w:eastAsia="宋体" w:hAnsi="宋体" w:cs="宋体"/>
                <w:b w:val="0"/>
                <w:i w:val="0"/>
                <w:color w:val="000000"/>
                <w:sz w:val="20"/>
              </w:rPr>
              <w:t xml:space="preserve">5.84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2.70</w:t>
            </w:r>
          </w:p>
        </w:tc>
        <w:tc>
          <w:tcPr>
            <w:tcW w:w="1980" w:type="dxa"/>
            <w:tcBorders/>
            <w:vAlign w:val="center"/>
          </w:tcPr>
          <w:p>
            <w:pPr>
              <w:jc w:val="right"/>
            </w:pPr>
            <w:r>
              <w:rPr>
                <w:rFonts w:ascii="宋体" w:eastAsia="宋体" w:hAnsi="宋体" w:cs="宋体"/>
                <w:b w:val="0"/>
                <w:i w:val="0"/>
                <w:color w:val="000000"/>
                <w:sz w:val="20"/>
              </w:rPr>
              <w:t xml:space="preserve">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8.20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8.20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8.20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204.71</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128.74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204.71</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128.74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128.74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141.84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141.84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29.91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111.93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111.93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85.41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13.22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22.13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2.21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15.52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25.10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7.04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5.84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2.68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3.84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85.89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13.22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单位：辽宁省盘锦市兴隆台区交通运输局(本级）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332011辽宁省盘锦市兴隆台区交通运输局-211103000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18.70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保障工作人员日常办公。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保障工作人员日常办公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公路通车里程增长率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基层群众对交通运输工作的满意度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完善内控制度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农村道路维修费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387.57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确保农村公路畅通，保障居民出行便利。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确保农村公路畅通，保障居民出行便利。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31.51603069</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数字化电子档案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为了提高业务工作效率，用数字化档案管理系统提供安全、高效的管理和利用，实现资源共享，申请建立数字化档案库。</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提高工作效率，用数字化档案管理系统提供安全、高效的管理和利用，实现资源共享。</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维护工作量完成率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项目实际完成率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信用信息记录准确率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项目效果持续性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持续发展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运行可持续性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持续发展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检测费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保障农村公路安全可持续运行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保障农村公路安全可持续运行,编制兴隆台区农村公路发展规划（2023-2025年）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约定进度完成率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完工项目验收合格率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安全水平提升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运行可持续性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检测费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保障农村公路安全可持续运行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保障农村公路安全可持续运行,编制兴隆台区农村公路发展规划（2023-2025年）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约定进度完成率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完工项目验收合格率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安全水平提升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运行可持续性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94.25%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保证单位日常工作正常运转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路长制工作经费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快推进“四好农村路”高质量发展，要求各县（市、区）成立农村公路“路长制”工作领导小组，制定完善“巡查、上报、处理、反馈”的养护巡查制度，扎实开展养护巡察工作，发现问题及时处理，发现病害及时处治，积极组织春秋季节养护会战，及时做好防汛及除雪防滑工作，全面加强农村公路养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已完成20块路长制公示牌安装工作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维护工作量完成率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交通便利性提升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提升便利</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安全水平提升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17.94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安全预警系统（路口哨兵）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辽宁省盘锦市兴隆台区交通运输局-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97.73%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落实我区交通安全隐患治理，在兴隆台区向海大道与盛世街交汇处人行横道、兴隆台区向海大道与兴油大街交汇处北200米三工地小区路口人行横道、兴隆台区泰山路与工业街交汇处南500米盛京银行坡路处、兴隆台区泰山路盘锦市客运站门前人行横道等四处安装安全预警系统（路口哨兵），保障行人安全通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兴隆台区向海大道与盛世街交汇处人行横道、兴隆台区向海大道与兴油大街交汇处北200米三工地小区路口人行横道、兴隆台区泰山路与工业街交汇处南500米盛京银行坡路处、兴隆台区泰山路盘锦市客运站门前人行横道等四处安装安全预警系统（路口哨兵），保障行人安全通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项目实际完成率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安全水平提升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99.77</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26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