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盘 锦 市 双 台 子 区 人 民 政 府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660"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双区政〔2024〕27号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关于提请审议《双台子区人民政府关于2023年决算和2024年上半年预算执行情况的报告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》的议案</w:t>
      </w:r>
    </w:p>
    <w:p>
      <w:pPr>
        <w:pStyle w:val="2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区人大常委会：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双台子区人民政府关于2023年决算和2024年上半年预算执行情况的报告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》予以呈报，请予审议。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盘锦市双台子区人民政府</w:t>
      </w:r>
    </w:p>
    <w:p>
      <w:pPr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双台子区人民政府关于2023年决算和2024年上半年预算执行情况的报告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双台子区财政局局长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王百灵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按照会议安排，我受双台子区人民政府委托，向本次会议报告双台子区2023年财政决算和2024年上半年预算执行情况，请予审议。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rtl w:val="0"/>
          <w:lang w:val="en-US" w:eastAsia="zh-CN"/>
        </w:rPr>
        <w:t>一、2023年决算情况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2023年，是全面贯彻党的二十大精神的开局之年，也是实施全面振兴新突破三年行动的首战之年。全区财政工作在区委的坚强领导下，在区人大、区政协的监督支持下，以习近平新时代中国特色社会主义思想为指导，深入贯彻落实习近平总书记关于东北、辽宁振兴发展的重要讲话和指示批示精神，坚持稳中求进工作总基调，严格执行区十届人大二次会议审查批准的2023年预算，全面贯彻新发展理念，牢牢把握高质量发展这个首要任务和构建新发展格局这个战略任务，坚持以政领财、以财辅政，充分发挥财政职能作用，推动积极的财政政策加力提效，注重精准、更可持续，全区财政运行基本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（一）收支决算情况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1.一般公共预算收支决算情况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一般公共预算收入50897万元，完成预算的118.4%，同比增长37.6%，增值税留抵退税影响一般公共预算收入4303万元，较去年同期减少8560万元，剔除此因素后收入同口径增长10.7%；加上上级补助收入93939万元，上年结余收入23848万元，调入资金218万元，债务转贷收入153349万元，动用预算稳定调节基金9663万元，收入总量为331914万元。全区一般公共预算支出165872万元，完成预算的103.9%，同比增长6.6%；加上上解上级支出25268万元，安排预算稳定调节基金897万元，调出资金9499万元，债务还本支出83145万元，待偿债再融资一般债券结余30204万元，结转下年支出17029万元，支出总量为331914万元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一般公共预算收入46562万元，完成预算的120.7%，同比增长43.2%，剔除留抵退税因素后同口径增长13.1%；加上上级补助收入93939万元，下级上解收入2510万元，上年结余收入23327万元，债务转贷收入153349万元，动用预算稳定调节基金9663万元，收入总量为329350万元。区本级一般公共预算支出160799万元，完成预算的103.3%，同比增长6.2%；加上上解上级支出25268万元，补助下级支出2869万元，债务还本支出83145万元，安排预算稳定调节基金897万元，调出资金9499万元，待偿债再融资一般债券结余30204万元，结转下年支出16669万元，支出总量为329350万元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区本级主要支出事项是：一般公共服务支出17275万元，教育支出16364万元，社会保障和就业支出34044万元，卫生健康支出7465万元，农林水支出38293万元，住房保障支出7232万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区本级对下转移支付支出2869万元，其中：返还性转移支付支出14万元，一般性转移支付支出1386万元，专项转移支付支出 1469万元。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2023年预算安排区本级预备费2000万元，实际支出2000万元，主要用于自然灾害救灾支出及公共卫生支出。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2.政府性基金预算收支决算情况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未实现政府性基金收入，同比减收4617万元；加上上级补助收入438万元，上年结余收入1185万元，调入资金9499万元，债务转贷收入70000万元，收入总量为81122万元。全区政府性基金支出18649万元，同比增长75.2%；加上债务还本支出50000万元，结转下年支出12473万元，支出总量为81122万元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政府性基金预算收支决算情况与全区情况相同。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3.国有资本经营预算收支决算情况</w:t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rtl w:val="0"/>
          <w:lang w:val="en-US" w:eastAsia="zh-CN"/>
        </w:rPr>
        <w:t>全区</w:t>
      </w:r>
      <w:r>
        <w:rPr>
          <w:rFonts w:hint="eastAsia"/>
          <w:rtl w:val="0"/>
          <w:lang w:val="en-US" w:eastAsia="zh-CN"/>
        </w:rPr>
        <w:t>国有资本经营预算收入110万元，同比增长4.8%；加上上级补助收入207万元，上年结余收入515万元，收入总量为832万元。全区国有资本经营预算支出17万元，同比增长41.7%；加上上解上级支出100万元，结转下年支出715万元，支出总量为832万元，实现收支平衡。</w:t>
      </w:r>
    </w:p>
    <w:p>
      <w:pPr>
        <w:pStyle w:val="13"/>
        <w:bidi w:val="0"/>
        <w:rPr>
          <w:rFonts w:hint="eastAsia"/>
          <w:b w:val="0"/>
          <w:bCs w:val="0"/>
          <w:rtl w:val="0"/>
          <w:lang w:val="en-US" w:eastAsia="zh-CN"/>
        </w:rPr>
      </w:pPr>
      <w:r>
        <w:rPr>
          <w:rFonts w:hint="eastAsia"/>
          <w:b/>
          <w:bCs/>
          <w:rtl w:val="0"/>
          <w:lang w:val="en-US" w:eastAsia="zh-CN"/>
        </w:rPr>
        <w:t>区本级</w:t>
      </w:r>
      <w:r>
        <w:rPr>
          <w:rFonts w:hint="eastAsia"/>
          <w:b w:val="0"/>
          <w:bCs w:val="0"/>
          <w:rtl w:val="0"/>
          <w:lang w:val="en-US" w:eastAsia="zh-CN"/>
        </w:rPr>
        <w:t>国有资本经营预算收支决算情况与全区情况相同。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4.社会保险基金预算收支决算情况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社会保险基金预算收入18138万元，其中：城乡居民基本养老保险基金收入3414万元，机关事业单位基本养老保险基金收入14724万元。全区社会保险基金支出17235万元，其中：城乡居民基本养老保险基金支出1877万元，机关事业单位基本养老保险基金支出15358万元。当年收支结余903万元，年末滚存结余3857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社会保险基金预算收支决算情况与全区情况相同。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（二）政府债务情况</w:t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2023年双台子区政府债务限额89.7亿元，政府债务余额89.69亿元，其中：</w:t>
      </w:r>
      <w:r>
        <w:rPr>
          <w:rFonts w:hint="eastAsia"/>
          <w:highlight w:val="none"/>
          <w:lang w:val="en-US" w:eastAsia="zh-CN"/>
        </w:rPr>
        <w:t>一般债券58.55亿元，专项债券31.14亿元。</w:t>
      </w:r>
      <w:r>
        <w:rPr>
          <w:rFonts w:hint="eastAsia"/>
          <w:lang w:val="en-US" w:eastAsia="zh-CN"/>
        </w:rPr>
        <w:t>2023年化解法定债务还本付息7.06亿元，其中:通过再融资债券解决法定债务还本4.58亿元，通过年初预算安排付息 2.48 亿元。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委员，2023年财政部门认真贯彻区委决策部署，落实区级人大预算决议和审查意见要求，强化财政资源统筹，狠抓财政收支管理，防范化解财政风险，落实落细各项惠企政策，稳步推进改革发展，助力全区全面振兴新突破三年行动首战告捷，较好完成了各项工作任务。累计完成全口径增值税留抵退税8674万元，惠及纳税人8户。贯彻落实“过紧日子”要求，</w:t>
      </w:r>
      <w:r>
        <w:rPr>
          <w:rFonts w:hint="eastAsia"/>
          <w:highlight w:val="none"/>
          <w:lang w:val="en-US" w:eastAsia="zh-CN"/>
        </w:rPr>
        <w:t>全年保障“三保”支出61893万元，其中：保基本民生22891万元、保工资35867万元、保运转3135万元，兜牢兜实了“三保”底线。</w:t>
      </w:r>
      <w:r>
        <w:rPr>
          <w:rFonts w:hint="eastAsia"/>
          <w:lang w:val="en-US" w:eastAsia="zh-CN"/>
        </w:rPr>
        <w:t>坚持防范化解债务风险，通过再融资债券解决法定债务还本4.58亿元，通过安排预算偿还债务利息2.47亿元，守住了不发生系统性债务风险的底线。统筹财政资源助力全面振兴新突破三年行动，累计安排各类资金12531万元用于支持建设现代化产业体系、扩大内需、乡村振兴及绿色低碳发展，为全区高质量发展提供坚实保障。</w:t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取得成绩的同时，当前财政工作中还面临着一些问题和困难：财政收入总量较小，持续稳定增长基础尚不稳固；保“三保”、债务还本付息等刚性支出需求大，收支矛盾突出；财政资金短缺，防范化解风险任务艰巨。面对困难和挑战，财政部门将采取有力措施，积极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rtl w:val="0"/>
          <w:lang w:val="en-US" w:eastAsia="zh-CN"/>
        </w:rPr>
        <w:t>二、2024年上半年预算执行情况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是实现“十四五”规划目标任务的关键之年，是推进全面振兴新突破三年行动的攻坚之年。上半年，在区委的正确领导下，在区人大常委会的全面监督下，全区财政工作着力在组织财税收入、保障“三保”支出、防范化解风险等方面铆足干劲、下足功夫、攻坚克难，确保各项工作稳步推进、有序实施，预算执行工作取得良好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（一）收支执行情况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1.一般公共预算收支执行情况</w:t>
      </w:r>
    </w:p>
    <w:p>
      <w:pPr>
        <w:pStyle w:val="13"/>
        <w:bidi w:val="0"/>
        <w:rPr>
          <w:rFonts w:hint="eastAsia"/>
          <w:b w:val="0"/>
          <w:bCs w:val="0"/>
          <w:rtl w:val="0"/>
          <w:lang w:val="en-US" w:eastAsia="zh-CN"/>
        </w:rPr>
      </w:pPr>
      <w:r>
        <w:rPr>
          <w:rFonts w:hint="eastAsia"/>
          <w:b/>
          <w:bCs/>
          <w:rtl w:val="0"/>
          <w:lang w:val="en-US" w:eastAsia="zh-CN"/>
        </w:rPr>
        <w:t>全区一般公共预算收入</w:t>
      </w:r>
      <w:r>
        <w:rPr>
          <w:rFonts w:hint="eastAsia"/>
          <w:b w:val="0"/>
          <w:bCs w:val="0"/>
          <w:rtl w:val="0"/>
          <w:lang w:val="en-US" w:eastAsia="zh-CN"/>
        </w:rPr>
        <w:t>29107万元，完成预算的53.9%，同比增长9.1%，剔除留抵退税因素后同口径增长7.2%，其中：税收收入27356万元，同比增长8.9%，占一般公共预算收入的94%；非税收入1751万元，同比增长13.4%，占一般公共预算收入的6%。</w:t>
      </w:r>
      <w:r>
        <w:rPr>
          <w:rFonts w:hint="eastAsia"/>
          <w:b/>
          <w:bCs/>
          <w:rtl w:val="0"/>
          <w:lang w:val="en-US" w:eastAsia="zh-CN"/>
        </w:rPr>
        <w:t>一般公共预算支出</w:t>
      </w:r>
      <w:r>
        <w:rPr>
          <w:rFonts w:hint="eastAsia"/>
          <w:b w:val="0"/>
          <w:bCs w:val="0"/>
          <w:rtl w:val="0"/>
          <w:lang w:val="en-US" w:eastAsia="zh-CN"/>
        </w:rPr>
        <w:t>77217万元，完成预算的52.4%，同比下降10.8%。主要支出事项是：一般公共服务支出8126万元，社会保障和就业支出18049万元，教育支出7347万元，城乡社区支出10456万元，农林水支出6142万元，卫生健康支出2655万元，债务付息支出14264万元。</w:t>
      </w:r>
    </w:p>
    <w:p>
      <w:pPr>
        <w:pStyle w:val="13"/>
        <w:bidi w:val="0"/>
        <w:rPr>
          <w:rFonts w:hint="default"/>
          <w:b w:val="0"/>
          <w:bCs w:val="0"/>
          <w:rtl w:val="0"/>
          <w:lang w:val="en-US" w:eastAsia="zh-CN"/>
        </w:rPr>
      </w:pPr>
      <w:r>
        <w:rPr>
          <w:rFonts w:hint="eastAsia"/>
          <w:b/>
          <w:bCs/>
          <w:rtl w:val="0"/>
          <w:lang w:val="en-US" w:eastAsia="zh-CN"/>
        </w:rPr>
        <w:t>收入增幅较大的主要原因是：</w:t>
      </w:r>
      <w:r>
        <w:rPr>
          <w:rFonts w:hint="eastAsia"/>
          <w:b w:val="0"/>
          <w:bCs w:val="0"/>
          <w:rtl w:val="0"/>
          <w:lang w:val="en-US" w:eastAsia="zh-CN"/>
        </w:rPr>
        <w:t>一是部分行业收入增幅明显，拉动全区税收实现增长，其中：建筑业完成7454万元，同比增长157.7%，金融业完成2869万元，同比增长42.2%；二是拨付化债资金3亿元解决拖欠企业账款，力促企业增产增效，释放税收收入3946万元；三是罚没收入增长幅度较大，其中：纪委部门产生罚没收入500万元，同比增长66.7%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theme="minorBidi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theme="minorBidi"/>
          <w:b/>
          <w:bCs/>
          <w:sz w:val="32"/>
          <w:szCs w:val="32"/>
          <w:rtl w:val="0"/>
          <w:lang w:val="en-US" w:eastAsia="zh-CN"/>
        </w:rPr>
        <w:t>支出下降的主要原因是</w:t>
      </w:r>
      <w:r>
        <w:rPr>
          <w:rFonts w:hint="eastAsia" w:ascii="仿宋_GB2312" w:hAnsi="仿宋_GB2312" w:cstheme="minorBidi"/>
          <w:b/>
          <w:bCs/>
          <w:sz w:val="32"/>
          <w:szCs w:val="32"/>
          <w:rtl w:val="0"/>
          <w:lang w:val="en-US" w:eastAsia="zh-CN"/>
        </w:rPr>
        <w:t>：</w:t>
      </w:r>
      <w:r>
        <w:rPr>
          <w:rFonts w:hint="eastAsia" w:ascii="仿宋_GB2312" w:hAnsi="仿宋_GB2312" w:eastAsia="仿宋_GB2312" w:cstheme="minorBidi"/>
          <w:b w:val="0"/>
          <w:bCs w:val="0"/>
          <w:sz w:val="32"/>
          <w:szCs w:val="32"/>
          <w:rtl w:val="0"/>
          <w:lang w:val="en-US" w:eastAsia="zh-CN"/>
        </w:rPr>
        <w:t>去年同期发生新增发行一般债券安排的支出22000万元，用于辽河干流迁建项目，垫高同期支出基数。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2.政府性基金预算收支执行情况</w:t>
      </w:r>
    </w:p>
    <w:p>
      <w:pPr>
        <w:pStyle w:val="13"/>
        <w:bidi w:val="0"/>
        <w:rPr>
          <w:rFonts w:hint="default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上半年，全区政府性基金预算收入775万元，全部为国有土地使用权出让收入。政府性基金预算支出5503万元，同比下降53.9%，下降的主要原因是：去年同期发生新增发行专项债券支出7000万元，用于中试基地项目，垫高同期支出基数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3.国有资本经营预算收支执行情况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上半年，国有资本经营预算未实现收入。国有资本经营预算支出89万元，全部为国有企业退休人员社会化管理支出。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（二）政府债务情况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上半年，双台子区政府债务余额89.69亿元，其中：一般债务余额58.55亿元，专项债务余额31.14亿元。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上半年，全区化解法定债务还本付息2.96亿元，其中：通过再融资债券解决法定债务还本0.99亿元，通过年初预算安排付息1.97亿元。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rtl w:val="0"/>
          <w:lang w:val="en-US" w:eastAsia="zh-CN"/>
        </w:rPr>
        <w:t>（三）重点财政工作落实情况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1.坚持提升效能，推动积极的财政政策加力提效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b/>
          <w:bCs/>
          <w:rtl w:val="0"/>
          <w:lang w:val="en-US" w:eastAsia="zh-CN"/>
        </w:rPr>
        <w:t>多措并举开源节流。</w:t>
      </w:r>
      <w:r>
        <w:rPr>
          <w:rFonts w:hint="eastAsia"/>
          <w:rtl w:val="0"/>
          <w:lang w:val="en-US" w:eastAsia="zh-CN"/>
        </w:rPr>
        <w:t>注重提高收入质量，做到应收尽收，全区一般公共预算收入增幅超过年初预期目标3%。严格贯彻落实“过紧日子”要求，以2023年预算为基数，2024年预算纳入“一般性支出项目清单”的项目总体压减20.9%。加大存量资金盘活力度，清理收回结余资金145万元，收回统筹用于经济社会发展急需支持的领域。</w:t>
      </w:r>
      <w:r>
        <w:rPr>
          <w:rFonts w:hint="eastAsia"/>
          <w:b/>
          <w:bCs/>
          <w:rtl w:val="0"/>
          <w:lang w:val="en-US" w:eastAsia="zh-CN"/>
        </w:rPr>
        <w:t>落实落细财税支持政策。</w:t>
      </w:r>
      <w:r>
        <w:rPr>
          <w:rFonts w:hint="default"/>
          <w:rtl w:val="0"/>
          <w:lang w:val="en-US" w:eastAsia="zh-CN"/>
        </w:rPr>
        <w:t>全面落实增值税小规模纳税人增值税减免、小微企业和个体工商户所得税优惠等国家新出台税收优惠政策，</w:t>
      </w:r>
      <w:r>
        <w:rPr>
          <w:rFonts w:hint="eastAsia"/>
          <w:rtl w:val="0"/>
          <w:lang w:val="en-US" w:eastAsia="zh-CN"/>
        </w:rPr>
        <w:t>坚决防止征收过头税费，严防乱收费、乱罚款、乱摊派等现象发生，全方位减轻企业税费负担。加强财政金融政策协同，落实创业担保贷款贴息政策，发挥财政资金引导作用，安排创业担保贴息资金46万元。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2.支持高质量发展，增强重大战略任务财力保障</w:t>
      </w:r>
    </w:p>
    <w:p>
      <w:pPr>
        <w:pStyle w:val="13"/>
        <w:bidi w:val="0"/>
        <w:rPr>
          <w:rFonts w:hint="eastAsia"/>
          <w:b w:val="0"/>
          <w:bCs w:val="0"/>
          <w:rtl w:val="0"/>
          <w:lang w:val="en-US" w:eastAsia="zh-CN"/>
        </w:rPr>
      </w:pPr>
      <w:r>
        <w:rPr>
          <w:rFonts w:hint="eastAsia"/>
          <w:b w:val="0"/>
          <w:bCs w:val="0"/>
          <w:rtl w:val="0"/>
          <w:lang w:val="en-US" w:eastAsia="zh-CN"/>
        </w:rPr>
        <w:t>牢牢把握高质量发展这个首要任务，聚焦全面振兴新突破三年行动目标任务，统筹财政政策和资金，为打好打赢攻坚之战提供财政支撑。</w:t>
      </w:r>
      <w:r>
        <w:rPr>
          <w:rFonts w:hint="eastAsia"/>
          <w:b/>
          <w:bCs/>
          <w:rtl w:val="0"/>
          <w:lang w:val="en-US" w:eastAsia="zh-CN"/>
        </w:rPr>
        <w:t>支持建设现代化产业体系。</w:t>
      </w:r>
      <w:r>
        <w:rPr>
          <w:rFonts w:hint="eastAsia"/>
          <w:b w:val="0"/>
          <w:bCs w:val="0"/>
          <w:rtl w:val="0"/>
          <w:lang w:val="en-US" w:eastAsia="zh-CN"/>
        </w:rPr>
        <w:t>筹措资金210万元，支持数字辽宁、智造强省建设，支持企业技术改造升级、产业基础再造，深入做好结构调整“三篇大文章”。筹措资金1100万元用于沿海经济带建设，促进精细化工产业化，构建区域协调发展新格局。</w:t>
      </w:r>
      <w:r>
        <w:rPr>
          <w:rFonts w:hint="eastAsia"/>
          <w:b/>
          <w:bCs/>
          <w:rtl w:val="0"/>
          <w:lang w:val="en-US" w:eastAsia="zh-CN"/>
        </w:rPr>
        <w:t>支持农业农村优先发展。</w:t>
      </w:r>
      <w:r>
        <w:rPr>
          <w:rFonts w:hint="eastAsia"/>
          <w:b w:val="0"/>
          <w:bCs w:val="0"/>
          <w:rtl w:val="0"/>
          <w:lang w:val="en-US" w:eastAsia="zh-CN"/>
        </w:rPr>
        <w:t>落实落细各项惠农补贴，安排资金3091万元支持高标准农田建设，安排耕地地力补贴资金395万元，促进农民增收、农业增效，</w:t>
      </w:r>
      <w:r>
        <w:rPr>
          <w:rFonts w:hint="default"/>
          <w:b w:val="0"/>
          <w:bCs w:val="0"/>
          <w:rtl w:val="0"/>
          <w:lang w:val="en-US" w:eastAsia="zh-CN"/>
        </w:rPr>
        <w:t>提升粮食安全保障能力</w:t>
      </w:r>
      <w:r>
        <w:rPr>
          <w:rFonts w:hint="eastAsia"/>
          <w:b w:val="0"/>
          <w:bCs w:val="0"/>
          <w:rtl w:val="0"/>
          <w:lang w:val="en-US" w:eastAsia="zh-CN"/>
        </w:rPr>
        <w:t>。</w:t>
      </w:r>
      <w:r>
        <w:rPr>
          <w:rFonts w:hint="default"/>
          <w:b/>
          <w:bCs/>
          <w:rtl w:val="0"/>
          <w:lang w:val="en-US" w:eastAsia="zh-CN"/>
        </w:rPr>
        <w:t>支持加强生态文明建设</w:t>
      </w:r>
      <w:r>
        <w:rPr>
          <w:rFonts w:hint="eastAsia"/>
          <w:b/>
          <w:bCs/>
          <w:rtl w:val="0"/>
          <w:lang w:val="en-US" w:eastAsia="zh-CN"/>
        </w:rPr>
        <w:t>。</w:t>
      </w:r>
      <w:r>
        <w:rPr>
          <w:rFonts w:hint="eastAsia"/>
          <w:b w:val="0"/>
          <w:bCs w:val="0"/>
          <w:rtl w:val="0"/>
          <w:lang w:val="en-US" w:eastAsia="zh-CN"/>
        </w:rPr>
        <w:t>安排大气污染防治专项资金642万元，保障全区冬</w:t>
      </w:r>
      <w:r>
        <w:rPr>
          <w:rFonts w:hint="default"/>
          <w:b w:val="0"/>
          <w:bCs w:val="0"/>
          <w:rtl w:val="0"/>
          <w:lang w:val="en-US" w:eastAsia="zh-CN"/>
        </w:rPr>
        <w:t>季清洁取暖工作</w:t>
      </w:r>
      <w:r>
        <w:rPr>
          <w:rFonts w:hint="eastAsia"/>
          <w:b w:val="0"/>
          <w:bCs w:val="0"/>
          <w:rtl w:val="0"/>
          <w:lang w:val="en-US" w:eastAsia="zh-CN"/>
        </w:rPr>
        <w:t>，</w:t>
      </w:r>
      <w:r>
        <w:rPr>
          <w:rFonts w:hint="default"/>
          <w:b w:val="0"/>
          <w:bCs w:val="0"/>
          <w:rtl w:val="0"/>
          <w:lang w:val="en-US" w:eastAsia="zh-CN"/>
        </w:rPr>
        <w:t>全面推进美丽</w:t>
      </w:r>
      <w:r>
        <w:rPr>
          <w:rFonts w:hint="eastAsia"/>
          <w:b w:val="0"/>
          <w:bCs w:val="0"/>
          <w:rtl w:val="0"/>
          <w:lang w:val="en-US" w:eastAsia="zh-CN"/>
        </w:rPr>
        <w:t>双台子</w:t>
      </w:r>
      <w:r>
        <w:rPr>
          <w:rFonts w:hint="default"/>
          <w:b w:val="0"/>
          <w:bCs w:val="0"/>
          <w:rtl w:val="0"/>
          <w:lang w:val="en-US" w:eastAsia="zh-CN"/>
        </w:rPr>
        <w:t>建设</w:t>
      </w:r>
      <w:r>
        <w:rPr>
          <w:rFonts w:hint="eastAsia"/>
          <w:b w:val="0"/>
          <w:bCs w:val="0"/>
          <w:rtl w:val="0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3.坚持人民至上，支持民生保障水平稳步提高</w:t>
      </w:r>
    </w:p>
    <w:p>
      <w:pPr>
        <w:pStyle w:val="13"/>
        <w:bidi w:val="0"/>
        <w:rPr>
          <w:rFonts w:hint="default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深入贯彻以人民为中心的发展思想，坚持在发展中保障和改善民生。</w:t>
      </w:r>
      <w:r>
        <w:rPr>
          <w:rFonts w:hint="eastAsia"/>
          <w:b/>
          <w:bCs/>
          <w:rtl w:val="0"/>
          <w:lang w:val="en-US" w:eastAsia="zh-CN"/>
        </w:rPr>
        <w:t>落实稳岗扩就业政策。</w:t>
      </w:r>
      <w:r>
        <w:rPr>
          <w:rFonts w:hint="eastAsia"/>
          <w:rtl w:val="0"/>
          <w:lang w:val="en-US" w:eastAsia="zh-CN"/>
        </w:rPr>
        <w:t>安排就业补助资金2544万元，用于1663名公益性岗位人员支出，落实高校毕业生就业创业补贴及引进人才补贴政策。</w:t>
      </w:r>
      <w:r>
        <w:rPr>
          <w:rFonts w:hint="eastAsia"/>
          <w:b/>
          <w:bCs/>
          <w:rtl w:val="0"/>
          <w:lang w:val="en-US" w:eastAsia="zh-CN"/>
        </w:rPr>
        <w:t>加强完善社会保障体系。</w:t>
      </w:r>
      <w:r>
        <w:rPr>
          <w:rFonts w:hint="eastAsia"/>
          <w:rtl w:val="0"/>
          <w:lang w:val="en-US" w:eastAsia="zh-CN"/>
        </w:rPr>
        <w:t>安排城乡居民基本医疗保险补助350万元，完善居民医疗保障体系。安排机关事业单位养老保险补助3550万元，企业职工养老保险补助700万元，支持养老服务体系建设。安排优抚对象生活补助、伤残人员抚恤金326万元，残疾人生活护理补贴资金149万元，城市困难群众救助资金1670万元，保障特殊群体生活水平。</w:t>
      </w:r>
      <w:r>
        <w:rPr>
          <w:rFonts w:hint="eastAsia"/>
          <w:b/>
          <w:bCs/>
          <w:rtl w:val="0"/>
          <w:lang w:val="en-US" w:eastAsia="zh-CN"/>
        </w:rPr>
        <w:t>支持教育事业发展。</w:t>
      </w:r>
      <w:r>
        <w:rPr>
          <w:rFonts w:hint="eastAsia"/>
          <w:rtl w:val="0"/>
          <w:lang w:val="en-US" w:eastAsia="zh-CN"/>
        </w:rPr>
        <w:t>安排186万元用于城乡义务教育生均经费保障，安排300万元用于义务教育薄弱环节改造与提升，改善中小学办学条件，推动义务教育优质均衡发展。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4.深化财政改革，持续提升财政服务管理水平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b/>
          <w:bCs/>
          <w:rtl w:val="0"/>
          <w:lang w:val="en-US" w:eastAsia="zh-CN"/>
        </w:rPr>
        <w:t>稳步推进省以下财政体制改革。</w:t>
      </w:r>
      <w:r>
        <w:rPr>
          <w:rFonts w:hint="eastAsia"/>
          <w:rtl w:val="0"/>
          <w:lang w:val="en-US" w:eastAsia="zh-CN"/>
        </w:rPr>
        <w:t>认真贯彻落实省政府《关于推进省以下财政体制改革的实施意见》和省财政厅《关于印发省与市税收收入划分办法的通知》要求，明确新体制下的税收共享分成比例及资金划转方式，核对省财政厅下发的上解基数，对区以下财政体制进行测算分析。</w:t>
      </w:r>
      <w:r>
        <w:rPr>
          <w:rFonts w:hint="eastAsia"/>
          <w:b/>
          <w:bCs/>
          <w:rtl w:val="0"/>
          <w:lang w:val="en-US" w:eastAsia="zh-CN"/>
        </w:rPr>
        <w:t>全面提升预算绩效管理质效。</w:t>
      </w:r>
      <w:r>
        <w:rPr>
          <w:rFonts w:hint="eastAsia"/>
          <w:rtl w:val="0"/>
          <w:lang w:val="en-US" w:eastAsia="zh-CN"/>
        </w:rPr>
        <w:t>组织区直各部门开展2023年度预算绩效管理工作考核，提升绩效管理水平和意识。实施绩效自评项目266个，涉及金额5.2亿元；实施重点评价项目5个，涉及资金0.26亿元。</w:t>
      </w:r>
      <w:r>
        <w:rPr>
          <w:rFonts w:hint="eastAsia"/>
          <w:b/>
          <w:bCs/>
          <w:rtl w:val="0"/>
          <w:lang w:val="en-US" w:eastAsia="zh-CN"/>
        </w:rPr>
        <w:t>严肃财经纪律。</w:t>
      </w:r>
      <w:r>
        <w:rPr>
          <w:rFonts w:hint="eastAsia"/>
          <w:rtl w:val="0"/>
          <w:lang w:val="en-US" w:eastAsia="zh-CN"/>
        </w:rPr>
        <w:t>贯彻落实《辽宁省进一步加强财会监督工作实施方案》，统筹推进、指导、协调全区财会监督工作，进一步推动形成横向协同、纵向联动、贯通协调的工作机制，建立《双台子区财会进度协调工作联席会议制度》，加强财会监督成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rtl w:val="0"/>
          <w:lang w:val="en-US" w:eastAsia="zh-CN"/>
        </w:rPr>
        <w:t>（四）预算执行中遇到的主要问题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1.组织收入压力较大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一是石化企业经营情况仍未恢复至预期水平，经营效益有所下降，导致行业税收收入持续减收。二是批发零售业、租赁服务业等行业经营缺少增长点，导致第三产业税收收入稳定增长基础不稳固。三是行政事业性收费对非税收入的贡献率较小，罚没收入不确定性较大，导致非税收入增收不稳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2.收支矛盾依然存在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从支出端看，全区正处于攻坚之年的关键时期，各项社会发展需求持续增加，“三保”支出、债务付息等刚性支出压力较大。同时，经济恢复的基础尚不牢固，全区一般公共预算收入虽有增收，但有限的收入无法涵盖支出需求，财政收支缺口凸显，收支矛盾仍未缓解，财政运行呈现紧平衡状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3.预算约束力有待加强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预算执行中调整变动较大，预算支出缺少刚性约束。各部门缺乏对事业发展的科学规划，上项目前未充分考虑资金来源是否落实，极易造成财政硬缺口。预算追加尚未形成制度化，支出口子扎得不严，在财政管理中仍然存在重分配、轻绩效的现象，未完全发挥预算绩效管理的有效作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4.资金调度较为困难</w:t>
      </w:r>
    </w:p>
    <w:p>
      <w:pPr>
        <w:pStyle w:val="13"/>
        <w:bidi w:val="0"/>
        <w:rPr>
          <w:rFonts w:hint="default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上半年，由于各项支出压力大，财政资金短缺，库款余额吃紧，资金调度困难的局面不断加剧，全区财政库款保障系数仍处于较低水平，库款调度压力较大，对上级财政部门调度资金的依赖度较高，国库资金运行存在一定风险。资金短缺造成部分上级专项项目资金无法及时拨付到位，专项执行进度较低，对后续专项资金的向上争取产生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80" w:firstLineChars="150"/>
        <w:textAlignment w:val="auto"/>
        <w:rPr>
          <w:rFonts w:hint="eastAsia" w:ascii="楷体" w:hAnsi="楷体" w:eastAsia="楷体" w:cs="楷体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rtl w:val="0"/>
          <w:lang w:val="en-US" w:eastAsia="zh-CN"/>
        </w:rPr>
        <w:t>（五）下一步工作举措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1.加大组织收入力度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认真分析研究经济形势，将政策调控等因素与财政预算分析紧密结合,提高组织收入的前瞻性和准确性。加强财税协同联动，确保重点税源税收及时入库，狠抓零散税源征管，确保各项税收及时入库。督促基层切实履行组织收入主体责任，激发协税护税积极性，提升基层财政收入质量。加强非税收入征缴，统筹盘活重点领域存量资产，确保非税收入应缴尽缴，努力弥补税收短收，进一步增加可用财力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2.着力优化支出结构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继续落实过紧日子要求，大力提倡简朴作风，建立节约型财政保障机制，把勤俭办事业的要求切实贯彻到预算安排和经费支出的全过程。统筹安排财政资金，调整优化支出结构，坚持优先保障“三保”支出，兜牢兜实“三保”底线，确保不发生“三保”保障风险。把牢预算管理、资产配置、政府采购等关口，压减非刚性、非重点项目及一般性支出，强化国家重大战略任务和基本民生财力保障，做好“六稳”工作、落实“六保”任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3.规范财政预算管理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严格执行人大批准的预算，严控预算追加，确需进行预算调整的，依法依规办理，严禁超预算、无预算安排支出。规范预算调剂行为，严控不同预算科目、预算级次或项目间预算资金的调剂。同时，强化预算绩效管理，完善重大政策、项目预算绩效评价机制，加强对新出台重大政策、项目事前绩效评估，充分运用绩效评价结果，将评价结果作为完善政策、安排预算和改进管理的重要依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4.科学合理调度资金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密切关注上级政策走向、转移支付制度改革方向，加强政策研究跟踪，用足用好国家财政政策，积极争取财力性转移支付资金,特别是围绕“三保”保障、结算支出收入、县级财政保障机制奖补等方面资金。同时，规范库款管理，强化资金调度，密切关注库款运行情况，加强库款动态监测分析，发挥财政库款“防风险”和“增效益”的双重作用，切实提升库款管理效能，提高资金使用效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rtl w:val="0"/>
          <w:lang w:val="en-US" w:eastAsia="zh-CN" w:bidi="ar-SA"/>
        </w:rPr>
        <w:t>5.强化财经纪律约束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严格执行财经法规和管理制度，主动接受区人大及其常委会法律监督、工作监督和区政协民主监督，积极听取社会各界意见建议，深入推进财政法治体系建设。进一步加强财会监督，强化财政政策落实和预算管理监督，加大对落实“过紧日子”要求的监督力度和对转移支付资金的监管力度，持续完善各类监督工作机制，提升财会监督效能。</w:t>
      </w:r>
    </w:p>
    <w:p>
      <w:pPr>
        <w:pStyle w:val="13"/>
        <w:bidi w:val="0"/>
        <w:rPr>
          <w:rFonts w:hint="eastAsia"/>
          <w:rtl w:val="0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主任、各位副主任、各位委员，</w:t>
      </w:r>
      <w:r>
        <w:rPr>
          <w:rFonts w:hint="eastAsia"/>
          <w:rtl w:val="0"/>
          <w:lang w:val="en-US" w:eastAsia="zh-CN"/>
        </w:rPr>
        <w:t>下半年我们将在区委的坚强领导下，自觉接受人大监督，坚持稳中求进，保持战略定力，克服重重困难，全面完成2024年收支预算和各项财政工作任务，推动全区全面建设高质量发展的现代化北方水城。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rtl w:val="0"/>
          <w:lang w:val="en-US" w:eastAsia="zh-CN"/>
        </w:rPr>
      </w:pPr>
    </w:p>
    <w:p>
      <w:pPr>
        <w:pStyle w:val="13"/>
        <w:bidi w:val="0"/>
        <w:rPr>
          <w:rFonts w:hint="eastAsia"/>
          <w:rtl w:val="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9" w:lineRule="auto"/>
        <w:ind w:left="1598" w:leftChars="304" w:hanging="960" w:hangingChars="300"/>
        <w:textAlignment w:val="auto"/>
        <w:rPr>
          <w:rFonts w:hint="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附件：盘锦市双台子区2023年决算情况和2024年上半年预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39" w:lineRule="auto"/>
        <w:ind w:firstLine="664" w:firstLineChars="200"/>
        <w:textAlignment w:val="auto"/>
        <w:rPr>
          <w:rFonts w:hint="eastAsia" w:ascii="仿宋_GB2312" w:hAnsi="仿宋_GB2312" w:eastAsia="仿宋_GB2312" w:cstheme="minorBidi"/>
          <w:kern w:val="0"/>
          <w:sz w:val="32"/>
          <w:szCs w:val="32"/>
          <w:rtl w:val="0"/>
          <w:lang w:val="en-US" w:eastAsia="zh-CN"/>
        </w:rPr>
      </w:pPr>
      <w:r>
        <w:rPr>
          <w:rFonts w:hint="eastAsia"/>
          <w:color w:val="FFFFFF" w:themeColor="background1"/>
          <w:spacing w:val="6"/>
          <w:sz w:val="32"/>
          <w:rtl w:val="0"/>
          <w:lang w:val="en-US" w:eastAsia="zh-CN"/>
          <w14:textFill>
            <w14:solidFill>
              <w14:schemeClr w14:val="bg1"/>
            </w14:solidFill>
          </w14:textFill>
        </w:rPr>
        <w:t xml:space="preserve">附件 </w:t>
      </w:r>
      <w:r>
        <w:rPr>
          <w:rFonts w:hint="eastAsia" w:ascii="仿宋_GB2312" w:hAnsi="仿宋_GB2312" w:eastAsia="仿宋_GB2312" w:cstheme="minorBidi"/>
          <w:kern w:val="0"/>
          <w:sz w:val="32"/>
          <w:szCs w:val="32"/>
          <w:rtl w:val="0"/>
          <w:lang w:val="en-US" w:eastAsia="zh-CN"/>
        </w:rPr>
        <w:t>算执行情况表</w:t>
      </w:r>
    </w:p>
    <w:p/>
    <w:p>
      <w:pPr>
        <w:pStyle w:val="16"/>
        <w:rPr>
          <w:rFonts w:hint="default"/>
          <w:rtl w:val="0"/>
          <w:lang w:val="en-US" w:eastAsia="zh-CN"/>
        </w:rPr>
      </w:pPr>
    </w:p>
    <w:sectPr>
      <w:footerReference r:id="rId3" w:type="default"/>
      <w:pgSz w:w="11906" w:h="16838"/>
      <w:pgMar w:top="2154" w:right="1531" w:bottom="170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0A912-0CBB-453C-A661-63C34C1283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B8A8C2-3F6A-4ADC-A781-DD252C6050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71648A-D046-4310-98A8-3858D3C10B8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84EFADF-2B25-4074-95B0-A22A7718D9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38AB704-84F4-4C61-8C91-6250B33C4C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4E0416A-DCC8-4127-8072-3F2B60871C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jhkZDZmODViNDE3Y2IzZDZhZmExZWZhMWE5ZWQifQ=="/>
    <w:docVar w:name="KSO_WPS_MARK_KEY" w:val="8b05f581-8f34-4fd6-a6ba-4722ae1d1e76"/>
  </w:docVars>
  <w:rsids>
    <w:rsidRoot w:val="11CA5DAC"/>
    <w:rsid w:val="004D4054"/>
    <w:rsid w:val="007145B2"/>
    <w:rsid w:val="00FB40E5"/>
    <w:rsid w:val="010314D6"/>
    <w:rsid w:val="013C06BC"/>
    <w:rsid w:val="016536E6"/>
    <w:rsid w:val="02781BC8"/>
    <w:rsid w:val="02963DFC"/>
    <w:rsid w:val="029A4513"/>
    <w:rsid w:val="02D068C5"/>
    <w:rsid w:val="02FC6355"/>
    <w:rsid w:val="041F585D"/>
    <w:rsid w:val="04552530"/>
    <w:rsid w:val="053850A0"/>
    <w:rsid w:val="053F6FB9"/>
    <w:rsid w:val="05E22EEC"/>
    <w:rsid w:val="05EC26B0"/>
    <w:rsid w:val="06752E14"/>
    <w:rsid w:val="06A242A7"/>
    <w:rsid w:val="06E65352"/>
    <w:rsid w:val="077C682D"/>
    <w:rsid w:val="07A41BAF"/>
    <w:rsid w:val="07BE5C53"/>
    <w:rsid w:val="086037C1"/>
    <w:rsid w:val="0878105A"/>
    <w:rsid w:val="09094E66"/>
    <w:rsid w:val="095F57C8"/>
    <w:rsid w:val="09DA7274"/>
    <w:rsid w:val="0A6E2E2A"/>
    <w:rsid w:val="0A784D07"/>
    <w:rsid w:val="0AAC68B2"/>
    <w:rsid w:val="0AEE6ECB"/>
    <w:rsid w:val="0B8E5FB8"/>
    <w:rsid w:val="0BD7227E"/>
    <w:rsid w:val="0C49264F"/>
    <w:rsid w:val="0C6130A4"/>
    <w:rsid w:val="0CB32C96"/>
    <w:rsid w:val="0CCA1A4E"/>
    <w:rsid w:val="0D1A0E57"/>
    <w:rsid w:val="0D242CB3"/>
    <w:rsid w:val="0D2A1301"/>
    <w:rsid w:val="0D70006B"/>
    <w:rsid w:val="0D995783"/>
    <w:rsid w:val="0E006C6B"/>
    <w:rsid w:val="0F506C15"/>
    <w:rsid w:val="0F6B5B57"/>
    <w:rsid w:val="0FB30C37"/>
    <w:rsid w:val="0FC8099D"/>
    <w:rsid w:val="0FE60E9A"/>
    <w:rsid w:val="107E7938"/>
    <w:rsid w:val="10AC13BA"/>
    <w:rsid w:val="110F7B9B"/>
    <w:rsid w:val="114F7F97"/>
    <w:rsid w:val="115C6181"/>
    <w:rsid w:val="11CA5DAC"/>
    <w:rsid w:val="11E977FF"/>
    <w:rsid w:val="124F7385"/>
    <w:rsid w:val="125177EA"/>
    <w:rsid w:val="128F7D67"/>
    <w:rsid w:val="12A8795F"/>
    <w:rsid w:val="13187776"/>
    <w:rsid w:val="13591C1C"/>
    <w:rsid w:val="145F0354"/>
    <w:rsid w:val="147246C9"/>
    <w:rsid w:val="14D44347"/>
    <w:rsid w:val="14D62EA9"/>
    <w:rsid w:val="14F67130"/>
    <w:rsid w:val="14FC547D"/>
    <w:rsid w:val="153E1766"/>
    <w:rsid w:val="15466311"/>
    <w:rsid w:val="154A3AB8"/>
    <w:rsid w:val="15A42F15"/>
    <w:rsid w:val="15E541D9"/>
    <w:rsid w:val="160C28FB"/>
    <w:rsid w:val="16175528"/>
    <w:rsid w:val="161B48EC"/>
    <w:rsid w:val="1635318D"/>
    <w:rsid w:val="167217C6"/>
    <w:rsid w:val="168603B4"/>
    <w:rsid w:val="16A60B8F"/>
    <w:rsid w:val="17393D38"/>
    <w:rsid w:val="17B425C4"/>
    <w:rsid w:val="17BB0135"/>
    <w:rsid w:val="17CC5711"/>
    <w:rsid w:val="17FD3388"/>
    <w:rsid w:val="184A479A"/>
    <w:rsid w:val="18DD19B3"/>
    <w:rsid w:val="193F113A"/>
    <w:rsid w:val="198C1D89"/>
    <w:rsid w:val="19F87663"/>
    <w:rsid w:val="1A1D29DB"/>
    <w:rsid w:val="1A49525D"/>
    <w:rsid w:val="1AD85B7E"/>
    <w:rsid w:val="1AF50990"/>
    <w:rsid w:val="1B645D19"/>
    <w:rsid w:val="1B843A53"/>
    <w:rsid w:val="1BE85270"/>
    <w:rsid w:val="1C07507A"/>
    <w:rsid w:val="1C591B41"/>
    <w:rsid w:val="1C6539E5"/>
    <w:rsid w:val="1C744D56"/>
    <w:rsid w:val="1CD2026D"/>
    <w:rsid w:val="1CDC720E"/>
    <w:rsid w:val="1D5801D4"/>
    <w:rsid w:val="1DCF66E8"/>
    <w:rsid w:val="1E326A89"/>
    <w:rsid w:val="1F3B2089"/>
    <w:rsid w:val="1F5100CD"/>
    <w:rsid w:val="1FE01FA9"/>
    <w:rsid w:val="203E0986"/>
    <w:rsid w:val="20E433A2"/>
    <w:rsid w:val="21E31682"/>
    <w:rsid w:val="225F78FB"/>
    <w:rsid w:val="228B7B4C"/>
    <w:rsid w:val="228C104B"/>
    <w:rsid w:val="22AB0E4B"/>
    <w:rsid w:val="22EA5CE4"/>
    <w:rsid w:val="230A191F"/>
    <w:rsid w:val="230F321E"/>
    <w:rsid w:val="240C203D"/>
    <w:rsid w:val="241C01AD"/>
    <w:rsid w:val="24392625"/>
    <w:rsid w:val="247B4227"/>
    <w:rsid w:val="247B66F3"/>
    <w:rsid w:val="24875A24"/>
    <w:rsid w:val="24BF61EC"/>
    <w:rsid w:val="25121506"/>
    <w:rsid w:val="253036CC"/>
    <w:rsid w:val="25C46CDA"/>
    <w:rsid w:val="25D67299"/>
    <w:rsid w:val="25D9601A"/>
    <w:rsid w:val="26117B5D"/>
    <w:rsid w:val="269E759F"/>
    <w:rsid w:val="26BF7FDE"/>
    <w:rsid w:val="26D340FF"/>
    <w:rsid w:val="275763AD"/>
    <w:rsid w:val="278E13C2"/>
    <w:rsid w:val="27FF6A4F"/>
    <w:rsid w:val="28944843"/>
    <w:rsid w:val="29121DA8"/>
    <w:rsid w:val="2977525D"/>
    <w:rsid w:val="298955F8"/>
    <w:rsid w:val="29C63A81"/>
    <w:rsid w:val="29D35281"/>
    <w:rsid w:val="29D56F2D"/>
    <w:rsid w:val="2A646A64"/>
    <w:rsid w:val="2AA4561F"/>
    <w:rsid w:val="2AC633CF"/>
    <w:rsid w:val="2AE17FD7"/>
    <w:rsid w:val="2B724B56"/>
    <w:rsid w:val="2C024294"/>
    <w:rsid w:val="2C283529"/>
    <w:rsid w:val="2C397D88"/>
    <w:rsid w:val="2C504E98"/>
    <w:rsid w:val="2CB36135"/>
    <w:rsid w:val="2CD422AD"/>
    <w:rsid w:val="2D0C7054"/>
    <w:rsid w:val="2D3C5A1F"/>
    <w:rsid w:val="2D8469EC"/>
    <w:rsid w:val="2DF02CA4"/>
    <w:rsid w:val="2E1A39AF"/>
    <w:rsid w:val="2E215266"/>
    <w:rsid w:val="2F1018EA"/>
    <w:rsid w:val="2F2B230B"/>
    <w:rsid w:val="3011493E"/>
    <w:rsid w:val="306C6195"/>
    <w:rsid w:val="310D045E"/>
    <w:rsid w:val="31D269C5"/>
    <w:rsid w:val="326E2454"/>
    <w:rsid w:val="328376C7"/>
    <w:rsid w:val="329C7909"/>
    <w:rsid w:val="32C01556"/>
    <w:rsid w:val="32C44736"/>
    <w:rsid w:val="32F83B93"/>
    <w:rsid w:val="334301D8"/>
    <w:rsid w:val="338F16A0"/>
    <w:rsid w:val="34833930"/>
    <w:rsid w:val="34AC732B"/>
    <w:rsid w:val="35066A3B"/>
    <w:rsid w:val="350F723F"/>
    <w:rsid w:val="35675000"/>
    <w:rsid w:val="3578720D"/>
    <w:rsid w:val="36062A6B"/>
    <w:rsid w:val="362C24D2"/>
    <w:rsid w:val="36E73971"/>
    <w:rsid w:val="3759048B"/>
    <w:rsid w:val="380F5CFB"/>
    <w:rsid w:val="38343179"/>
    <w:rsid w:val="385D6D40"/>
    <w:rsid w:val="38E928FC"/>
    <w:rsid w:val="3904163C"/>
    <w:rsid w:val="3909371A"/>
    <w:rsid w:val="39BE5B37"/>
    <w:rsid w:val="39D206A1"/>
    <w:rsid w:val="39DC7439"/>
    <w:rsid w:val="3A055959"/>
    <w:rsid w:val="3ACE07FD"/>
    <w:rsid w:val="3B4C4927"/>
    <w:rsid w:val="3B8D08CA"/>
    <w:rsid w:val="3B934544"/>
    <w:rsid w:val="3C1F267C"/>
    <w:rsid w:val="3C6A5C54"/>
    <w:rsid w:val="3CDA3B31"/>
    <w:rsid w:val="3D0777F5"/>
    <w:rsid w:val="3D127F47"/>
    <w:rsid w:val="3D474095"/>
    <w:rsid w:val="3D882F24"/>
    <w:rsid w:val="3DE548B0"/>
    <w:rsid w:val="3E333755"/>
    <w:rsid w:val="3E4551BE"/>
    <w:rsid w:val="3ED717FC"/>
    <w:rsid w:val="3EFD3E96"/>
    <w:rsid w:val="3F093208"/>
    <w:rsid w:val="3FA5340F"/>
    <w:rsid w:val="3FEA5477"/>
    <w:rsid w:val="401D6F3B"/>
    <w:rsid w:val="4081373D"/>
    <w:rsid w:val="4110603D"/>
    <w:rsid w:val="4134600D"/>
    <w:rsid w:val="413F719C"/>
    <w:rsid w:val="41A526BD"/>
    <w:rsid w:val="42147D6B"/>
    <w:rsid w:val="42211C2C"/>
    <w:rsid w:val="42732AEB"/>
    <w:rsid w:val="42F36BA5"/>
    <w:rsid w:val="435111AC"/>
    <w:rsid w:val="441F5DF9"/>
    <w:rsid w:val="445552E9"/>
    <w:rsid w:val="46AC262D"/>
    <w:rsid w:val="47A143A2"/>
    <w:rsid w:val="481054AA"/>
    <w:rsid w:val="48972614"/>
    <w:rsid w:val="48C00EFC"/>
    <w:rsid w:val="49137AEC"/>
    <w:rsid w:val="49320D4E"/>
    <w:rsid w:val="49D10E80"/>
    <w:rsid w:val="49DE7D7D"/>
    <w:rsid w:val="49E4596F"/>
    <w:rsid w:val="49F355C8"/>
    <w:rsid w:val="4A050C18"/>
    <w:rsid w:val="4B8F1019"/>
    <w:rsid w:val="4C3440CD"/>
    <w:rsid w:val="4CA72631"/>
    <w:rsid w:val="4D410116"/>
    <w:rsid w:val="4D5C68BA"/>
    <w:rsid w:val="4DCE6F77"/>
    <w:rsid w:val="4E194E4F"/>
    <w:rsid w:val="4E5A503C"/>
    <w:rsid w:val="4E77396D"/>
    <w:rsid w:val="4EAC06BA"/>
    <w:rsid w:val="4F373BA2"/>
    <w:rsid w:val="4F5733FF"/>
    <w:rsid w:val="4F863D92"/>
    <w:rsid w:val="4F870321"/>
    <w:rsid w:val="50E96661"/>
    <w:rsid w:val="515E6E7B"/>
    <w:rsid w:val="516624D4"/>
    <w:rsid w:val="519136D9"/>
    <w:rsid w:val="51F577C4"/>
    <w:rsid w:val="521D70CF"/>
    <w:rsid w:val="52566DC5"/>
    <w:rsid w:val="5260529F"/>
    <w:rsid w:val="527F424D"/>
    <w:rsid w:val="53433B89"/>
    <w:rsid w:val="53442706"/>
    <w:rsid w:val="534B66AF"/>
    <w:rsid w:val="53B65679"/>
    <w:rsid w:val="54404067"/>
    <w:rsid w:val="544100F5"/>
    <w:rsid w:val="54E016AD"/>
    <w:rsid w:val="551C150B"/>
    <w:rsid w:val="555076EA"/>
    <w:rsid w:val="555148AC"/>
    <w:rsid w:val="559D4AB5"/>
    <w:rsid w:val="559E3D94"/>
    <w:rsid w:val="55D00E0C"/>
    <w:rsid w:val="56763F09"/>
    <w:rsid w:val="567F0E43"/>
    <w:rsid w:val="56B2418D"/>
    <w:rsid w:val="56D66F07"/>
    <w:rsid w:val="575D06BF"/>
    <w:rsid w:val="582E1C82"/>
    <w:rsid w:val="58BB7215"/>
    <w:rsid w:val="58D463D9"/>
    <w:rsid w:val="59B146EE"/>
    <w:rsid w:val="5A097E0A"/>
    <w:rsid w:val="5A680140"/>
    <w:rsid w:val="5A6B0F71"/>
    <w:rsid w:val="5AE54EFF"/>
    <w:rsid w:val="5B04717B"/>
    <w:rsid w:val="5B381344"/>
    <w:rsid w:val="5B514604"/>
    <w:rsid w:val="5B727B4C"/>
    <w:rsid w:val="5BD25946"/>
    <w:rsid w:val="5BD631CB"/>
    <w:rsid w:val="5E376169"/>
    <w:rsid w:val="5E543AC4"/>
    <w:rsid w:val="5E62540E"/>
    <w:rsid w:val="5EAA7C48"/>
    <w:rsid w:val="5EF57055"/>
    <w:rsid w:val="5F0B0627"/>
    <w:rsid w:val="5F8A5E32"/>
    <w:rsid w:val="5FAA34B7"/>
    <w:rsid w:val="60147491"/>
    <w:rsid w:val="603C381B"/>
    <w:rsid w:val="60E078E9"/>
    <w:rsid w:val="61BB5435"/>
    <w:rsid w:val="61F1671E"/>
    <w:rsid w:val="624320A7"/>
    <w:rsid w:val="62595967"/>
    <w:rsid w:val="63564409"/>
    <w:rsid w:val="638200F7"/>
    <w:rsid w:val="643A375C"/>
    <w:rsid w:val="650F75EA"/>
    <w:rsid w:val="651007F8"/>
    <w:rsid w:val="655232E1"/>
    <w:rsid w:val="65B83ADD"/>
    <w:rsid w:val="6657323F"/>
    <w:rsid w:val="665F6CB7"/>
    <w:rsid w:val="667258CB"/>
    <w:rsid w:val="66AD6467"/>
    <w:rsid w:val="66DD449A"/>
    <w:rsid w:val="674A1F08"/>
    <w:rsid w:val="675039C2"/>
    <w:rsid w:val="67660873"/>
    <w:rsid w:val="67C93707"/>
    <w:rsid w:val="69136635"/>
    <w:rsid w:val="6938470E"/>
    <w:rsid w:val="694F7CAA"/>
    <w:rsid w:val="69CF4947"/>
    <w:rsid w:val="69D75670"/>
    <w:rsid w:val="6A050368"/>
    <w:rsid w:val="6AAF4317"/>
    <w:rsid w:val="6AD9782B"/>
    <w:rsid w:val="6AED1528"/>
    <w:rsid w:val="6AFC176B"/>
    <w:rsid w:val="6B5C740C"/>
    <w:rsid w:val="6C69261A"/>
    <w:rsid w:val="6CAD4554"/>
    <w:rsid w:val="6CD26C28"/>
    <w:rsid w:val="6D050DAB"/>
    <w:rsid w:val="6D346605"/>
    <w:rsid w:val="6D3D55D2"/>
    <w:rsid w:val="6DA07D03"/>
    <w:rsid w:val="6DA5562E"/>
    <w:rsid w:val="6DF947B3"/>
    <w:rsid w:val="6E34742D"/>
    <w:rsid w:val="6E647D14"/>
    <w:rsid w:val="6E9D2076"/>
    <w:rsid w:val="6EA77F18"/>
    <w:rsid w:val="6F3E05A4"/>
    <w:rsid w:val="6F450CC1"/>
    <w:rsid w:val="6FF80D33"/>
    <w:rsid w:val="70024368"/>
    <w:rsid w:val="70DE0DBA"/>
    <w:rsid w:val="710D6FC3"/>
    <w:rsid w:val="717B62FB"/>
    <w:rsid w:val="718F50E7"/>
    <w:rsid w:val="71A14E1B"/>
    <w:rsid w:val="722731C5"/>
    <w:rsid w:val="726C2A3A"/>
    <w:rsid w:val="728927BD"/>
    <w:rsid w:val="739C3AEB"/>
    <w:rsid w:val="73D63069"/>
    <w:rsid w:val="748D5459"/>
    <w:rsid w:val="75376144"/>
    <w:rsid w:val="7538008B"/>
    <w:rsid w:val="761E5F4F"/>
    <w:rsid w:val="762330E7"/>
    <w:rsid w:val="76643349"/>
    <w:rsid w:val="76A038F3"/>
    <w:rsid w:val="76A34094"/>
    <w:rsid w:val="76FD780E"/>
    <w:rsid w:val="76FF686B"/>
    <w:rsid w:val="77296E1D"/>
    <w:rsid w:val="77303EB8"/>
    <w:rsid w:val="77957A74"/>
    <w:rsid w:val="77A57CC6"/>
    <w:rsid w:val="77D52578"/>
    <w:rsid w:val="77E8017E"/>
    <w:rsid w:val="782549E8"/>
    <w:rsid w:val="78872FBC"/>
    <w:rsid w:val="790D4689"/>
    <w:rsid w:val="79205FFD"/>
    <w:rsid w:val="79423D25"/>
    <w:rsid w:val="7A394A60"/>
    <w:rsid w:val="7A511C82"/>
    <w:rsid w:val="7ADB139D"/>
    <w:rsid w:val="7B944CB6"/>
    <w:rsid w:val="7BD12497"/>
    <w:rsid w:val="7BEC509E"/>
    <w:rsid w:val="7C4B72BE"/>
    <w:rsid w:val="7D7D306A"/>
    <w:rsid w:val="7DDC574D"/>
    <w:rsid w:val="7DFC4599"/>
    <w:rsid w:val="7E1A78D3"/>
    <w:rsid w:val="7E34648B"/>
    <w:rsid w:val="7EBE7D50"/>
    <w:rsid w:val="7EF433ED"/>
    <w:rsid w:val="7F1821CD"/>
    <w:rsid w:val="7F73429A"/>
    <w:rsid w:val="7FC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</w:pPr>
    <w:rPr>
      <w:b/>
      <w:bCs/>
    </w:rPr>
  </w:style>
  <w:style w:type="paragraph" w:styleId="8">
    <w:name w:val="Body Text"/>
    <w:basedOn w:val="1"/>
    <w:unhideWhenUsed/>
    <w:qFormat/>
    <w:uiPriority w:val="99"/>
    <w:rPr>
      <w:rFonts w:eastAsia="仿宋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jc w:val="left"/>
    </w:pPr>
    <w:rPr>
      <w:color w:val="2B2B2B"/>
      <w:kern w:val="0"/>
      <w:sz w:val="24"/>
    </w:rPr>
  </w:style>
  <w:style w:type="paragraph" w:styleId="12">
    <w:name w:val="Title"/>
    <w:next w:val="13"/>
    <w:qFormat/>
    <w:uiPriority w:val="0"/>
    <w:pPr>
      <w:widowControl w:val="0"/>
      <w:overflowPunct w:val="0"/>
      <w:snapToGrid w:val="0"/>
      <w:spacing w:beforeLines="0" w:beforeAutospacing="0" w:afterLines="0" w:afterAutospacing="0" w:line="70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  <w:style w:type="paragraph" w:customStyle="1" w:styleId="13">
    <w:name w:val="公文正文"/>
    <w:qFormat/>
    <w:uiPriority w:val="0"/>
    <w:pPr>
      <w:widowControl w:val="0"/>
      <w:overflowPunct w:val="0"/>
      <w:snapToGrid w:val="0"/>
      <w:spacing w:line="339" w:lineRule="auto"/>
      <w:ind w:firstLine="420" w:firstLineChars="200"/>
      <w:jc w:val="both"/>
    </w:pPr>
    <w:rPr>
      <w:rFonts w:ascii="仿宋_GB2312" w:hAnsi="仿宋_GB2312" w:eastAsia="仿宋_GB2312" w:cstheme="minorBidi"/>
      <w:sz w:val="32"/>
      <w:szCs w:val="32"/>
    </w:rPr>
  </w:style>
  <w:style w:type="paragraph" w:customStyle="1" w:styleId="16">
    <w:name w:val="正文首行缩进1"/>
    <w:basedOn w:val="8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6074</Words>
  <Characters>6696</Characters>
  <Lines>0</Lines>
  <Paragraphs>0</Paragraphs>
  <TotalTime>1</TotalTime>
  <ScaleCrop>false</ScaleCrop>
  <LinksUpToDate>false</LinksUpToDate>
  <CharactersWithSpaces>6712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2024-06-25T01:48:00Z</dcterms:created>
  <dc:creator>既然不是仙难免有杂念</dc:creator>
  <cp:lastModifiedBy>既然不是仙难免有杂念</cp:lastModifiedBy>
  <cp:lastPrinted>2024-08-05T04:20:00Z</cp:lastPrinted>
  <dcterms:modified xsi:type="dcterms:W3CDTF">2024-10-18T06:18:44Z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D60955D4D94141B397A8719377E2F95D</vt:lpwstr>
  </property>
</Properties>
</file>