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40B73A">
      <w:pPr>
        <w:spacing w:line="540" w:lineRule="exact"/>
        <w:jc w:val="center"/>
        <w:rPr>
          <w:b/>
          <w:sz w:val="44"/>
          <w:szCs w:val="44"/>
          <w:u w:val="single"/>
        </w:rPr>
      </w:pPr>
      <w:bookmarkStart w:id="0" w:name="_GoBack"/>
      <w:bookmarkEnd w:id="0"/>
    </w:p>
    <w:p w14:paraId="4667C6F9">
      <w:pPr>
        <w:spacing w:line="540" w:lineRule="exact"/>
        <w:jc w:val="center"/>
        <w:rPr>
          <w:rFonts w:ascii="宋体" w:hAnsi="宋体"/>
          <w:b/>
          <w:sz w:val="52"/>
          <w:szCs w:val="52"/>
        </w:rPr>
      </w:pPr>
    </w:p>
    <w:p w14:paraId="0458A1C4">
      <w:pPr>
        <w:spacing w:line="540" w:lineRule="exact"/>
        <w:jc w:val="center"/>
        <w:rPr>
          <w:rFonts w:ascii="宋体" w:hAnsi="宋体"/>
          <w:b/>
          <w:sz w:val="52"/>
          <w:szCs w:val="52"/>
        </w:rPr>
      </w:pPr>
    </w:p>
    <w:p w14:paraId="2DB6D35E">
      <w:pPr>
        <w:spacing w:line="540" w:lineRule="exact"/>
        <w:jc w:val="center"/>
        <w:rPr>
          <w:rFonts w:ascii="宋体" w:hAnsi="宋体"/>
          <w:b/>
          <w:sz w:val="52"/>
          <w:szCs w:val="52"/>
        </w:rPr>
      </w:pPr>
    </w:p>
    <w:p w14:paraId="0D16ABDF">
      <w:pPr>
        <w:spacing w:line="540" w:lineRule="exact"/>
        <w:jc w:val="center"/>
        <w:rPr>
          <w:rFonts w:ascii="宋体" w:hAnsi="宋体"/>
          <w:b/>
          <w:sz w:val="52"/>
          <w:szCs w:val="52"/>
        </w:rPr>
      </w:pPr>
    </w:p>
    <w:p w14:paraId="2E2768EE">
      <w:pPr>
        <w:spacing w:line="540" w:lineRule="exact"/>
        <w:jc w:val="center"/>
        <w:rPr>
          <w:rFonts w:ascii="宋体" w:hAnsi="宋体"/>
          <w:b/>
          <w:sz w:val="52"/>
          <w:szCs w:val="52"/>
        </w:rPr>
      </w:pPr>
      <w:r>
        <w:rPr>
          <w:rFonts w:hint="eastAsia" w:ascii="宋体" w:hAnsi="宋体"/>
          <w:b/>
          <w:sz w:val="52"/>
          <w:szCs w:val="52"/>
        </w:rPr>
        <w:t>盘锦市自然资源局2021年度部门决算</w:t>
      </w:r>
    </w:p>
    <w:p w14:paraId="618D4C3F">
      <w:pPr>
        <w:spacing w:line="540" w:lineRule="exact"/>
        <w:jc w:val="center"/>
        <w:rPr>
          <w:rFonts w:ascii="宋体" w:hAnsi="宋体"/>
          <w:b/>
          <w:sz w:val="52"/>
          <w:szCs w:val="52"/>
        </w:rPr>
      </w:pPr>
      <w:r>
        <w:rPr>
          <w:rFonts w:hint="eastAsia" w:ascii="宋体" w:hAnsi="宋体"/>
          <w:b/>
          <w:sz w:val="52"/>
          <w:szCs w:val="52"/>
        </w:rPr>
        <w:t>公开说明</w:t>
      </w:r>
    </w:p>
    <w:p w14:paraId="30A338EA">
      <w:pPr>
        <w:spacing w:line="540" w:lineRule="exact"/>
        <w:jc w:val="center"/>
        <w:rPr>
          <w:b/>
          <w:sz w:val="44"/>
          <w:szCs w:val="44"/>
          <w:u w:val="single"/>
        </w:rPr>
      </w:pPr>
    </w:p>
    <w:p w14:paraId="012FD787">
      <w:pPr>
        <w:spacing w:line="540" w:lineRule="exact"/>
        <w:jc w:val="center"/>
        <w:rPr>
          <w:b/>
          <w:sz w:val="44"/>
          <w:szCs w:val="44"/>
          <w:u w:val="single"/>
        </w:rPr>
      </w:pPr>
    </w:p>
    <w:p w14:paraId="7388BAFE">
      <w:pPr>
        <w:spacing w:line="540" w:lineRule="exact"/>
        <w:jc w:val="center"/>
        <w:rPr>
          <w:b/>
          <w:sz w:val="44"/>
          <w:szCs w:val="44"/>
          <w:u w:val="single"/>
        </w:rPr>
      </w:pPr>
    </w:p>
    <w:p w14:paraId="6AD5A64C">
      <w:pPr>
        <w:spacing w:line="540" w:lineRule="exact"/>
        <w:jc w:val="center"/>
        <w:rPr>
          <w:b/>
          <w:sz w:val="44"/>
          <w:szCs w:val="44"/>
          <w:u w:val="single"/>
        </w:rPr>
      </w:pPr>
    </w:p>
    <w:p w14:paraId="6BF3E16C">
      <w:pPr>
        <w:spacing w:line="540" w:lineRule="exact"/>
        <w:jc w:val="center"/>
        <w:rPr>
          <w:b/>
          <w:sz w:val="44"/>
          <w:szCs w:val="44"/>
          <w:u w:val="single"/>
        </w:rPr>
      </w:pPr>
    </w:p>
    <w:p w14:paraId="294D3D77">
      <w:pPr>
        <w:spacing w:line="540" w:lineRule="exact"/>
        <w:jc w:val="center"/>
        <w:rPr>
          <w:b/>
          <w:sz w:val="44"/>
          <w:szCs w:val="44"/>
          <w:u w:val="single"/>
        </w:rPr>
      </w:pPr>
    </w:p>
    <w:p w14:paraId="2B23DF30">
      <w:pPr>
        <w:spacing w:line="540" w:lineRule="exact"/>
        <w:jc w:val="center"/>
        <w:rPr>
          <w:b/>
          <w:sz w:val="44"/>
          <w:szCs w:val="44"/>
          <w:u w:val="single"/>
        </w:rPr>
      </w:pPr>
    </w:p>
    <w:p w14:paraId="6E11256B">
      <w:pPr>
        <w:spacing w:line="540" w:lineRule="exact"/>
        <w:jc w:val="center"/>
        <w:rPr>
          <w:b/>
          <w:sz w:val="44"/>
          <w:szCs w:val="44"/>
          <w:u w:val="single"/>
        </w:rPr>
      </w:pPr>
    </w:p>
    <w:p w14:paraId="12B01188">
      <w:pPr>
        <w:spacing w:line="540" w:lineRule="exact"/>
        <w:jc w:val="center"/>
        <w:rPr>
          <w:b/>
          <w:sz w:val="44"/>
          <w:szCs w:val="44"/>
          <w:u w:val="single"/>
        </w:rPr>
      </w:pPr>
    </w:p>
    <w:p w14:paraId="350DCD71">
      <w:pPr>
        <w:spacing w:line="540" w:lineRule="exact"/>
        <w:jc w:val="center"/>
        <w:rPr>
          <w:b/>
          <w:sz w:val="44"/>
          <w:szCs w:val="44"/>
        </w:rPr>
      </w:pPr>
    </w:p>
    <w:p w14:paraId="4890D9F7">
      <w:pPr>
        <w:spacing w:line="540" w:lineRule="exact"/>
        <w:jc w:val="center"/>
        <w:rPr>
          <w:b/>
          <w:sz w:val="44"/>
          <w:szCs w:val="44"/>
        </w:rPr>
      </w:pPr>
    </w:p>
    <w:p w14:paraId="06B12C7B">
      <w:pPr>
        <w:spacing w:line="540" w:lineRule="exact"/>
        <w:jc w:val="center"/>
        <w:rPr>
          <w:b/>
          <w:sz w:val="44"/>
          <w:szCs w:val="44"/>
        </w:rPr>
      </w:pPr>
    </w:p>
    <w:p w14:paraId="7C21D857">
      <w:pPr>
        <w:spacing w:line="540" w:lineRule="exact"/>
        <w:jc w:val="center"/>
        <w:rPr>
          <w:b/>
          <w:sz w:val="44"/>
          <w:szCs w:val="44"/>
        </w:rPr>
      </w:pPr>
    </w:p>
    <w:p w14:paraId="70ECED8E">
      <w:pPr>
        <w:spacing w:line="540" w:lineRule="exact"/>
        <w:jc w:val="center"/>
        <w:rPr>
          <w:b/>
          <w:sz w:val="44"/>
          <w:szCs w:val="44"/>
        </w:rPr>
      </w:pPr>
    </w:p>
    <w:p w14:paraId="51ADC4BB">
      <w:pPr>
        <w:spacing w:line="540" w:lineRule="exact"/>
        <w:jc w:val="center"/>
        <w:rPr>
          <w:b/>
          <w:sz w:val="44"/>
          <w:szCs w:val="44"/>
        </w:rPr>
      </w:pPr>
    </w:p>
    <w:p w14:paraId="6FF3C67A">
      <w:pPr>
        <w:spacing w:line="540" w:lineRule="exact"/>
        <w:jc w:val="center"/>
        <w:rPr>
          <w:b/>
          <w:sz w:val="44"/>
          <w:szCs w:val="44"/>
        </w:rPr>
      </w:pPr>
    </w:p>
    <w:p w14:paraId="06A17086">
      <w:pPr>
        <w:spacing w:line="540" w:lineRule="exact"/>
        <w:jc w:val="center"/>
        <w:rPr>
          <w:b/>
          <w:sz w:val="44"/>
          <w:szCs w:val="44"/>
        </w:rPr>
      </w:pPr>
    </w:p>
    <w:p w14:paraId="19946A82">
      <w:pPr>
        <w:spacing w:line="540" w:lineRule="exact"/>
        <w:jc w:val="center"/>
        <w:rPr>
          <w:rFonts w:hint="eastAsia"/>
          <w:b/>
          <w:sz w:val="44"/>
          <w:szCs w:val="44"/>
        </w:rPr>
      </w:pPr>
    </w:p>
    <w:p w14:paraId="156DB376">
      <w:pPr>
        <w:spacing w:line="540" w:lineRule="exact"/>
        <w:jc w:val="center"/>
        <w:rPr>
          <w:b/>
          <w:sz w:val="44"/>
          <w:szCs w:val="44"/>
        </w:rPr>
      </w:pPr>
      <w:r>
        <w:rPr>
          <w:rFonts w:hint="eastAsia"/>
          <w:b/>
          <w:sz w:val="44"/>
          <w:szCs w:val="44"/>
        </w:rPr>
        <w:t>目    录</w:t>
      </w:r>
    </w:p>
    <w:p w14:paraId="35B1F3A0">
      <w:pPr>
        <w:spacing w:line="540" w:lineRule="exact"/>
        <w:rPr>
          <w:b/>
          <w:sz w:val="44"/>
          <w:szCs w:val="44"/>
          <w:u w:val="single"/>
        </w:rPr>
      </w:pPr>
    </w:p>
    <w:p w14:paraId="0347A526">
      <w:pPr>
        <w:spacing w:line="540" w:lineRule="exact"/>
        <w:rPr>
          <w:rFonts w:ascii="黑体" w:hAnsi="黑体" w:eastAsia="黑体"/>
          <w:sz w:val="32"/>
          <w:szCs w:val="32"/>
        </w:rPr>
      </w:pPr>
      <w:r>
        <w:rPr>
          <w:rFonts w:hint="eastAsia" w:ascii="黑体" w:hAnsi="黑体" w:eastAsia="黑体"/>
          <w:sz w:val="32"/>
          <w:szCs w:val="32"/>
        </w:rPr>
        <w:t>第一部分    盘锦市自然资源局概况</w:t>
      </w:r>
    </w:p>
    <w:p w14:paraId="41DE496D">
      <w:pPr>
        <w:numPr>
          <w:ilvl w:val="0"/>
          <w:numId w:val="1"/>
        </w:numPr>
        <w:spacing w:line="540" w:lineRule="exact"/>
        <w:rPr>
          <w:rFonts w:ascii="仿宋_GB2312" w:hAnsi="黑体" w:eastAsia="仿宋_GB2312"/>
          <w:sz w:val="32"/>
          <w:szCs w:val="32"/>
        </w:rPr>
      </w:pPr>
      <w:r>
        <w:rPr>
          <w:rFonts w:hint="eastAsia" w:ascii="仿宋_GB2312" w:hAnsi="黑体" w:eastAsia="仿宋_GB2312"/>
          <w:sz w:val="32"/>
          <w:szCs w:val="32"/>
        </w:rPr>
        <w:t>主要职责和机构设置情况</w:t>
      </w:r>
    </w:p>
    <w:p w14:paraId="64E2A742">
      <w:pPr>
        <w:numPr>
          <w:ilvl w:val="0"/>
          <w:numId w:val="1"/>
        </w:numPr>
        <w:spacing w:line="540" w:lineRule="exact"/>
        <w:rPr>
          <w:rFonts w:ascii="仿宋_GB2312" w:hAnsi="黑体" w:eastAsia="仿宋_GB2312"/>
          <w:sz w:val="32"/>
          <w:szCs w:val="32"/>
        </w:rPr>
      </w:pPr>
      <w:r>
        <w:rPr>
          <w:rFonts w:hint="eastAsia" w:ascii="仿宋_GB2312" w:hAnsi="黑体" w:eastAsia="仿宋_GB2312"/>
          <w:sz w:val="32"/>
          <w:szCs w:val="32"/>
        </w:rPr>
        <w:t>部门决算单位构成</w:t>
      </w:r>
    </w:p>
    <w:p w14:paraId="108F9CDD">
      <w:pPr>
        <w:spacing w:line="540" w:lineRule="exact"/>
        <w:rPr>
          <w:rFonts w:ascii="黑体" w:hAnsi="黑体" w:eastAsia="黑体"/>
          <w:sz w:val="32"/>
          <w:szCs w:val="32"/>
        </w:rPr>
      </w:pPr>
      <w:r>
        <w:rPr>
          <w:rFonts w:hint="eastAsia" w:ascii="黑体" w:hAnsi="黑体" w:eastAsia="黑体"/>
          <w:sz w:val="32"/>
          <w:szCs w:val="32"/>
        </w:rPr>
        <w:t>第二部分    盘锦市自然资源局2021年度部门决算情况说明</w:t>
      </w:r>
    </w:p>
    <w:p w14:paraId="6D0C8423">
      <w:pPr>
        <w:spacing w:line="540" w:lineRule="exact"/>
        <w:rPr>
          <w:rFonts w:ascii="仿宋_GB2312" w:eastAsia="仿宋_GB2312"/>
          <w:sz w:val="32"/>
          <w:szCs w:val="32"/>
        </w:rPr>
      </w:pPr>
      <w:r>
        <w:rPr>
          <w:rFonts w:hint="eastAsia" w:ascii="仿宋_GB2312" w:eastAsia="仿宋_GB2312"/>
          <w:sz w:val="32"/>
          <w:szCs w:val="32"/>
        </w:rPr>
        <w:t>一、收入支出决算总体情况说明</w:t>
      </w:r>
    </w:p>
    <w:p w14:paraId="4E950D7A">
      <w:pPr>
        <w:spacing w:line="540" w:lineRule="exact"/>
        <w:rPr>
          <w:rFonts w:ascii="仿宋_GB2312" w:eastAsia="仿宋_GB2312"/>
          <w:sz w:val="32"/>
          <w:szCs w:val="32"/>
        </w:rPr>
      </w:pPr>
      <w:r>
        <w:rPr>
          <w:rFonts w:hint="eastAsia" w:ascii="仿宋_GB2312" w:eastAsia="仿宋_GB2312"/>
          <w:sz w:val="32"/>
          <w:szCs w:val="32"/>
        </w:rPr>
        <w:t>二、财政拨款收入支出决算情况说明</w:t>
      </w:r>
    </w:p>
    <w:p w14:paraId="3BFA5629">
      <w:pPr>
        <w:spacing w:line="540" w:lineRule="exact"/>
        <w:rPr>
          <w:rFonts w:ascii="仿宋_GB2312" w:eastAsia="仿宋_GB2312"/>
          <w:sz w:val="32"/>
          <w:szCs w:val="32"/>
        </w:rPr>
      </w:pPr>
      <w:r>
        <w:rPr>
          <w:rFonts w:hint="eastAsia" w:ascii="仿宋_GB2312" w:eastAsia="仿宋_GB2312"/>
          <w:sz w:val="32"/>
          <w:szCs w:val="32"/>
        </w:rPr>
        <w:t>三、一般公共预算财政拨款“三公”经费支出决算情况说明</w:t>
      </w:r>
    </w:p>
    <w:p w14:paraId="0E549B86">
      <w:pPr>
        <w:spacing w:line="540" w:lineRule="exact"/>
        <w:rPr>
          <w:rFonts w:ascii="仿宋_GB2312" w:eastAsia="仿宋_GB2312"/>
          <w:sz w:val="32"/>
          <w:szCs w:val="32"/>
        </w:rPr>
      </w:pPr>
      <w:r>
        <w:rPr>
          <w:rFonts w:hint="eastAsia" w:ascii="仿宋_GB2312" w:eastAsia="仿宋_GB2312"/>
          <w:sz w:val="32"/>
          <w:szCs w:val="32"/>
        </w:rPr>
        <w:t>四、一般公共预算财政拨款基本支出决算情况说明</w:t>
      </w:r>
    </w:p>
    <w:p w14:paraId="58657E30">
      <w:pPr>
        <w:spacing w:line="540" w:lineRule="exact"/>
        <w:rPr>
          <w:rFonts w:ascii="仿宋_GB2312" w:eastAsia="仿宋_GB2312"/>
          <w:sz w:val="32"/>
          <w:szCs w:val="32"/>
        </w:rPr>
      </w:pPr>
      <w:r>
        <w:rPr>
          <w:rFonts w:hint="eastAsia" w:ascii="仿宋_GB2312" w:eastAsia="仿宋_GB2312"/>
          <w:sz w:val="32"/>
          <w:szCs w:val="32"/>
        </w:rPr>
        <w:t>五、其他重要事项的情况说明</w:t>
      </w:r>
    </w:p>
    <w:p w14:paraId="59349915">
      <w:pPr>
        <w:spacing w:line="540" w:lineRule="exact"/>
        <w:rPr>
          <w:rFonts w:ascii="黑体" w:hAnsi="黑体" w:eastAsia="黑体"/>
          <w:sz w:val="32"/>
          <w:szCs w:val="32"/>
        </w:rPr>
      </w:pPr>
      <w:r>
        <w:rPr>
          <w:rFonts w:hint="eastAsia" w:ascii="黑体" w:hAnsi="黑体" w:eastAsia="黑体"/>
          <w:sz w:val="32"/>
          <w:szCs w:val="32"/>
        </w:rPr>
        <w:t>第三部分    名词解释</w:t>
      </w:r>
    </w:p>
    <w:p w14:paraId="4B34C0C8">
      <w:pPr>
        <w:spacing w:line="540" w:lineRule="exact"/>
        <w:rPr>
          <w:rFonts w:ascii="黑体" w:hAnsi="黑体" w:eastAsia="黑体"/>
          <w:sz w:val="32"/>
          <w:szCs w:val="32"/>
        </w:rPr>
      </w:pPr>
      <w:r>
        <w:rPr>
          <w:rFonts w:hint="eastAsia" w:ascii="黑体" w:hAnsi="黑体" w:eastAsia="黑体"/>
          <w:sz w:val="32"/>
          <w:szCs w:val="32"/>
        </w:rPr>
        <w:t>第四部分   盘锦自然资源局2021年度部门决算报表</w:t>
      </w:r>
    </w:p>
    <w:p w14:paraId="24864ED6">
      <w:pPr>
        <w:spacing w:line="540" w:lineRule="exact"/>
        <w:rPr>
          <w:rFonts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14:paraId="3413C5A6">
      <w:pPr>
        <w:spacing w:line="540" w:lineRule="exact"/>
        <w:rPr>
          <w:rFonts w:ascii="仿宋_GB2312" w:eastAsia="仿宋_GB2312"/>
          <w:sz w:val="32"/>
          <w:szCs w:val="32"/>
        </w:rPr>
      </w:pPr>
      <w:r>
        <w:rPr>
          <w:rFonts w:hint="eastAsia" w:ascii="仿宋_GB2312" w:eastAsia="仿宋_GB2312"/>
          <w:sz w:val="32"/>
          <w:szCs w:val="32"/>
        </w:rPr>
        <w:t>二、收入决算表</w:t>
      </w:r>
    </w:p>
    <w:p w14:paraId="7382FEBE">
      <w:pPr>
        <w:spacing w:line="540" w:lineRule="exact"/>
        <w:rPr>
          <w:rFonts w:ascii="仿宋_GB2312" w:eastAsia="仿宋_GB2312"/>
          <w:sz w:val="32"/>
          <w:szCs w:val="32"/>
        </w:rPr>
      </w:pPr>
      <w:r>
        <w:rPr>
          <w:rFonts w:hint="eastAsia" w:ascii="仿宋_GB2312" w:eastAsia="仿宋_GB2312"/>
          <w:sz w:val="32"/>
          <w:szCs w:val="32"/>
        </w:rPr>
        <w:t>三、支出决算表</w:t>
      </w:r>
    </w:p>
    <w:p w14:paraId="2E632BF5">
      <w:pPr>
        <w:spacing w:line="540" w:lineRule="exact"/>
        <w:rPr>
          <w:rFonts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财政拨款收入支出决算表</w:t>
      </w:r>
    </w:p>
    <w:p w14:paraId="030A9714">
      <w:pPr>
        <w:spacing w:line="540" w:lineRule="exact"/>
        <w:rPr>
          <w:rFonts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14:paraId="5F5B289E">
      <w:pPr>
        <w:spacing w:line="540" w:lineRule="exact"/>
        <w:rPr>
          <w:rFonts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14:paraId="31DA3BD9">
      <w:pPr>
        <w:spacing w:line="540" w:lineRule="exact"/>
        <w:rPr>
          <w:rFonts w:ascii="仿宋_GB2312" w:eastAsia="仿宋_GB2312"/>
          <w:sz w:val="32"/>
          <w:szCs w:val="32"/>
        </w:rPr>
      </w:pPr>
      <w:r>
        <w:rPr>
          <w:rFonts w:hint="eastAsia" w:ascii="仿宋_GB2312" w:eastAsia="仿宋_GB2312"/>
          <w:sz w:val="32"/>
          <w:szCs w:val="32"/>
        </w:rPr>
        <w:t>七、</w:t>
      </w:r>
      <w:r>
        <w:rPr>
          <w:rFonts w:ascii="仿宋_GB2312" w:eastAsia="仿宋_GB2312"/>
          <w:sz w:val="32"/>
          <w:szCs w:val="32"/>
        </w:rPr>
        <w:t>政府性基金预算财政拨款支出决算表</w:t>
      </w:r>
    </w:p>
    <w:p w14:paraId="7A50E407">
      <w:pPr>
        <w:spacing w:line="540" w:lineRule="exact"/>
        <w:ind w:left="640" w:hanging="640" w:hangingChars="200"/>
        <w:rPr>
          <w:rFonts w:ascii="仿宋_GB2312" w:eastAsia="仿宋_GB2312"/>
          <w:sz w:val="32"/>
          <w:szCs w:val="32"/>
        </w:rPr>
      </w:pPr>
      <w:r>
        <w:rPr>
          <w:rFonts w:hint="eastAsia" w:ascii="仿宋_GB2312" w:eastAsia="仿宋_GB2312"/>
          <w:sz w:val="32"/>
          <w:szCs w:val="32"/>
        </w:rPr>
        <w:t>八、一般公共预算财政拨款“三公”经费支出决算表</w:t>
      </w:r>
    </w:p>
    <w:p w14:paraId="6FA1D422">
      <w:pPr>
        <w:spacing w:line="540" w:lineRule="exact"/>
        <w:ind w:left="640" w:hanging="640" w:hangingChars="200"/>
        <w:rPr>
          <w:rFonts w:ascii="仿宋_GB2312" w:eastAsia="仿宋_GB2312"/>
          <w:sz w:val="32"/>
          <w:szCs w:val="32"/>
        </w:rPr>
      </w:pPr>
      <w:r>
        <w:rPr>
          <w:rFonts w:hint="eastAsia" w:ascii="仿宋_GB2312" w:eastAsia="仿宋_GB2312"/>
          <w:sz w:val="32"/>
          <w:szCs w:val="32"/>
        </w:rPr>
        <w:t>九、国有资本经营预算财政拨款支出决算表</w:t>
      </w:r>
    </w:p>
    <w:p w14:paraId="7D2C867C">
      <w:pPr>
        <w:spacing w:line="540" w:lineRule="exact"/>
        <w:jc w:val="center"/>
        <w:rPr>
          <w:rFonts w:ascii="黑体" w:hAnsi="黑体" w:eastAsia="黑体"/>
          <w:b/>
          <w:sz w:val="44"/>
          <w:szCs w:val="44"/>
          <w:u w:val="single"/>
        </w:rPr>
      </w:pPr>
    </w:p>
    <w:p w14:paraId="7348101D">
      <w:pPr>
        <w:spacing w:line="540" w:lineRule="exact"/>
        <w:jc w:val="center"/>
        <w:rPr>
          <w:rFonts w:ascii="宋体" w:hAnsi="宋体"/>
          <w:b/>
          <w:sz w:val="36"/>
          <w:szCs w:val="36"/>
        </w:rPr>
      </w:pPr>
      <w:r>
        <w:rPr>
          <w:rFonts w:hint="eastAsia"/>
          <w:b/>
          <w:sz w:val="44"/>
          <w:szCs w:val="44"/>
          <w:u w:val="single"/>
        </w:rPr>
        <w:br w:type="page"/>
      </w:r>
      <w:r>
        <w:rPr>
          <w:rFonts w:hint="eastAsia" w:ascii="宋体" w:hAnsi="宋体"/>
          <w:b/>
          <w:sz w:val="36"/>
          <w:szCs w:val="36"/>
        </w:rPr>
        <w:t>第一部分 盘锦市自然资源局概况</w:t>
      </w:r>
    </w:p>
    <w:p w14:paraId="2521AC81">
      <w:pPr>
        <w:spacing w:line="540" w:lineRule="exact"/>
        <w:ind w:firstLine="640" w:firstLineChars="200"/>
        <w:jc w:val="left"/>
        <w:rPr>
          <w:rFonts w:ascii="黑体" w:eastAsia="黑体"/>
          <w:sz w:val="32"/>
          <w:szCs w:val="32"/>
        </w:rPr>
      </w:pPr>
      <w:r>
        <w:rPr>
          <w:rFonts w:hint="eastAsia" w:ascii="黑体" w:eastAsia="黑体"/>
          <w:sz w:val="32"/>
          <w:szCs w:val="32"/>
        </w:rPr>
        <w:t>一、主要职责和机构设置情况</w:t>
      </w:r>
    </w:p>
    <w:p w14:paraId="31BD7F2A">
      <w:pPr>
        <w:spacing w:line="540" w:lineRule="exact"/>
        <w:ind w:firstLine="640" w:firstLineChars="200"/>
        <w:jc w:val="left"/>
        <w:rPr>
          <w:rFonts w:ascii="仿宋_GB2312" w:eastAsia="仿宋_GB2312"/>
          <w:sz w:val="32"/>
          <w:szCs w:val="32"/>
        </w:rPr>
      </w:pPr>
      <w:r>
        <w:rPr>
          <w:rFonts w:hint="eastAsia" w:ascii="仿宋_GB2312" w:eastAsia="仿宋_GB2312"/>
          <w:sz w:val="32"/>
          <w:szCs w:val="32"/>
        </w:rPr>
        <w:t>盘锦市自然资源局贯彻落实党中央、辽宁省委关于自然资源工作的方针政策和决策部署,在履行职责过程中坚持和加强党对自然资源工作的集中统一领导。主要职责是:</w:t>
      </w:r>
      <w:r>
        <w:rPr>
          <w:rFonts w:hint="eastAsia" w:ascii="仿宋_GB2312" w:eastAsia="仿宋_GB2312"/>
          <w:sz w:val="32"/>
          <w:szCs w:val="32"/>
        </w:rPr>
        <w:br w:type="textWrapping"/>
      </w:r>
      <w:r>
        <w:rPr>
          <w:rFonts w:hint="eastAsia" w:ascii="仿宋_GB2312" w:eastAsia="仿宋_GB2312"/>
          <w:sz w:val="32"/>
          <w:szCs w:val="32"/>
        </w:rPr>
        <w:t>　　(一)履行全民所有土地、矿产、森林、草原、湿地、水、海洋等自然资源资产所有者职责和所有国土空间用途管制职责。贯彻落实自然资源、测绘、海洋和国土空间规划等法律法规,拟定自然资源管理制度、有关地方性法规和政府规章草案,并监督检查执行情况。</w:t>
      </w:r>
      <w:r>
        <w:rPr>
          <w:rFonts w:hint="eastAsia" w:ascii="仿宋_GB2312" w:eastAsia="仿宋_GB2312"/>
          <w:sz w:val="32"/>
          <w:szCs w:val="32"/>
        </w:rPr>
        <w:br w:type="textWrapping"/>
      </w:r>
      <w:r>
        <w:rPr>
          <w:rFonts w:hint="eastAsia" w:ascii="仿宋_GB2312" w:eastAsia="仿宋_GB2312"/>
          <w:sz w:val="32"/>
          <w:szCs w:val="32"/>
        </w:rPr>
        <w:t>　　(二)负责自然资源调查监测评价。贯彻执行自然资源调查监测评价的指标体系和统计标准,组织实施自然资源基础调查、专项调查,负责自然资源调查成果的管理、上报、动态监测和实时更新。指导县区自然资源调查监测评价工作。</w:t>
      </w:r>
      <w:r>
        <w:rPr>
          <w:rFonts w:hint="eastAsia" w:ascii="仿宋_GB2312" w:eastAsia="仿宋_GB2312"/>
          <w:sz w:val="32"/>
          <w:szCs w:val="32"/>
        </w:rPr>
        <w:br w:type="textWrapping"/>
      </w:r>
      <w:r>
        <w:rPr>
          <w:rFonts w:hint="eastAsia" w:ascii="仿宋_GB2312" w:eastAsia="仿宋_GB2312"/>
          <w:sz w:val="32"/>
          <w:szCs w:val="32"/>
        </w:rPr>
        <w:t>　　(三)负责自然资源统一确权登记工作。组织开展土地、房屋、林地、海洋等各类自然资源和不动产统一确权登记、权籍调查、不动产测绘、争议调处等工作。会同有关部门制定不动产统一登记地方性政策,建立不动产统一登记制度。推进自然资源和不动产登记信息管理基础平台建设。负责自然资源和不动产登记资料收集、整理、共享、汇交管理等。指导监督县区自然资源和不动产确权登记工作。</w:t>
      </w:r>
      <w:r>
        <w:rPr>
          <w:rFonts w:hint="eastAsia" w:ascii="仿宋_GB2312" w:eastAsia="仿宋_GB2312"/>
          <w:sz w:val="32"/>
          <w:szCs w:val="32"/>
        </w:rPr>
        <w:br w:type="textWrapping"/>
      </w:r>
      <w:r>
        <w:rPr>
          <w:rFonts w:hint="eastAsia" w:ascii="仿宋_GB2312" w:eastAsia="仿宋_GB2312"/>
          <w:sz w:val="32"/>
          <w:szCs w:val="32"/>
        </w:rPr>
        <w:t>　　(四)负责自然资源资产有偿使用工作。贯彻执行全民所有自然资源资产统计制度,负责全市全民所有自然资源资产核算。负责全市全民所有自然资源资产负债表统计、汇总、上报,执行上级考核标准。贯彻落实全民所有自然资源资产划拨、出让、租赁、作价出资和土地储备政策,合理配置全民所有自然资源资产。负责自然资源资产价值评估管理,依法收缴相关资产收益。</w:t>
      </w:r>
      <w:r>
        <w:rPr>
          <w:rFonts w:hint="eastAsia" w:ascii="仿宋_GB2312" w:eastAsia="仿宋_GB2312"/>
          <w:sz w:val="32"/>
          <w:szCs w:val="32"/>
        </w:rPr>
        <w:br w:type="textWrapping"/>
      </w:r>
      <w:r>
        <w:rPr>
          <w:rFonts w:hint="eastAsia" w:ascii="仿宋_GB2312" w:eastAsia="仿宋_GB2312"/>
          <w:sz w:val="32"/>
          <w:szCs w:val="32"/>
        </w:rPr>
        <w:t>　　(五)负责自然资源的合理开发利用。贯彻执行自然资源发展规划和战略,组织拟订自然资源供应计划,建立自然资源价格体系,组织开展自然资源分等定级价格评估,开展自然资源利用评价考核,指导节约集约利用。负责自然资源市场监管。组织研究自然资源管理涉及宏观调控、区域协调和城乡统筹的政策措施。</w:t>
      </w:r>
      <w:r>
        <w:rPr>
          <w:rFonts w:hint="eastAsia" w:ascii="仿宋_GB2312" w:eastAsia="仿宋_GB2312"/>
          <w:sz w:val="32"/>
          <w:szCs w:val="32"/>
        </w:rPr>
        <w:br w:type="textWrapping"/>
      </w:r>
      <w:r>
        <w:rPr>
          <w:rFonts w:hint="eastAsia" w:ascii="仿宋_GB2312" w:eastAsia="仿宋_GB2312"/>
          <w:sz w:val="32"/>
          <w:szCs w:val="32"/>
        </w:rPr>
        <w:t>　　(六)负责建立空间规划体系并监督实施。贯彻落实主体功能区战略和制度,组织编制国土空间规划、土地利用总体规划、城乡规划以及相关专项规划,并监督、监测和管理各类规划的实施。开展国土空间开发适宜性评价,建立国土空间规划实施监测、评估和预警体系。组织划定生态保护红线、永久基本农田、城镇开发边界等控制线,构建节约资源和保护环境的生产、生活、生态空间布局。负责城乡规划管理,审核、审批修建性详细规划方案,核发建设项目工程相关许可。组织拟订并实施全市土地、海洋等自然资源年度利用计划。贯彻落实国土空间用途管制制度,负责土地、海域等国土空间用途转用工作。负责土地转用和征收征用的审核、报批工作。</w:t>
      </w:r>
      <w:r>
        <w:rPr>
          <w:rFonts w:hint="eastAsia" w:ascii="仿宋_GB2312" w:eastAsia="仿宋_GB2312"/>
          <w:sz w:val="32"/>
          <w:szCs w:val="32"/>
        </w:rPr>
        <w:br w:type="textWrapping"/>
      </w:r>
      <w:r>
        <w:rPr>
          <w:rFonts w:hint="eastAsia" w:ascii="仿宋_GB2312" w:eastAsia="仿宋_GB2312"/>
          <w:sz w:val="32"/>
          <w:szCs w:val="32"/>
        </w:rPr>
        <w:t>　　(七)负责统筹国土空间生态修复。牵头组织编制国土空间生态修复规划并实施有关生态修复工程。负责国土空间综合整治、土地整理复垦、矿山地质环境恢复治理、海洋生态、海域海岸线修复等工作。组织实施生态保护补偿制度,落实利用社会资金进行生态修复的政策措施。</w:t>
      </w:r>
      <w:r>
        <w:rPr>
          <w:rFonts w:hint="eastAsia" w:ascii="仿宋_GB2312" w:eastAsia="仿宋_GB2312"/>
          <w:sz w:val="32"/>
          <w:szCs w:val="32"/>
        </w:rPr>
        <w:br w:type="textWrapping"/>
      </w:r>
      <w:r>
        <w:rPr>
          <w:rFonts w:hint="eastAsia" w:ascii="仿宋_GB2312" w:eastAsia="仿宋_GB2312"/>
          <w:sz w:val="32"/>
          <w:szCs w:val="32"/>
        </w:rPr>
        <w:t>　　(八)负责组织实施最严格的耕地保护制度。贯彻落实耕地保护政策,负责耕地数量、质量、生态保护,确保全市耕地保有量、基本农田保护面积数量不减少、质量不降低。组织实施耕地保护责任目标考核和永久基本农田特殊保护。落实耕地占补平衡制度,监督占用耕地补偿制度执行情况。</w:t>
      </w:r>
      <w:r>
        <w:rPr>
          <w:rFonts w:hint="eastAsia" w:ascii="仿宋_GB2312" w:eastAsia="仿宋_GB2312"/>
          <w:sz w:val="32"/>
          <w:szCs w:val="32"/>
        </w:rPr>
        <w:br w:type="textWrapping"/>
      </w:r>
      <w:r>
        <w:rPr>
          <w:rFonts w:hint="eastAsia" w:ascii="仿宋_GB2312" w:eastAsia="仿宋_GB2312"/>
          <w:sz w:val="32"/>
          <w:szCs w:val="32"/>
        </w:rPr>
        <w:t>(九)负责矿产资源管理和地质勘察工作。负责矿业权管理和矿业权交易监管工作。负责矿产资源储量管理,依法审定探矿权、采矿权评估结果确认。负责地质调查综合统一管理。组织实施矿山地质环境保护。组织协调和指导监督地质灾害防治工作,组织制定并实施重大地质灾害突发事件应急预案。</w:t>
      </w:r>
      <w:r>
        <w:rPr>
          <w:rFonts w:hint="eastAsia" w:ascii="仿宋_GB2312" w:eastAsia="仿宋_GB2312"/>
          <w:sz w:val="32"/>
          <w:szCs w:val="32"/>
        </w:rPr>
        <w:br w:type="textWrapping"/>
      </w:r>
      <w:r>
        <w:rPr>
          <w:rFonts w:hint="eastAsia" w:ascii="仿宋_GB2312" w:eastAsia="仿宋_GB2312"/>
          <w:sz w:val="32"/>
          <w:szCs w:val="32"/>
        </w:rPr>
        <w:t>　　(十)负责海洋开发利用和保护的监督管理工作。制定海域海岛保护利用规划并监督实施。负责海域使用和海岛保护利用管理。负责海洋观测预报、预警监测和减灾工作,参与重大海洋灾害应急处置。负责围填海和海域使用管理工作。</w:t>
      </w:r>
      <w:r>
        <w:rPr>
          <w:rFonts w:hint="eastAsia" w:ascii="仿宋_GB2312" w:eastAsia="仿宋_GB2312"/>
          <w:sz w:val="32"/>
          <w:szCs w:val="32"/>
        </w:rPr>
        <w:br w:type="textWrapping"/>
      </w:r>
      <w:r>
        <w:rPr>
          <w:rFonts w:hint="eastAsia" w:ascii="仿宋_GB2312" w:eastAsia="仿宋_GB2312"/>
          <w:sz w:val="32"/>
          <w:szCs w:val="32"/>
        </w:rPr>
        <w:t>　　(十一)负责测绘地理信息管理工作。负责基础测绘和测绘行业管理。负责测绘资质资格与信用管理,监督管理地理信息安全和市场秩序。负责地理信息公共服务管理。负责测量标志保护。</w:t>
      </w:r>
      <w:r>
        <w:rPr>
          <w:rFonts w:hint="eastAsia" w:ascii="仿宋_GB2312" w:eastAsia="仿宋_GB2312"/>
          <w:sz w:val="32"/>
          <w:szCs w:val="32"/>
        </w:rPr>
        <w:br w:type="textWrapping"/>
      </w:r>
      <w:r>
        <w:rPr>
          <w:rFonts w:hint="eastAsia" w:ascii="仿宋_GB2312" w:eastAsia="仿宋_GB2312"/>
          <w:sz w:val="32"/>
          <w:szCs w:val="32"/>
        </w:rPr>
        <w:t>　　(十二)完成市委、市政府交办的其他任务。</w:t>
      </w:r>
      <w:r>
        <w:rPr>
          <w:rFonts w:hint="eastAsia" w:ascii="仿宋_GB2312" w:eastAsia="仿宋_GB2312"/>
          <w:sz w:val="32"/>
          <w:szCs w:val="32"/>
        </w:rPr>
        <w:br w:type="textWrapping"/>
      </w:r>
      <w:r>
        <w:rPr>
          <w:rFonts w:hint="eastAsia" w:ascii="仿宋_GB2312" w:eastAsia="仿宋_GB2312"/>
          <w:sz w:val="32"/>
          <w:szCs w:val="32"/>
        </w:rPr>
        <w:t>　　(十三)职能转变。市自然资源局要落实中央、省委关于统一行使全民所有自然资源资产所有者职责,统一行使所有国土空间用途管制和生态保护修复职责的要求,强化顶层设计,发挥国土空间规划的管控作用,为保护和合理开发利用自然资源提供科学指引。进一步加强自然资源的保护和合理开发利用,建立健全源头保护和全过程修复治理相结合的工作机制,实现整体保护、系统修复、综合治理。创新激励约束并举的制度措施,推进自然资源节约集约利用。进一步精简下放有关行政审批事项、强化监管力度,充分发挥市场对资源配置的决定性作用,更好发挥政府作用,强化自然资源管理规则、标准、制度的约束性作用,推进自然资源确权登记和评估的便民高效。</w:t>
      </w:r>
      <w:r>
        <w:rPr>
          <w:rFonts w:hint="eastAsia" w:ascii="仿宋_GB2312" w:eastAsia="仿宋_GB2312"/>
          <w:sz w:val="32"/>
          <w:szCs w:val="32"/>
        </w:rPr>
        <w:br w:type="textWrapping"/>
      </w:r>
      <w:r>
        <w:rPr>
          <w:rFonts w:hint="eastAsia" w:ascii="仿宋_GB2312" w:eastAsia="仿宋_GB2312"/>
          <w:sz w:val="32"/>
          <w:szCs w:val="32"/>
        </w:rPr>
        <w:t>　　(十四)有关职责分工与市城市管理综合行政执法局的有关职责分工。市城市管理综合行政执法局负责行使城乡规划管理方面全部行政处罚权及相关行政检查权、行政强制权,参与建设工程项目的放线管理、验线实施。违法建设认定工作由市自然资源局组织实施,市城市管理综合行政执法局依据市自然资源局认定结果查处违法建设行为。</w:t>
      </w:r>
    </w:p>
    <w:p w14:paraId="0AE5A3FC">
      <w:pPr>
        <w:spacing w:line="540" w:lineRule="exact"/>
        <w:ind w:firstLine="640" w:firstLineChars="200"/>
        <w:jc w:val="left"/>
        <w:rPr>
          <w:rFonts w:ascii="仿宋_GB2312" w:eastAsia="仿宋_GB2312"/>
          <w:sz w:val="32"/>
          <w:szCs w:val="32"/>
        </w:rPr>
      </w:pPr>
      <w:r>
        <w:rPr>
          <w:rFonts w:hint="eastAsia" w:ascii="仿宋_GB2312" w:eastAsia="仿宋_GB2312"/>
          <w:sz w:val="32"/>
          <w:szCs w:val="32"/>
        </w:rPr>
        <w:t>单位机构设置情况如下：</w:t>
      </w:r>
    </w:p>
    <w:p w14:paraId="22B3D0E3">
      <w:pPr>
        <w:spacing w:line="540" w:lineRule="exact"/>
        <w:ind w:firstLine="640" w:firstLineChars="200"/>
        <w:jc w:val="left"/>
        <w:rPr>
          <w:rFonts w:ascii="仿宋" w:hAnsi="仿宋" w:eastAsia="仿宋" w:cs="仿宋"/>
          <w:sz w:val="32"/>
          <w:szCs w:val="32"/>
        </w:rPr>
      </w:pPr>
      <w:r>
        <w:rPr>
          <w:rFonts w:hint="eastAsia" w:ascii="仿宋_GB2312" w:eastAsia="仿宋_GB2312"/>
          <w:sz w:val="32"/>
          <w:szCs w:val="32"/>
        </w:rPr>
        <w:t>（一）办公室。负责文电、会务、机要、档案等工作;负责信息、安全、保密等工作;负责机关后勤保障工作;负责退休干部服务保障工作;负责起草有关文件、报告等文字综合工作;负责重要工作和领导批示落实情况的督促、检查;负责机关日常事务管理工作。</w:t>
      </w:r>
      <w:r>
        <w:rPr>
          <w:rFonts w:hint="eastAsia" w:ascii="仿宋_GB2312" w:eastAsia="仿宋_GB2312"/>
          <w:sz w:val="32"/>
          <w:szCs w:val="32"/>
        </w:rPr>
        <w:br w:type="textWrapping"/>
      </w:r>
      <w:r>
        <w:rPr>
          <w:rFonts w:hint="eastAsia" w:ascii="仿宋_GB2312" w:eastAsia="仿宋_GB2312"/>
          <w:sz w:val="32"/>
          <w:szCs w:val="32"/>
        </w:rPr>
        <w:t>(二)财务科。负责机关财务管理、国有资产监管工作;依法承担自然资源专项收入征管和专项资金的管理工作;负责部门预决算、财务管理和内部审计工作;对系统各项行政性收费进行监督管理;负责机关医疗保险、养老保险、失业保险和住房公积金管理工作。</w:t>
      </w:r>
      <w:r>
        <w:rPr>
          <w:rFonts w:hint="eastAsia" w:ascii="仿宋_GB2312" w:eastAsia="仿宋_GB2312"/>
          <w:sz w:val="32"/>
          <w:szCs w:val="32"/>
        </w:rPr>
        <w:br w:type="textWrapping"/>
      </w:r>
      <w:r>
        <w:rPr>
          <w:rFonts w:hint="eastAsia" w:ascii="仿宋_GB2312" w:eastAsia="仿宋_GB2312"/>
          <w:sz w:val="32"/>
          <w:szCs w:val="32"/>
        </w:rPr>
        <w:t>(三)法规监察科(行政审批科)。组织起草自然资源规范性文件、有关地方性法规和市政府规章草案,组织有关法律法规的宣传教育,组织开展自然资源依法行政和普法工作;负责对自然资源法律法规执行情况进行监督检查,查处重大自然资源违法案件;承担自然资源行政复议、行政应诉有关工作;组织实施有关听证工作;负责信访工作;负责行政审批事项的受理和审批工作,组织协调行政审批事项现场勘查、专家论证和技术审查等工作,负责提出行政许可决定和行政许可证照发放,组织协调办理与市直部门联合审批事项;负责政务公开与营商环境建设。</w:t>
      </w:r>
      <w:r>
        <w:rPr>
          <w:rFonts w:hint="eastAsia" w:ascii="仿宋_GB2312" w:eastAsia="仿宋_GB2312"/>
          <w:sz w:val="32"/>
          <w:szCs w:val="32"/>
        </w:rPr>
        <w:br w:type="textWrapping"/>
      </w:r>
      <w:r>
        <w:rPr>
          <w:rFonts w:hint="eastAsia" w:ascii="仿宋_GB2312" w:eastAsia="仿宋_GB2312"/>
          <w:sz w:val="32"/>
          <w:szCs w:val="32"/>
        </w:rPr>
        <w:t>(四)自然资源调查监测科(测绘与地质矿产管理科)。贯彻执行国家自然资源调查监测评价的指标体系和统计标准,组织实施全市自然资源基础调查、变更调查、动态监测和分析评价;开展水、森林、草原和湿地资源专项调查监测评价工作;承担自然资源调查监测评价成果的汇交、管理、维护、发布、共享和利用管理;拟定全市基础测绘规划、计划并组织实施;负责测绘行业管理,监督管理测绘活动和质量;负责测绘资质资格;负责审核重要地理信息数据;监督管理地理信息安全和市场秩序;负责地理信息公共服务管理;负责地理信息成果管理和测量标志保护;负责地图及地图市场的管理;负责矿业权管理和矿业权交易监管工作;负责矿产资源储量管理、地质勘查管理,依法审定探矿权、采矿权评估结果确认;负责地质调查综合统一管理;组织协调和指导监督地质灾害防治工作,组织制定并实施重大地质灾害突发事件应急预案。</w:t>
      </w:r>
      <w:r>
        <w:rPr>
          <w:rFonts w:hint="eastAsia" w:ascii="仿宋_GB2312" w:eastAsia="仿宋_GB2312"/>
          <w:sz w:val="32"/>
          <w:szCs w:val="32"/>
        </w:rPr>
        <w:br w:type="textWrapping"/>
      </w:r>
      <w:r>
        <w:rPr>
          <w:rFonts w:hint="eastAsia" w:ascii="仿宋_GB2312" w:eastAsia="仿宋_GB2312"/>
          <w:sz w:val="32"/>
          <w:szCs w:val="32"/>
        </w:rPr>
        <w:t>(五)自然资源确权登记科。组织开展土地、房屋、林地、海洋等各类自然资源和不动产统一确权登记、权籍调查、不动产测绘、争议调处等工作;会同有关部门制定不动产统一登记地方性政策,建立不动产统一登记制度;指导监督县区自然资源和不动产确权登记工作。指导全市自然资源和不动产登记信息基础平台建设与应用,推动建立不动产信息公开查询系统。</w:t>
      </w:r>
      <w:r>
        <w:rPr>
          <w:rFonts w:hint="eastAsia" w:ascii="仿宋_GB2312" w:eastAsia="仿宋_GB2312"/>
          <w:sz w:val="32"/>
          <w:szCs w:val="32"/>
        </w:rPr>
        <w:br w:type="textWrapping"/>
      </w:r>
      <w:r>
        <w:rPr>
          <w:rFonts w:hint="eastAsia" w:ascii="仿宋_GB2312" w:eastAsia="仿宋_GB2312"/>
          <w:sz w:val="32"/>
          <w:szCs w:val="32"/>
        </w:rPr>
        <w:t>(六)建设规划与用地管理科。负责审查、审批修建性详细规划方案,核发城市规划区和市域重点发展区域内建设项目的《建设项目选址意见书》、《建设用地规划许可证》、《建设工程规划许可证》、《辽宁省建设工程竣工规划核实合格证》;负责组织编制市域内道路交通规划及跨区域重大基础设施规划;负责城市规划区内各类市政工程及辽河油田井场、油气管线等规划选址和工程规划方案的管理工作;负责指导县、区、经济区规划实施和规划管理工作;贯彻执行全民所有自然资源资产管理政策,承担全民所有自然资源资产的管理和统计,承担自然资源资产评估和资产核算工作;负责全民所有自然资源资产负债表统计、汇总、上报,执行上级考核标准;负责全民所有自然资源资产划拨、出让、租赁、作价出资和土地储备的管理工作,合理配置全民所有自然资源资产;执行自然资源资产有偿使用制度,监督、管理、监控自然资源交易市场;组织开展自然资源分等定级价格评估,指导和监管自然资源开发利用标准,开展评价考核,推进自然资源节约集约利用;承担市政府批准的改制企业国有土地资产处置。</w:t>
      </w:r>
      <w:r>
        <w:rPr>
          <w:rFonts w:hint="eastAsia" w:ascii="仿宋_GB2312" w:eastAsia="仿宋_GB2312"/>
          <w:sz w:val="32"/>
          <w:szCs w:val="32"/>
        </w:rPr>
        <w:br w:type="textWrapping"/>
      </w:r>
      <w:r>
        <w:rPr>
          <w:rFonts w:hint="eastAsia" w:ascii="仿宋_GB2312" w:eastAsia="仿宋_GB2312"/>
          <w:sz w:val="32"/>
          <w:szCs w:val="32"/>
        </w:rPr>
        <w:t>(七)规划编制科。组织编制空间规划、土地利用总体规划、城乡建设规划以及相关专项规划,监督、监测和管理各类规划的实施;承担报市政府审批的乡镇规划的审核和报批工作,指导县区规划编制和实施;组织划定生态保护红线、永久基本农田、城镇开发边界等控制线,构建节约资源和保护环境的生产、生活、生态空间布局。</w:t>
      </w:r>
      <w:r>
        <w:rPr>
          <w:rFonts w:hint="eastAsia" w:ascii="仿宋_GB2312" w:eastAsia="仿宋_GB2312"/>
          <w:sz w:val="32"/>
          <w:szCs w:val="32"/>
        </w:rPr>
        <w:br w:type="textWrapping"/>
      </w:r>
      <w:r>
        <w:rPr>
          <w:rFonts w:hint="eastAsia" w:ascii="仿宋_GB2312" w:eastAsia="仿宋_GB2312"/>
          <w:sz w:val="32"/>
          <w:szCs w:val="32"/>
        </w:rPr>
        <w:t>(八)国土空间用途管制科。组织拟订并实施全市土地、海洋等自然资源年度利用计划,并组织实施;贯彻落实国土空间用途管制制度,负责土地、海域等国土空间用途转用工作;负责各类土地用途转用的审核报批工作;承担建设项目用地预审工作;负责城乡建设用地增减挂钩的管理工作。</w:t>
      </w:r>
      <w:r>
        <w:rPr>
          <w:rFonts w:hint="eastAsia" w:ascii="仿宋_GB2312" w:eastAsia="仿宋_GB2312"/>
          <w:sz w:val="32"/>
          <w:szCs w:val="32"/>
        </w:rPr>
        <w:br w:type="textWrapping"/>
      </w:r>
      <w:r>
        <w:rPr>
          <w:rFonts w:hint="eastAsia" w:ascii="仿宋_GB2312" w:eastAsia="仿宋_GB2312"/>
          <w:sz w:val="32"/>
          <w:szCs w:val="32"/>
        </w:rPr>
        <w:t>(九)国土空间生态修复科。组织拟订国土空间生态修复规划并组织实施;承担国土空间综合整治、土地整理复垦、矿山地质环境恢复治理、海洋生态、海域海岸带修复等工作;承担生态保护补偿等相关工作;组织实施矿山地质环境保护;指导县区国土空间生态修复工作。</w:t>
      </w:r>
      <w:r>
        <w:rPr>
          <w:rFonts w:hint="eastAsia" w:ascii="仿宋_GB2312" w:eastAsia="仿宋_GB2312"/>
          <w:sz w:val="32"/>
          <w:szCs w:val="32"/>
        </w:rPr>
        <w:br w:type="textWrapping"/>
      </w:r>
      <w:r>
        <w:rPr>
          <w:rFonts w:hint="eastAsia" w:ascii="仿宋_GB2312" w:eastAsia="仿宋_GB2312"/>
          <w:sz w:val="32"/>
          <w:szCs w:val="32"/>
        </w:rPr>
        <w:t>(十)耕地保护监督科。贯彻落实耕地保护政策,组织实施耕地保护责任目标考核和永久基本农田特殊保护,负责永久基本农田的划定、占用和补划的监督管理;负责耕地占补平衡工作;承担土地征收征用管理工作。</w:t>
      </w:r>
      <w:r>
        <w:rPr>
          <w:rFonts w:hint="eastAsia" w:ascii="仿宋_GB2312" w:eastAsia="仿宋_GB2312"/>
          <w:sz w:val="32"/>
          <w:szCs w:val="32"/>
        </w:rPr>
        <w:br w:type="textWrapping"/>
      </w:r>
      <w:r>
        <w:rPr>
          <w:rFonts w:hint="eastAsia" w:ascii="仿宋_GB2312" w:eastAsia="仿宋_GB2312"/>
          <w:sz w:val="32"/>
          <w:szCs w:val="32"/>
        </w:rPr>
        <w:t>(十一)海域管理科。负责起草全市海域使用的管理政策与技术规范,编制并实施海洋功能区划、海岸线保护与利用规划及围填海计划,承担海域动态监控工作,受理并审核市政府批准项目用海申请,组织开展海域使用论证、评估;依法办理海域使用行政许可,征收海域使用金;负责全市海洋生态环境的调查、监测、监视和评价。</w:t>
      </w:r>
      <w:r>
        <w:rPr>
          <w:rFonts w:hint="eastAsia" w:ascii="仿宋_GB2312" w:eastAsia="仿宋_GB2312"/>
          <w:sz w:val="32"/>
          <w:szCs w:val="32"/>
        </w:rPr>
        <w:br w:type="textWrapping"/>
      </w:r>
      <w:r>
        <w:rPr>
          <w:rFonts w:hint="eastAsia" w:ascii="仿宋_GB2312" w:eastAsia="仿宋_GB2312"/>
          <w:sz w:val="32"/>
          <w:szCs w:val="32"/>
        </w:rPr>
        <w:t>(十二)机关党委办公室(人事科)。负责机关和直属单位党群工作;负责机关、所属事业单位和派出机构的机构编制、人事管理工作;按规定承担县区自然资源部门领导班子和科级领导干部管理工作;承担自然资源科技成果管理工作。机关党委办公室与人事科合署办公。</w:t>
      </w:r>
      <w:r>
        <w:rPr>
          <w:rFonts w:hint="eastAsia" w:ascii="仿宋_GB2312" w:eastAsia="仿宋_GB2312"/>
          <w:sz w:val="32"/>
          <w:szCs w:val="32"/>
        </w:rPr>
        <w:br w:type="textWrapping"/>
      </w:r>
      <w:r>
        <w:rPr>
          <w:rFonts w:hint="eastAsia" w:ascii="仿宋" w:hAnsi="仿宋" w:eastAsia="仿宋" w:cs="仿宋"/>
          <w:sz w:val="32"/>
          <w:szCs w:val="32"/>
        </w:rPr>
        <w:t>所属事业单位情况：</w:t>
      </w:r>
    </w:p>
    <w:p w14:paraId="41F0884E">
      <w:pPr>
        <w:spacing w:line="540" w:lineRule="exact"/>
        <w:ind w:firstLine="640" w:firstLineChars="200"/>
        <w:jc w:val="left"/>
        <w:rPr>
          <w:rFonts w:ascii="仿宋_GB2312" w:eastAsia="仿宋_GB2312"/>
          <w:sz w:val="32"/>
          <w:szCs w:val="32"/>
        </w:rPr>
      </w:pPr>
      <w:r>
        <w:rPr>
          <w:rFonts w:hint="eastAsia" w:ascii="仿宋_GB2312" w:hAnsi="仿宋_GB2312" w:eastAsia="仿宋_GB2312" w:cs="仿宋_GB2312"/>
          <w:sz w:val="32"/>
          <w:szCs w:val="32"/>
        </w:rPr>
        <w:t>下属1个事业单位，为盘锦市自然资源事务服务中心</w:t>
      </w:r>
    </w:p>
    <w:p w14:paraId="09298758">
      <w:pPr>
        <w:spacing w:line="540" w:lineRule="exact"/>
        <w:ind w:firstLine="640" w:firstLineChars="200"/>
        <w:jc w:val="left"/>
        <w:rPr>
          <w:rFonts w:ascii="黑体" w:eastAsia="黑体"/>
          <w:sz w:val="32"/>
          <w:szCs w:val="32"/>
        </w:rPr>
      </w:pPr>
      <w:r>
        <w:rPr>
          <w:rFonts w:hint="eastAsia" w:ascii="黑体" w:eastAsia="黑体"/>
          <w:sz w:val="32"/>
          <w:szCs w:val="32"/>
        </w:rPr>
        <w:t>二、部门决算单位构成</w:t>
      </w:r>
    </w:p>
    <w:p w14:paraId="65A1A6D5">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纳入盘锦市自然资源局2021年度部门决算编制范围的二级预算单位包括：</w:t>
      </w:r>
    </w:p>
    <w:p w14:paraId="6FCF0AB6">
      <w:pPr>
        <w:spacing w:line="540" w:lineRule="exact"/>
        <w:ind w:firstLine="640" w:firstLineChars="200"/>
        <w:jc w:val="left"/>
        <w:rPr>
          <w:rFonts w:ascii="仿宋_GB2312" w:eastAsia="仿宋_GB2312"/>
          <w:sz w:val="32"/>
          <w:szCs w:val="32"/>
        </w:rPr>
      </w:pPr>
      <w:r>
        <w:rPr>
          <w:rFonts w:hint="eastAsia" w:ascii="仿宋_GB2312" w:eastAsia="仿宋_GB2312"/>
          <w:sz w:val="32"/>
          <w:szCs w:val="32"/>
        </w:rPr>
        <w:t>1.盘锦市自然资源局本级</w:t>
      </w:r>
    </w:p>
    <w:p w14:paraId="27456F1E">
      <w:pPr>
        <w:spacing w:line="540" w:lineRule="exact"/>
        <w:ind w:firstLine="640" w:firstLineChars="200"/>
        <w:jc w:val="left"/>
        <w:rPr>
          <w:rFonts w:ascii="宋体" w:hAnsi="宋体"/>
          <w:b/>
          <w:sz w:val="36"/>
          <w:szCs w:val="36"/>
        </w:rPr>
      </w:pPr>
      <w:r>
        <w:rPr>
          <w:rFonts w:hint="eastAsia" w:ascii="仿宋_GB2312" w:eastAsia="仿宋_GB2312"/>
          <w:sz w:val="32"/>
          <w:szCs w:val="32"/>
        </w:rPr>
        <w:t>2.盘锦市自然资源事务服务中心</w:t>
      </w:r>
      <w:r>
        <w:rPr>
          <w:rFonts w:ascii="仿宋_GB2312" w:eastAsia="仿宋_GB2312"/>
          <w:sz w:val="32"/>
          <w:szCs w:val="32"/>
        </w:rPr>
        <w:br w:type="page"/>
      </w:r>
      <w:r>
        <w:rPr>
          <w:rFonts w:hint="eastAsia" w:ascii="宋体" w:hAnsi="宋体"/>
          <w:b/>
          <w:sz w:val="36"/>
          <w:szCs w:val="36"/>
        </w:rPr>
        <w:t>第二部分 盘锦市自然资源局2021年度部门决算情况说明</w:t>
      </w:r>
    </w:p>
    <w:p w14:paraId="533D2AF6">
      <w:pPr>
        <w:spacing w:line="540" w:lineRule="exact"/>
        <w:rPr>
          <w:rFonts w:ascii="宋体" w:hAnsi="宋体"/>
          <w:b/>
          <w:sz w:val="36"/>
          <w:szCs w:val="36"/>
        </w:rPr>
      </w:pPr>
    </w:p>
    <w:p w14:paraId="6458D582">
      <w:pPr>
        <w:pStyle w:val="9"/>
        <w:numPr>
          <w:ilvl w:val="0"/>
          <w:numId w:val="2"/>
        </w:numPr>
        <w:spacing w:line="540" w:lineRule="exact"/>
        <w:ind w:firstLineChars="0"/>
        <w:rPr>
          <w:rFonts w:ascii="黑体" w:hAnsi="黑体" w:eastAsia="黑体"/>
          <w:color w:val="FF0000"/>
          <w:sz w:val="32"/>
          <w:szCs w:val="32"/>
        </w:rPr>
      </w:pPr>
      <w:r>
        <w:rPr>
          <w:rFonts w:hint="eastAsia" w:ascii="黑体" w:hAnsi="黑体" w:eastAsia="黑体"/>
          <w:sz w:val="32"/>
          <w:szCs w:val="32"/>
        </w:rPr>
        <w:t>收入支出决算总体情况说明</w:t>
      </w:r>
    </w:p>
    <w:p w14:paraId="0656020B">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（一）收入总计7153.21万元，包括：</w:t>
      </w:r>
    </w:p>
    <w:p w14:paraId="498A5C3C">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1.财政拨款收入7042.26万元，占</w:t>
      </w:r>
      <w:r>
        <w:rPr>
          <w:rFonts w:ascii="仿宋_GB2312" w:hAnsi="宋体" w:eastAsia="仿宋_GB2312"/>
          <w:sz w:val="32"/>
          <w:szCs w:val="32"/>
        </w:rPr>
        <w:t>收入总计的</w:t>
      </w:r>
      <w:r>
        <w:rPr>
          <w:rFonts w:hint="eastAsia" w:ascii="仿宋_GB2312" w:hAnsi="宋体" w:eastAsia="仿宋_GB2312"/>
          <w:sz w:val="32"/>
          <w:szCs w:val="32"/>
        </w:rPr>
        <w:t>98</w:t>
      </w:r>
      <w:r>
        <w:rPr>
          <w:rFonts w:ascii="仿宋_GB2312" w:hAnsi="宋体" w:eastAsia="仿宋_GB2312"/>
          <w:sz w:val="32"/>
          <w:szCs w:val="32"/>
        </w:rPr>
        <w:t>%</w:t>
      </w:r>
      <w:r>
        <w:rPr>
          <w:rFonts w:hint="eastAsia" w:ascii="仿宋_GB2312" w:hAnsi="宋体" w:eastAsia="仿宋_GB2312"/>
          <w:sz w:val="32"/>
          <w:szCs w:val="32"/>
        </w:rPr>
        <w:t>。其中：一般公共预算财政拨款收入7042.26万元，政府性基金收入0万元，国有资本经营预算财政拨款收入0万元。</w:t>
      </w:r>
    </w:p>
    <w:p w14:paraId="57DA654F">
      <w:pPr>
        <w:spacing w:line="540" w:lineRule="exact"/>
        <w:ind w:firstLine="660"/>
        <w:rPr>
          <w:rFonts w:ascii="仿宋_GB2312" w:hAnsi="宋体" w:eastAsia="仿宋_GB2312"/>
          <w:sz w:val="32"/>
          <w:szCs w:val="32"/>
        </w:rPr>
      </w:pPr>
      <w:r>
        <w:rPr>
          <w:rFonts w:hint="eastAsia" w:ascii="仿宋_GB2312" w:hAnsi="宋体" w:eastAsia="仿宋_GB2312"/>
          <w:sz w:val="32"/>
          <w:szCs w:val="32"/>
        </w:rPr>
        <w:t>2.上级补助收入0万元，占收入总计的0%。</w:t>
      </w:r>
    </w:p>
    <w:p w14:paraId="727F9FD6">
      <w:pPr>
        <w:spacing w:line="540" w:lineRule="exact"/>
        <w:ind w:firstLine="660"/>
        <w:rPr>
          <w:rFonts w:ascii="仿宋_GB2312" w:hAnsi="宋体" w:eastAsia="仿宋_GB2312"/>
          <w:sz w:val="32"/>
          <w:szCs w:val="32"/>
        </w:rPr>
      </w:pPr>
      <w:r>
        <w:rPr>
          <w:rFonts w:hint="eastAsia" w:ascii="仿宋_GB2312" w:hAnsi="宋体" w:eastAsia="仿宋_GB2312"/>
          <w:sz w:val="32"/>
          <w:szCs w:val="32"/>
        </w:rPr>
        <w:t>3.事业收入0万元，占收入总计的0%。</w:t>
      </w:r>
    </w:p>
    <w:p w14:paraId="4CC67EF3">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4.经营收入0万元，占收入总计的0%。</w:t>
      </w:r>
    </w:p>
    <w:p w14:paraId="46BCF2D4">
      <w:pPr>
        <w:spacing w:line="540" w:lineRule="exact"/>
        <w:ind w:firstLine="660"/>
        <w:rPr>
          <w:rFonts w:ascii="仿宋_GB2312" w:hAnsi="宋体" w:eastAsia="仿宋_GB2312"/>
          <w:sz w:val="32"/>
          <w:szCs w:val="32"/>
        </w:rPr>
      </w:pPr>
      <w:r>
        <w:rPr>
          <w:rFonts w:hint="eastAsia" w:ascii="仿宋_GB2312" w:hAnsi="宋体" w:eastAsia="仿宋_GB2312"/>
          <w:sz w:val="32"/>
          <w:szCs w:val="32"/>
        </w:rPr>
        <w:t>5.附属单位上缴收入0万元，占收入总计的0%。</w:t>
      </w:r>
    </w:p>
    <w:p w14:paraId="00B27A5B">
      <w:pPr>
        <w:spacing w:line="540" w:lineRule="exact"/>
        <w:ind w:firstLine="660"/>
        <w:rPr>
          <w:rFonts w:ascii="仿宋_GB2312" w:hAnsi="宋体" w:eastAsia="仿宋_GB2312"/>
          <w:sz w:val="32"/>
          <w:szCs w:val="32"/>
          <w:highlight w:val="yellow"/>
        </w:rPr>
      </w:pPr>
      <w:r>
        <w:rPr>
          <w:rFonts w:hint="eastAsia" w:ascii="仿宋_GB2312" w:hAnsi="宋体" w:eastAsia="仿宋_GB2312"/>
          <w:sz w:val="32"/>
          <w:szCs w:val="32"/>
        </w:rPr>
        <w:t>6.其他收入6.96万元，占收入总计的2%。</w:t>
      </w:r>
      <w:r>
        <w:rPr>
          <w:rFonts w:hint="eastAsia" w:ascii="仿宋_GB2312" w:hAnsi="宋体" w:eastAsia="仿宋_GB2312"/>
          <w:sz w:val="32"/>
          <w:szCs w:val="32"/>
          <w:highlight w:val="yellow"/>
        </w:rPr>
        <w:t>主要是利息收入。</w:t>
      </w:r>
    </w:p>
    <w:p w14:paraId="45BC6F4C">
      <w:pPr>
        <w:spacing w:line="540" w:lineRule="exact"/>
        <w:ind w:firstLine="660"/>
        <w:rPr>
          <w:rFonts w:ascii="仿宋_GB2312" w:hAnsi="宋体" w:eastAsia="仿宋_GB2312"/>
          <w:sz w:val="32"/>
          <w:szCs w:val="32"/>
        </w:rPr>
      </w:pPr>
      <w:r>
        <w:rPr>
          <w:rFonts w:hint="eastAsia" w:ascii="仿宋_GB2312" w:hAnsi="宋体" w:eastAsia="仿宋_GB2312"/>
          <w:sz w:val="32"/>
          <w:szCs w:val="32"/>
        </w:rPr>
        <w:t>7.使用非财政拨款结余0万元，占收入总计的0%。</w:t>
      </w:r>
    </w:p>
    <w:p w14:paraId="4ABFC7C6">
      <w:pPr>
        <w:spacing w:line="540" w:lineRule="exact"/>
        <w:ind w:firstLine="660"/>
        <w:rPr>
          <w:rFonts w:ascii="仿宋_GB2312" w:hAnsi="宋体" w:eastAsia="仿宋_GB2312"/>
          <w:sz w:val="32"/>
          <w:szCs w:val="32"/>
        </w:rPr>
      </w:pPr>
      <w:r>
        <w:rPr>
          <w:rFonts w:hint="eastAsia" w:ascii="仿宋_GB2312" w:hAnsi="宋体" w:eastAsia="仿宋_GB2312"/>
          <w:sz w:val="32"/>
          <w:szCs w:val="32"/>
        </w:rPr>
        <w:t>8.上年结转和结余103.99万元，占收入总计的1.45%。查新华信访案件结余。</w:t>
      </w:r>
    </w:p>
    <w:p w14:paraId="10581197">
      <w:pPr>
        <w:spacing w:line="540" w:lineRule="exact"/>
        <w:ind w:firstLine="660"/>
        <w:rPr>
          <w:rFonts w:ascii="仿宋_GB2312" w:hAnsi="宋体" w:eastAsia="仿宋_GB2312"/>
          <w:sz w:val="32"/>
          <w:szCs w:val="32"/>
        </w:rPr>
      </w:pPr>
      <w:r>
        <w:rPr>
          <w:rFonts w:hint="eastAsia" w:ascii="仿宋_GB2312" w:hAnsi="宋体" w:eastAsia="仿宋_GB2312"/>
          <w:sz w:val="32"/>
          <w:szCs w:val="32"/>
        </w:rPr>
        <w:t>与上年相比，今年收入减少2109.76万元，降低22.78%，主要原因：严格按照上级领导及文件精神指示，减少非刚性项目预算支出，提高资金利用效率，故收入减少。</w:t>
      </w:r>
    </w:p>
    <w:p w14:paraId="1FD20886">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（二）支出总计7144.04万元，包括：</w:t>
      </w:r>
    </w:p>
    <w:p w14:paraId="2557686F">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基本支出6742.15万元，占支出总计的94.37%。主要是为保障机构正常运转、完成日常工作任务而发生的各项支出，其中：工资福利支出6075.40万元，对个人和家庭的补助支出74.33万元，商品和服务支出571.84万元，资本性支出20.59万元。</w:t>
      </w:r>
    </w:p>
    <w:p w14:paraId="78E4EDDA">
      <w:pPr>
        <w:spacing w:line="540" w:lineRule="exact"/>
        <w:ind w:firstLine="660"/>
        <w:rPr>
          <w:rFonts w:ascii="仿宋_GB2312" w:hAnsi="宋体" w:eastAsia="仿宋_GB2312"/>
          <w:color w:val="00B050"/>
          <w:sz w:val="32"/>
          <w:szCs w:val="32"/>
        </w:rPr>
      </w:pPr>
      <w:r>
        <w:rPr>
          <w:rFonts w:hint="eastAsia" w:ascii="仿宋_GB2312" w:hAnsi="宋体" w:eastAsia="仿宋_GB2312"/>
          <w:sz w:val="32"/>
          <w:szCs w:val="32"/>
        </w:rPr>
        <w:t>2.项目支出401.89万元，占支出总计的5.63%。主要包括展馆免费开放费、退养还湿工作经费、执法检查、动态巡查等业务支出。</w:t>
      </w:r>
    </w:p>
    <w:p w14:paraId="75D03C16">
      <w:pPr>
        <w:spacing w:line="540" w:lineRule="exact"/>
        <w:ind w:firstLine="660"/>
        <w:rPr>
          <w:rFonts w:ascii="仿宋_GB2312" w:hAnsi="宋体" w:eastAsia="仿宋_GB2312"/>
          <w:sz w:val="32"/>
          <w:szCs w:val="32"/>
        </w:rPr>
      </w:pPr>
      <w:r>
        <w:rPr>
          <w:rFonts w:hint="eastAsia" w:ascii="仿宋_GB2312" w:hAnsi="宋体" w:eastAsia="仿宋_GB2312"/>
          <w:sz w:val="32"/>
          <w:szCs w:val="32"/>
        </w:rPr>
        <w:t>3.上缴上级支出0万元，占支出总计的0%。</w:t>
      </w:r>
    </w:p>
    <w:p w14:paraId="1D1402FB">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4.经营支出0万元，占支出总计的0%。</w:t>
      </w:r>
    </w:p>
    <w:p w14:paraId="11C5B527">
      <w:pPr>
        <w:spacing w:line="540" w:lineRule="exact"/>
        <w:ind w:firstLine="660"/>
        <w:rPr>
          <w:rFonts w:ascii="仿宋_GB2312" w:hAnsi="宋体" w:eastAsia="仿宋_GB2312"/>
          <w:sz w:val="32"/>
          <w:szCs w:val="32"/>
        </w:rPr>
      </w:pPr>
      <w:r>
        <w:rPr>
          <w:rFonts w:hint="eastAsia" w:ascii="仿宋_GB2312" w:hAnsi="宋体" w:eastAsia="仿宋_GB2312"/>
          <w:sz w:val="32"/>
          <w:szCs w:val="32"/>
        </w:rPr>
        <w:t>5.对附属单位补助支出0万元，占支出总计的0%。</w:t>
      </w:r>
    </w:p>
    <w:p w14:paraId="03686C97">
      <w:pPr>
        <w:spacing w:line="540" w:lineRule="exact"/>
        <w:ind w:firstLine="660"/>
        <w:rPr>
          <w:rFonts w:ascii="仿宋_GB2312" w:hAnsi="宋体" w:eastAsia="仿宋_GB2312"/>
          <w:sz w:val="32"/>
          <w:szCs w:val="32"/>
        </w:rPr>
      </w:pPr>
      <w:r>
        <w:rPr>
          <w:rFonts w:hint="eastAsia" w:ascii="仿宋_GB2312" w:hAnsi="宋体" w:eastAsia="仿宋_GB2312"/>
          <w:sz w:val="32"/>
          <w:szCs w:val="32"/>
        </w:rPr>
        <w:t>与上年相比，今年支出减少305.47万元，降低4.1%，主要原因：人员减少。</w:t>
      </w:r>
    </w:p>
    <w:p w14:paraId="51DFF9F4">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（三）年末结转和结余9.17万元。</w:t>
      </w:r>
    </w:p>
    <w:p w14:paraId="17CB284B">
      <w:pPr>
        <w:spacing w:line="540" w:lineRule="exact"/>
        <w:ind w:firstLine="660"/>
        <w:rPr>
          <w:rFonts w:ascii="仿宋_GB2312" w:hAnsi="宋体" w:eastAsia="仿宋_GB2312"/>
          <w:color w:val="00B050"/>
          <w:sz w:val="32"/>
          <w:szCs w:val="32"/>
        </w:rPr>
      </w:pPr>
      <w:r>
        <w:rPr>
          <w:rFonts w:hint="eastAsia" w:ascii="仿宋_GB2312" w:hAnsi="宋体" w:eastAsia="仿宋_GB2312"/>
          <w:sz w:val="32"/>
          <w:szCs w:val="32"/>
        </w:rPr>
        <w:t>查新华信访案件形成结余。与上年相比，今年结转结余减少1795.12万元，降低99.49%，主要原因：本年国库集中支付结余核算方式发生改变，由权责发生制改为收付实现制，当年财政拨款结转结余为零。</w:t>
      </w:r>
    </w:p>
    <w:p w14:paraId="78967AA8">
      <w:pPr>
        <w:spacing w:line="540" w:lineRule="exact"/>
        <w:ind w:firstLine="660"/>
        <w:rPr>
          <w:rFonts w:ascii="黑体" w:hAnsi="黑体" w:eastAsia="黑体"/>
          <w:sz w:val="32"/>
          <w:szCs w:val="32"/>
        </w:rPr>
      </w:pPr>
      <w:r>
        <w:rPr>
          <w:rFonts w:hint="eastAsia" w:ascii="黑体" w:hAnsi="黑体" w:eastAsia="黑体"/>
          <w:sz w:val="32"/>
          <w:szCs w:val="32"/>
        </w:rPr>
        <w:t>二、财政拨款支出决算情况说明</w:t>
      </w:r>
    </w:p>
    <w:p w14:paraId="338A7D4C">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（一）总体情况。</w:t>
      </w:r>
    </w:p>
    <w:p w14:paraId="19F2FA8E">
      <w:pPr>
        <w:spacing w:line="540" w:lineRule="exact"/>
        <w:ind w:firstLine="660"/>
        <w:rPr>
          <w:rFonts w:ascii="仿宋_GB2312" w:hAnsi="宋体" w:eastAsia="仿宋_GB2312"/>
          <w:sz w:val="32"/>
          <w:szCs w:val="32"/>
        </w:rPr>
      </w:pPr>
      <w:r>
        <w:rPr>
          <w:rFonts w:hint="eastAsia" w:ascii="仿宋_GB2312" w:hAnsi="宋体" w:eastAsia="仿宋_GB2312"/>
          <w:sz w:val="32"/>
          <w:szCs w:val="32"/>
        </w:rPr>
        <w:t>2021年度财政拨款支出7144.04万元，其中：基本支出6742.15万元，项目支出401.89万元。与</w:t>
      </w:r>
      <w:r>
        <w:rPr>
          <w:rFonts w:ascii="仿宋_GB2312" w:hAnsi="宋体" w:eastAsia="仿宋_GB2312"/>
          <w:sz w:val="32"/>
          <w:szCs w:val="32"/>
        </w:rPr>
        <w:t>上年相比，</w:t>
      </w:r>
      <w:r>
        <w:rPr>
          <w:rFonts w:hint="eastAsia" w:ascii="仿宋_GB2312" w:hAnsi="宋体" w:eastAsia="仿宋_GB2312"/>
          <w:sz w:val="32"/>
          <w:szCs w:val="32"/>
        </w:rPr>
        <w:t>财政拨款支出减少314.64万元，降低4.22%，主要原因：人员经费减少。与年初预算相比，2021年度财政拨款支出完成年初预算的128.27%，其中：基本支出完成年初预算的126.76%，项目完成年初预算的160.20%。</w:t>
      </w:r>
    </w:p>
    <w:p w14:paraId="3B5BD495">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（二）一般公共预算财政拨款支出情况。</w:t>
      </w:r>
    </w:p>
    <w:p w14:paraId="79866658">
      <w:pPr>
        <w:spacing w:line="540" w:lineRule="exact"/>
        <w:ind w:firstLine="660"/>
        <w:rPr>
          <w:rFonts w:ascii="仿宋_GB2312" w:hAnsi="宋体" w:eastAsia="仿宋_GB2312"/>
          <w:sz w:val="32"/>
          <w:szCs w:val="32"/>
        </w:rPr>
      </w:pPr>
      <w:r>
        <w:rPr>
          <w:rFonts w:hint="eastAsia" w:ascii="仿宋_GB2312" w:hAnsi="宋体" w:eastAsia="仿宋_GB2312"/>
          <w:sz w:val="32"/>
          <w:szCs w:val="32"/>
        </w:rPr>
        <w:t>2021年度一般公共预算财政拨款支出7144.04万元，按支出功能分类科目分，包括：一般公共服务支出100万元，占1.4</w:t>
      </w:r>
      <w:r>
        <w:rPr>
          <w:rFonts w:ascii="仿宋_GB2312" w:hAnsi="宋体" w:eastAsia="仿宋_GB2312"/>
          <w:sz w:val="32"/>
          <w:szCs w:val="32"/>
        </w:rPr>
        <w:t>%</w:t>
      </w:r>
      <w:r>
        <w:rPr>
          <w:rFonts w:hint="eastAsia" w:ascii="仿宋_GB2312" w:hAnsi="宋体" w:eastAsia="仿宋_GB2312"/>
          <w:sz w:val="32"/>
          <w:szCs w:val="32"/>
        </w:rPr>
        <w:t>；社会保障和就业支出826.31万元，占11.57%；卫生健康支出233.91万元，占3.27%；自然资源海洋气象等支出5566.54万元，占77.92%；住房保障支出373.33万元，占5.23%；其他支出43.95万元，占0.62%。</w:t>
      </w:r>
    </w:p>
    <w:p w14:paraId="7868E041">
      <w:pPr>
        <w:spacing w:line="540" w:lineRule="exact"/>
        <w:ind w:firstLine="660"/>
        <w:rPr>
          <w:rFonts w:ascii="仿宋_GB2312" w:hAnsi="宋体" w:eastAsia="仿宋_GB2312"/>
          <w:sz w:val="32"/>
          <w:szCs w:val="32"/>
        </w:rPr>
      </w:pPr>
      <w:r>
        <w:rPr>
          <w:rFonts w:hint="eastAsia" w:ascii="仿宋_GB2312" w:hAnsi="宋体" w:eastAsia="仿宋_GB2312"/>
          <w:sz w:val="32"/>
          <w:szCs w:val="32"/>
        </w:rPr>
        <w:t>1.一般公共服务支出100万元，具体包括：</w:t>
      </w:r>
    </w:p>
    <w:p w14:paraId="5C21F339">
      <w:pPr>
        <w:spacing w:line="540" w:lineRule="exact"/>
        <w:ind w:firstLine="660"/>
        <w:rPr>
          <w:rFonts w:ascii="仿宋_GB2312" w:hAnsi="宋体" w:eastAsia="仿宋_GB2312"/>
          <w:sz w:val="32"/>
          <w:szCs w:val="32"/>
        </w:rPr>
      </w:pPr>
      <w:r>
        <w:rPr>
          <w:rFonts w:hint="eastAsia" w:ascii="仿宋_GB2312" w:hAnsi="宋体" w:eastAsia="仿宋_GB2312"/>
          <w:sz w:val="32"/>
          <w:szCs w:val="32"/>
        </w:rPr>
        <w:t>（1）一般公共服务支出（类）政府办公厅（室）及相关机构事务（款）信访事务（项）100万元，主要是信访事务支出，年初未做预算。</w:t>
      </w:r>
    </w:p>
    <w:p w14:paraId="5E812782">
      <w:pPr>
        <w:spacing w:line="540" w:lineRule="exact"/>
        <w:ind w:firstLine="660"/>
        <w:rPr>
          <w:rFonts w:ascii="仿宋_GB2312" w:hAnsi="宋体" w:eastAsia="仿宋_GB2312"/>
          <w:sz w:val="32"/>
          <w:szCs w:val="32"/>
        </w:rPr>
      </w:pPr>
      <w:r>
        <w:rPr>
          <w:rFonts w:hint="eastAsia" w:ascii="仿宋_GB2312" w:hAnsi="宋体" w:eastAsia="仿宋_GB2312"/>
          <w:sz w:val="32"/>
          <w:szCs w:val="32"/>
        </w:rPr>
        <w:t>2.社会保障和就业支出826.31万元，具体包括：</w:t>
      </w:r>
    </w:p>
    <w:p w14:paraId="2C1B7AB5">
      <w:pPr>
        <w:spacing w:line="540" w:lineRule="exact"/>
        <w:ind w:firstLine="660"/>
        <w:rPr>
          <w:rFonts w:ascii="仿宋_GB2312" w:hAnsi="宋体" w:eastAsia="仿宋_GB2312"/>
          <w:sz w:val="32"/>
          <w:szCs w:val="32"/>
        </w:rPr>
      </w:pPr>
      <w:r>
        <w:rPr>
          <w:rFonts w:hint="eastAsia" w:ascii="仿宋_GB2312" w:hAnsi="宋体" w:eastAsia="仿宋_GB2312"/>
          <w:sz w:val="32"/>
          <w:szCs w:val="32"/>
        </w:rPr>
        <w:t>（1）社会保障和就业支出（类）行政事业单位养老支出（款）行政单位离退休（项）13.48万元。主要是局本级行政退休人员的工作经费和取暖费</w:t>
      </w:r>
    </w:p>
    <w:p w14:paraId="21022C05">
      <w:pPr>
        <w:spacing w:line="540" w:lineRule="exact"/>
        <w:ind w:firstLine="660"/>
        <w:rPr>
          <w:rFonts w:ascii="仿宋_GB2312" w:hAnsi="宋体" w:eastAsia="仿宋_GB2312"/>
          <w:sz w:val="32"/>
          <w:szCs w:val="32"/>
        </w:rPr>
      </w:pPr>
      <w:r>
        <w:rPr>
          <w:rFonts w:hint="eastAsia" w:ascii="仿宋_GB2312" w:hAnsi="宋体" w:eastAsia="仿宋_GB2312"/>
          <w:sz w:val="32"/>
          <w:szCs w:val="32"/>
        </w:rPr>
        <w:t>（2）社会保障和就业支出（类）行政事业单位养老支出（款）事业单位离退休（项）19.87万元。主要是中心退休人员的工作经费和取暖费</w:t>
      </w:r>
    </w:p>
    <w:p w14:paraId="551CAD18">
      <w:pPr>
        <w:spacing w:line="540" w:lineRule="exact"/>
        <w:ind w:firstLine="660"/>
        <w:rPr>
          <w:rFonts w:ascii="仿宋_GB2312" w:hAnsi="宋体" w:eastAsia="仿宋_GB2312"/>
          <w:sz w:val="32"/>
          <w:szCs w:val="32"/>
        </w:rPr>
      </w:pPr>
      <w:r>
        <w:rPr>
          <w:rFonts w:hint="eastAsia" w:ascii="仿宋_GB2312" w:hAnsi="宋体" w:eastAsia="仿宋_GB2312"/>
          <w:sz w:val="32"/>
          <w:szCs w:val="32"/>
        </w:rPr>
        <w:t>（3）社会保障和就业支出（类）行政事业单位养老支出（款）机关事业单位基本养老保险缴费支出（项）511.49万元。主要是单位在职人员养老保险缴费</w:t>
      </w:r>
    </w:p>
    <w:p w14:paraId="5CBAC155">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（4）社会保障和就业支出（类）行政事业单位养老支出（款）机关事业单位职业年金缴费支出（项）227.29万元。主要是职业年金支出</w:t>
      </w:r>
    </w:p>
    <w:p w14:paraId="45AF374C">
      <w:pPr>
        <w:spacing w:line="540" w:lineRule="exact"/>
        <w:ind w:firstLine="660"/>
        <w:rPr>
          <w:rFonts w:ascii="仿宋_GB2312" w:hAnsi="宋体" w:eastAsia="仿宋_GB2312"/>
          <w:sz w:val="32"/>
          <w:szCs w:val="32"/>
        </w:rPr>
      </w:pPr>
      <w:r>
        <w:rPr>
          <w:rFonts w:hint="eastAsia" w:ascii="仿宋_GB2312" w:hAnsi="宋体" w:eastAsia="仿宋_GB2312"/>
          <w:sz w:val="32"/>
          <w:szCs w:val="32"/>
        </w:rPr>
        <w:t>（5）社会保障和就业支出（类）抚恤（款）死亡抚恤（项）41.71万元，主要是丧葬费支出。</w:t>
      </w:r>
    </w:p>
    <w:p w14:paraId="33186367">
      <w:pPr>
        <w:spacing w:line="540" w:lineRule="exact"/>
        <w:ind w:firstLine="660"/>
        <w:rPr>
          <w:rFonts w:ascii="仿宋_GB2312" w:hAnsi="宋体" w:eastAsia="仿宋_GB2312"/>
          <w:sz w:val="32"/>
          <w:szCs w:val="32"/>
        </w:rPr>
      </w:pPr>
      <w:r>
        <w:rPr>
          <w:rFonts w:hint="eastAsia" w:ascii="仿宋_GB2312" w:hAnsi="宋体" w:eastAsia="仿宋_GB2312"/>
          <w:sz w:val="32"/>
          <w:szCs w:val="32"/>
        </w:rPr>
        <w:t>（7）社会保障和就业支出（类）其他社会保障和就业支出（款）其他社会保障和就业支出（项）12.47万元。</w:t>
      </w:r>
    </w:p>
    <w:p w14:paraId="0A40B435">
      <w:pPr>
        <w:spacing w:line="540" w:lineRule="exact"/>
        <w:ind w:firstLine="660"/>
        <w:rPr>
          <w:rFonts w:ascii="仿宋_GB2312" w:hAnsi="宋体" w:eastAsia="仿宋_GB2312"/>
          <w:sz w:val="32"/>
          <w:szCs w:val="32"/>
        </w:rPr>
      </w:pPr>
      <w:r>
        <w:rPr>
          <w:rFonts w:hint="eastAsia" w:ascii="仿宋_GB2312" w:hAnsi="宋体" w:eastAsia="仿宋_GB2312"/>
          <w:sz w:val="32"/>
          <w:szCs w:val="32"/>
        </w:rPr>
        <w:t>3.卫生健康支出233.91万元，包括：</w:t>
      </w:r>
    </w:p>
    <w:p w14:paraId="2460FA14">
      <w:pPr>
        <w:spacing w:line="540" w:lineRule="exact"/>
        <w:ind w:firstLine="660"/>
        <w:rPr>
          <w:rFonts w:ascii="仿宋_GB2312" w:hAnsi="宋体" w:eastAsia="仿宋_GB2312"/>
          <w:sz w:val="32"/>
          <w:szCs w:val="32"/>
        </w:rPr>
      </w:pPr>
      <w:r>
        <w:rPr>
          <w:rFonts w:hint="eastAsia" w:ascii="仿宋_GB2312" w:hAnsi="宋体" w:eastAsia="仿宋_GB2312"/>
          <w:color w:val="000000"/>
          <w:sz w:val="32"/>
          <w:szCs w:val="32"/>
        </w:rPr>
        <w:t>（1）卫生健康支出（类）行政事业单位医疗（款）行政单位医疗（项）</w:t>
      </w:r>
      <w:r>
        <w:rPr>
          <w:rFonts w:hint="eastAsia" w:ascii="仿宋_GB2312" w:hAnsi="宋体" w:eastAsia="仿宋_GB2312"/>
          <w:sz w:val="32"/>
          <w:szCs w:val="32"/>
        </w:rPr>
        <w:t>26.44万元，</w:t>
      </w:r>
      <w:r>
        <w:rPr>
          <w:rFonts w:hint="eastAsia" w:ascii="仿宋_GB2312" w:hAnsi="宋体" w:eastAsia="仿宋_GB2312"/>
          <w:color w:val="000000"/>
          <w:sz w:val="32"/>
          <w:szCs w:val="32"/>
        </w:rPr>
        <w:t>主要是行政单位</w:t>
      </w:r>
      <w:r>
        <w:rPr>
          <w:rFonts w:ascii="仿宋_GB2312" w:hAnsi="宋体" w:eastAsia="仿宋_GB2312"/>
          <w:color w:val="000000"/>
          <w:sz w:val="32"/>
          <w:szCs w:val="32"/>
        </w:rPr>
        <w:t>人员医疗保险费</w:t>
      </w:r>
      <w:r>
        <w:rPr>
          <w:rFonts w:hint="eastAsia" w:ascii="仿宋_GB2312" w:hAnsi="宋体" w:eastAsia="仿宋_GB2312"/>
          <w:color w:val="000000"/>
          <w:sz w:val="32"/>
          <w:szCs w:val="32"/>
        </w:rPr>
        <w:t>等支出。</w:t>
      </w:r>
    </w:p>
    <w:p w14:paraId="24A95963">
      <w:pPr>
        <w:spacing w:line="540" w:lineRule="exact"/>
        <w:ind w:firstLine="660"/>
        <w:rPr>
          <w:rFonts w:ascii="仿宋_GB2312" w:hAnsi="宋体" w:eastAsia="仿宋_GB2312"/>
          <w:sz w:val="32"/>
          <w:szCs w:val="32"/>
        </w:rPr>
      </w:pPr>
      <w:r>
        <w:rPr>
          <w:rFonts w:hint="eastAsia" w:ascii="仿宋_GB2312" w:hAnsi="宋体" w:eastAsia="仿宋_GB2312"/>
          <w:sz w:val="32"/>
          <w:szCs w:val="32"/>
        </w:rPr>
        <w:t>（2）</w:t>
      </w:r>
      <w:r>
        <w:rPr>
          <w:rFonts w:hint="eastAsia" w:ascii="仿宋_GB2312" w:hAnsi="宋体" w:eastAsia="仿宋_GB2312"/>
          <w:color w:val="000000"/>
          <w:sz w:val="32"/>
          <w:szCs w:val="32"/>
        </w:rPr>
        <w:t>卫生健康支出（类）行政事业单位医疗（款）事业单位医疗（项）</w:t>
      </w:r>
      <w:r>
        <w:rPr>
          <w:rFonts w:hint="eastAsia" w:ascii="仿宋_GB2312" w:hAnsi="宋体" w:eastAsia="仿宋_GB2312"/>
          <w:sz w:val="32"/>
          <w:szCs w:val="32"/>
        </w:rPr>
        <w:t>199.92万元</w:t>
      </w:r>
      <w:r>
        <w:rPr>
          <w:rFonts w:hint="eastAsia" w:ascii="仿宋_GB2312" w:hAnsi="宋体" w:eastAsia="仿宋_GB2312"/>
          <w:color w:val="000000"/>
          <w:sz w:val="32"/>
          <w:szCs w:val="32"/>
        </w:rPr>
        <w:t>，主要是事业单位</w:t>
      </w:r>
      <w:r>
        <w:rPr>
          <w:rFonts w:ascii="仿宋_GB2312" w:hAnsi="宋体" w:eastAsia="仿宋_GB2312"/>
          <w:color w:val="000000"/>
          <w:sz w:val="32"/>
          <w:szCs w:val="32"/>
        </w:rPr>
        <w:t>人员医疗保险费支出</w:t>
      </w:r>
      <w:r>
        <w:rPr>
          <w:rFonts w:hint="eastAsia" w:ascii="仿宋_GB2312" w:hAnsi="宋体" w:eastAsia="仿宋_GB2312"/>
          <w:color w:val="000000"/>
          <w:sz w:val="32"/>
          <w:szCs w:val="32"/>
        </w:rPr>
        <w:t>等支出。</w:t>
      </w:r>
    </w:p>
    <w:p w14:paraId="4D775608">
      <w:pPr>
        <w:spacing w:line="540" w:lineRule="exact"/>
        <w:ind w:firstLine="660"/>
        <w:rPr>
          <w:rFonts w:ascii="仿宋_GB2312" w:hAnsi="宋体" w:eastAsia="仿宋_GB2312"/>
          <w:sz w:val="32"/>
          <w:szCs w:val="32"/>
        </w:rPr>
      </w:pPr>
      <w:r>
        <w:rPr>
          <w:rFonts w:hint="eastAsia" w:ascii="仿宋_GB2312" w:hAnsi="宋体" w:eastAsia="仿宋_GB2312"/>
          <w:color w:val="000000"/>
          <w:sz w:val="32"/>
          <w:szCs w:val="32"/>
        </w:rPr>
        <w:t>（3）卫生健康支出（类）行政事业单位医疗（款）其他行政事业单位医疗支出（项）</w:t>
      </w:r>
      <w:r>
        <w:rPr>
          <w:rFonts w:hint="eastAsia" w:ascii="仿宋_GB2312" w:hAnsi="宋体" w:eastAsia="仿宋_GB2312"/>
          <w:sz w:val="32"/>
          <w:szCs w:val="32"/>
        </w:rPr>
        <w:t>7.55万元，主要是大额医疗。</w:t>
      </w:r>
    </w:p>
    <w:p w14:paraId="5AF132C3">
      <w:pPr>
        <w:spacing w:line="540" w:lineRule="exact"/>
        <w:ind w:firstLine="660"/>
        <w:rPr>
          <w:rFonts w:ascii="仿宋_GB2312" w:hAnsi="宋体" w:eastAsia="仿宋_GB2312"/>
          <w:sz w:val="32"/>
          <w:szCs w:val="32"/>
        </w:rPr>
      </w:pPr>
      <w:r>
        <w:rPr>
          <w:rFonts w:hint="eastAsia" w:ascii="仿宋_GB2312" w:hAnsi="宋体" w:eastAsia="仿宋_GB2312"/>
          <w:sz w:val="32"/>
          <w:szCs w:val="32"/>
        </w:rPr>
        <w:t>4.自然资源海洋气象等支出5566.54万元，具体包括：</w:t>
      </w:r>
    </w:p>
    <w:p w14:paraId="79C0E046">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（1）自然资源海洋气象等支出（类）自然资源事务（款）行政运行（项）731.59万元，主要是局本级的人员经费和公用经费。</w:t>
      </w:r>
    </w:p>
    <w:p w14:paraId="048A389E">
      <w:pPr>
        <w:spacing w:line="540" w:lineRule="exact"/>
        <w:ind w:firstLine="660"/>
        <w:rPr>
          <w:rFonts w:ascii="仿宋_GB2312" w:hAnsi="宋体" w:eastAsia="仿宋_GB2312"/>
          <w:sz w:val="32"/>
          <w:szCs w:val="32"/>
        </w:rPr>
      </w:pPr>
      <w:r>
        <w:rPr>
          <w:rFonts w:hint="eastAsia" w:ascii="仿宋_GB2312" w:hAnsi="宋体" w:eastAsia="仿宋_GB2312"/>
          <w:sz w:val="32"/>
          <w:szCs w:val="32"/>
        </w:rPr>
        <w:t>（2）自然资源海洋气象等支出（类）自然资源事务（款）一般行政管理事务（项）46.28万元，主要是局本级的项目支出。</w:t>
      </w:r>
    </w:p>
    <w:p w14:paraId="3FFB9099">
      <w:pPr>
        <w:spacing w:line="540" w:lineRule="exact"/>
        <w:ind w:firstLine="660"/>
        <w:rPr>
          <w:rFonts w:ascii="仿宋_GB2312" w:hAnsi="宋体" w:eastAsia="仿宋_GB2312"/>
          <w:sz w:val="32"/>
          <w:szCs w:val="32"/>
        </w:rPr>
      </w:pPr>
      <w:r>
        <w:rPr>
          <w:rFonts w:hint="eastAsia" w:ascii="仿宋_GB2312" w:hAnsi="宋体" w:eastAsia="仿宋_GB2312"/>
          <w:sz w:val="32"/>
          <w:szCs w:val="32"/>
        </w:rPr>
        <w:t>（3）自然资源海洋气象等支出（类）自然资源事务（款）事业运行（项）4577.01万元，主要是中心的人员经费和公用经费。</w:t>
      </w:r>
    </w:p>
    <w:p w14:paraId="2B74FEDD">
      <w:pPr>
        <w:spacing w:line="540" w:lineRule="exact"/>
        <w:ind w:firstLine="660"/>
        <w:rPr>
          <w:rFonts w:ascii="仿宋_GB2312" w:hAnsi="宋体" w:eastAsia="仿宋_GB2312"/>
          <w:sz w:val="32"/>
          <w:szCs w:val="32"/>
        </w:rPr>
      </w:pPr>
      <w:r>
        <w:rPr>
          <w:rFonts w:hint="eastAsia" w:ascii="仿宋_GB2312" w:hAnsi="宋体" w:eastAsia="仿宋_GB2312"/>
          <w:sz w:val="32"/>
          <w:szCs w:val="32"/>
        </w:rPr>
        <w:t>（6）自然资源海洋气象等支出（类）自然资源事务（款）其他自然资源事务支出（项）211.66万元。主要是中心的各类项目支出。</w:t>
      </w:r>
    </w:p>
    <w:p w14:paraId="54CB86CB">
      <w:pPr>
        <w:spacing w:line="540" w:lineRule="exact"/>
        <w:ind w:firstLine="660"/>
        <w:rPr>
          <w:rFonts w:ascii="仿宋_GB2312" w:hAnsi="宋体" w:eastAsia="仿宋_GB2312"/>
          <w:sz w:val="32"/>
          <w:szCs w:val="32"/>
        </w:rPr>
      </w:pPr>
      <w:r>
        <w:rPr>
          <w:rFonts w:hint="eastAsia" w:ascii="仿宋_GB2312" w:hAnsi="宋体" w:eastAsia="仿宋_GB2312"/>
          <w:sz w:val="32"/>
          <w:szCs w:val="32"/>
        </w:rPr>
        <w:t>5.住房保障支出373.33万元，具体包括：</w:t>
      </w:r>
    </w:p>
    <w:p w14:paraId="20F97FC0">
      <w:pPr>
        <w:spacing w:line="540" w:lineRule="exact"/>
        <w:ind w:firstLine="660"/>
        <w:rPr>
          <w:rFonts w:ascii="仿宋_GB2312" w:hAnsi="宋体" w:eastAsia="仿宋_GB2312"/>
          <w:sz w:val="32"/>
          <w:szCs w:val="32"/>
        </w:rPr>
      </w:pPr>
      <w:r>
        <w:rPr>
          <w:rFonts w:hint="eastAsia" w:ascii="仿宋_GB2312" w:hAnsi="宋体" w:eastAsia="仿宋_GB2312"/>
          <w:sz w:val="32"/>
          <w:szCs w:val="32"/>
        </w:rPr>
        <w:t>住房保障支出（类）住房改革支出（款）住房公积金（项）373.33万元，主要是住房公积金等支出。</w:t>
      </w:r>
    </w:p>
    <w:p w14:paraId="20A5A9E6">
      <w:pPr>
        <w:spacing w:line="540" w:lineRule="exact"/>
        <w:ind w:firstLine="660"/>
        <w:rPr>
          <w:rFonts w:ascii="仿宋_GB2312" w:hAnsi="宋体" w:eastAsia="仿宋_GB2312"/>
          <w:sz w:val="32"/>
          <w:szCs w:val="32"/>
        </w:rPr>
      </w:pPr>
      <w:r>
        <w:rPr>
          <w:rFonts w:hint="eastAsia" w:ascii="仿宋_GB2312" w:hAnsi="宋体" w:eastAsia="仿宋_GB2312"/>
          <w:sz w:val="32"/>
          <w:szCs w:val="32"/>
        </w:rPr>
        <w:t>6.其他支出43.95万元（涉密）。</w:t>
      </w:r>
    </w:p>
    <w:p w14:paraId="383B3973">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（三）政府性基金预算财政拨款支出情况。</w:t>
      </w:r>
    </w:p>
    <w:p w14:paraId="091FBADF">
      <w:pPr>
        <w:spacing w:line="540" w:lineRule="exact"/>
        <w:ind w:firstLine="660"/>
        <w:rPr>
          <w:rFonts w:ascii="仿宋_GB2312" w:hAnsi="宋体" w:eastAsia="仿宋_GB2312"/>
          <w:sz w:val="32"/>
          <w:szCs w:val="32"/>
        </w:rPr>
      </w:pPr>
      <w:r>
        <w:rPr>
          <w:rFonts w:hint="eastAsia" w:ascii="仿宋_GB2312" w:hAnsi="宋体" w:eastAsia="仿宋_GB2312"/>
          <w:sz w:val="32"/>
          <w:szCs w:val="32"/>
        </w:rPr>
        <w:t>2021年度政府性基金预算财政拨款支出0万元，盘锦市自然资源局2021年度无政府性基金预算财政拨款支出，无此类资金收支余。</w:t>
      </w:r>
    </w:p>
    <w:p w14:paraId="628583C9">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（四）国有资本经营预算财政拨款支出情况。</w:t>
      </w:r>
    </w:p>
    <w:p w14:paraId="3C951D89">
      <w:pPr>
        <w:spacing w:line="540" w:lineRule="exact"/>
        <w:ind w:firstLine="660"/>
        <w:rPr>
          <w:rFonts w:ascii="仿宋_GB2312" w:hAnsi="宋体" w:eastAsia="仿宋_GB2312"/>
          <w:sz w:val="32"/>
          <w:szCs w:val="32"/>
        </w:rPr>
      </w:pPr>
      <w:r>
        <w:rPr>
          <w:rFonts w:hint="eastAsia" w:ascii="仿宋_GB2312" w:hAnsi="宋体" w:eastAsia="仿宋_GB2312"/>
          <w:sz w:val="32"/>
          <w:szCs w:val="32"/>
        </w:rPr>
        <w:t>2021年度国有资本经营预算财政拨款支出0万元，盘锦市自然资源局2021年度无国有资本经营预算财政拨款支出，无此类资金收支余。</w:t>
      </w:r>
    </w:p>
    <w:p w14:paraId="2825F9D0">
      <w:pPr>
        <w:spacing w:line="540" w:lineRule="exact"/>
        <w:ind w:firstLine="660"/>
        <w:rPr>
          <w:rFonts w:ascii="黑体" w:hAnsi="黑体" w:eastAsia="黑体"/>
          <w:sz w:val="32"/>
          <w:szCs w:val="32"/>
        </w:rPr>
      </w:pPr>
      <w:r>
        <w:rPr>
          <w:rFonts w:hint="eastAsia" w:ascii="黑体" w:hAnsi="黑体" w:eastAsia="黑体"/>
          <w:sz w:val="32"/>
          <w:szCs w:val="32"/>
        </w:rPr>
        <w:t>三、一般公共预算财政拨款“三公”经费支出决算情况说明</w:t>
      </w:r>
    </w:p>
    <w:p w14:paraId="4852138A">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2021年度一般公共预算财政拨款安排的“三公”经费支出57.31万元，完成年初预算的70.32%，决算数小于年初预算数的主要原因是严格控制三公经费的支出。较上年比减少25.74万元，下降31%,主要原因是我单位于2021年严格把控三公经费支出。其中：因公出国（境）费0万元，公务接待费0万元，公务用车购置及运行维护费57.31万元。</w:t>
      </w:r>
    </w:p>
    <w:p w14:paraId="0E3F0BF8">
      <w:pPr>
        <w:spacing w:line="540" w:lineRule="exact"/>
        <w:ind w:firstLine="645"/>
        <w:rPr>
          <w:rFonts w:ascii="仿宋_GB2312" w:hAnsi="宋体" w:eastAsia="仿宋_GB2312"/>
          <w:sz w:val="32"/>
          <w:szCs w:val="32"/>
        </w:rPr>
      </w:pPr>
      <w:r>
        <w:rPr>
          <w:rFonts w:hint="eastAsia" w:ascii="仿宋_GB2312" w:hAnsi="宋体" w:eastAsia="仿宋_GB2312"/>
          <w:sz w:val="32"/>
          <w:szCs w:val="32"/>
        </w:rPr>
        <w:t>1.因公出国（境）费0万元，占“三公”经费支出的0%。完成年初预算的0%，决算数与年初预算数相等的主要原因是年初未做预算，本年未发生因公出国事项。2021年参加出国（境）团组0个，累计0人次,未参加任何组团等。2021年因公出国（境）费比上年增加0万元，增长0%，主要是2021年和2020年本单位均未发生因公出国事项，无因公出国（境）支出。</w:t>
      </w:r>
    </w:p>
    <w:p w14:paraId="59C6C9E7">
      <w:pPr>
        <w:spacing w:line="540" w:lineRule="exact"/>
        <w:ind w:firstLine="645"/>
        <w:rPr>
          <w:rFonts w:ascii="仿宋_GB2312" w:hAnsi="宋体" w:eastAsia="仿宋_GB2312"/>
          <w:sz w:val="32"/>
          <w:szCs w:val="32"/>
        </w:rPr>
      </w:pPr>
      <w:r>
        <w:rPr>
          <w:rFonts w:hint="eastAsia" w:ascii="仿宋_GB2312" w:hAnsi="宋体" w:eastAsia="仿宋_GB2312"/>
          <w:sz w:val="32"/>
          <w:szCs w:val="32"/>
        </w:rPr>
        <w:t>2.公务接待费0万元，占“三公”经费支出的0%。完成年初预算的0%，决算数与年初预算数相等，均为0万元，主要原因是年初未做预算，本年未发生公务接待事项。2021年国内公务接待累计0批次、0人、0万元，无国内公务接待支出事项和用途；其中外事接待累计0批次、0人、0万元，无外事接待支出事项和用途。2021年公务接待费比上年增加0万元，增长0%，均为0，无任何变动，主要是2020、2021两年无公务接待事宜支出。</w:t>
      </w:r>
    </w:p>
    <w:p w14:paraId="5619353C">
      <w:pPr>
        <w:spacing w:line="540" w:lineRule="exact"/>
        <w:ind w:firstLine="645"/>
        <w:rPr>
          <w:rFonts w:ascii="仿宋_GB2312" w:hAnsi="宋体" w:eastAsia="仿宋_GB2312"/>
          <w:sz w:val="32"/>
          <w:szCs w:val="32"/>
        </w:rPr>
      </w:pPr>
      <w:r>
        <w:rPr>
          <w:rFonts w:hint="eastAsia" w:ascii="仿宋_GB2312" w:hAnsi="宋体" w:eastAsia="仿宋_GB2312"/>
          <w:sz w:val="32"/>
          <w:szCs w:val="32"/>
        </w:rPr>
        <w:t>3.公务用车购置及</w:t>
      </w:r>
      <w:r>
        <w:rPr>
          <w:rFonts w:ascii="仿宋_GB2312" w:hAnsi="宋体" w:eastAsia="仿宋_GB2312"/>
          <w:sz w:val="32"/>
          <w:szCs w:val="32"/>
        </w:rPr>
        <w:t>运行费</w:t>
      </w:r>
      <w:r>
        <w:rPr>
          <w:rFonts w:hint="eastAsia" w:ascii="仿宋_GB2312" w:hAnsi="宋体" w:eastAsia="仿宋_GB2312"/>
          <w:sz w:val="32"/>
          <w:szCs w:val="32"/>
        </w:rPr>
        <w:t>57.31万元，占“三公”经费支出的100%。完成年初预算的70.32%，决算数小于年初预算数的主要原因是缩减公车运行经费。比上年减少25.74万元，下降31%，主要是缩减公车运行经费。</w:t>
      </w:r>
    </w:p>
    <w:p w14:paraId="4951A151">
      <w:pPr>
        <w:spacing w:line="540" w:lineRule="exact"/>
        <w:ind w:firstLine="645"/>
        <w:rPr>
          <w:rFonts w:ascii="仿宋_GB2312" w:hAnsi="宋体" w:eastAsia="仿宋_GB2312"/>
          <w:sz w:val="32"/>
          <w:szCs w:val="32"/>
        </w:rPr>
      </w:pPr>
      <w:r>
        <w:rPr>
          <w:rFonts w:hint="eastAsia" w:ascii="仿宋_GB2312" w:hAnsi="宋体" w:eastAsia="仿宋_GB2312"/>
          <w:sz w:val="32"/>
          <w:szCs w:val="32"/>
        </w:rPr>
        <w:t>其中：公务用车购置费0万元，本年无公车采购事宜,当年购置公务用车0辆。公务用车运行维护费57.31万元，主要用于公车运行维护等，截至年末使用</w:t>
      </w:r>
      <w:r>
        <w:rPr>
          <w:rFonts w:ascii="仿宋_GB2312" w:hAnsi="宋体" w:eastAsia="仿宋_GB2312"/>
          <w:sz w:val="32"/>
          <w:szCs w:val="32"/>
        </w:rPr>
        <w:t>一般公共预算财政拨款开支</w:t>
      </w:r>
      <w:r>
        <w:rPr>
          <w:rFonts w:hint="eastAsia" w:ascii="仿宋_GB2312" w:hAnsi="宋体" w:eastAsia="仿宋_GB2312"/>
          <w:sz w:val="32"/>
          <w:szCs w:val="32"/>
        </w:rPr>
        <w:t>运行维护费</w:t>
      </w:r>
      <w:r>
        <w:rPr>
          <w:rFonts w:ascii="仿宋_GB2312" w:hAnsi="宋体" w:eastAsia="仿宋_GB2312"/>
          <w:sz w:val="32"/>
          <w:szCs w:val="32"/>
        </w:rPr>
        <w:t>的</w:t>
      </w:r>
      <w:r>
        <w:rPr>
          <w:rFonts w:hint="eastAsia" w:ascii="仿宋_GB2312" w:hAnsi="宋体" w:eastAsia="仿宋_GB2312"/>
          <w:sz w:val="32"/>
          <w:szCs w:val="32"/>
        </w:rPr>
        <w:t>公务用车保有量18辆。</w:t>
      </w:r>
    </w:p>
    <w:p w14:paraId="5B998470">
      <w:pPr>
        <w:spacing w:line="540" w:lineRule="exact"/>
        <w:ind w:firstLine="645"/>
        <w:rPr>
          <w:rFonts w:ascii="黑体" w:hAnsi="黑体" w:eastAsia="黑体"/>
          <w:sz w:val="32"/>
          <w:szCs w:val="32"/>
        </w:rPr>
      </w:pPr>
      <w:r>
        <w:rPr>
          <w:rFonts w:hint="eastAsia" w:ascii="黑体" w:hAnsi="黑体" w:eastAsia="黑体"/>
          <w:sz w:val="32"/>
          <w:szCs w:val="32"/>
        </w:rPr>
        <w:t>四、一般公共预算财政拨款基本支出决算情况说明</w:t>
      </w:r>
    </w:p>
    <w:p w14:paraId="6ADA0BCE">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2021年度一般公共预算财政拨款基本支出6742.15万元，其中：人员经费6149.72万元，主要包括基本工资、津贴补贴、奖金、其他社会保障缴费、机关事业单位基本养老保险缴费、其他工资福利支出、离休费、退休费、抚恤金、生活补助、奖励金、住房公积金、采暖补贴、其他对个人和家庭补助的支出；日常公用经费592.43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w:t>
      </w:r>
    </w:p>
    <w:p w14:paraId="188584DD">
      <w:pPr>
        <w:spacing w:line="540" w:lineRule="exact"/>
        <w:ind w:firstLine="640" w:firstLineChars="200"/>
        <w:rPr>
          <w:rFonts w:ascii="黑体" w:hAnsi="黑体" w:eastAsia="黑体"/>
          <w:sz w:val="32"/>
          <w:szCs w:val="32"/>
        </w:rPr>
      </w:pPr>
      <w:r>
        <w:rPr>
          <w:rFonts w:hint="eastAsia" w:ascii="黑体" w:hAnsi="黑体" w:eastAsia="黑体"/>
          <w:sz w:val="32"/>
          <w:szCs w:val="32"/>
        </w:rPr>
        <w:t>五、其他重要事项的情况说明</w:t>
      </w:r>
    </w:p>
    <w:p w14:paraId="7735F995">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（一）机关运行经费支出情况。</w:t>
      </w:r>
    </w:p>
    <w:p w14:paraId="3E06E1B9">
      <w:pPr>
        <w:spacing w:line="540" w:lineRule="exact"/>
        <w:ind w:firstLine="640" w:firstLineChars="200"/>
        <w:rPr>
          <w:rFonts w:ascii="仿宋_GB2312" w:hAnsi="宋体" w:eastAsia="仿宋_GB2312"/>
          <w:sz w:val="32"/>
          <w:szCs w:val="32"/>
        </w:rPr>
      </w:pPr>
      <w:r>
        <w:rPr>
          <w:rFonts w:hint="eastAsia" w:ascii="仿宋_GB2312" w:hAnsi="黑体" w:eastAsia="仿宋_GB2312"/>
          <w:sz w:val="32"/>
          <w:szCs w:val="32"/>
        </w:rPr>
        <w:t>2021年机关运行经费支出86.44万元，比上年增加7.71万元，增长9.8%，主要原因是人员调整。</w:t>
      </w:r>
      <w:r>
        <w:rPr>
          <w:rFonts w:hint="eastAsia" w:ascii="仿宋_GB2312" w:hAnsi="宋体" w:eastAsia="仿宋_GB2312"/>
          <w:sz w:val="32"/>
          <w:szCs w:val="32"/>
        </w:rPr>
        <w:t>主要包括办公费95.66万元、印刷费23.79万元、咨询费0.60万元、手续费0.16万元、水费4.64万元、电费31.10万元、邮电费8.41万元、取暖费51.62万元、物业管理费61.02万元、差旅费14.93万元、维修（护）费21.16万元、租赁费2.28万元、培训费0.92万元、劳务费0.89万元、委托业务费10.84万元、工会经费62.87万元、福利费0.62万元、公务用车运行维护费57.31万元、其他交通费用78.06万元、其他商品和服务支出44.96万元。</w:t>
      </w:r>
    </w:p>
    <w:p w14:paraId="29306507">
      <w:pPr>
        <w:spacing w:line="540" w:lineRule="exact"/>
        <w:ind w:firstLine="640" w:firstLineChars="200"/>
        <w:rPr>
          <w:rFonts w:ascii="仿宋_GB2312" w:hAnsi="宋体" w:eastAsia="仿宋_GB2312"/>
          <w:sz w:val="32"/>
          <w:szCs w:val="32"/>
        </w:rPr>
      </w:pPr>
    </w:p>
    <w:p w14:paraId="7A417FC1">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（二）政府采购支出情况。</w:t>
      </w:r>
    </w:p>
    <w:p w14:paraId="0674D7F1">
      <w:pPr>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2021年政府采购支出总额939万元，其中：政府采购货物支出0万元，政府采购工程支出0万元，政府采购服务支出939万元。</w:t>
      </w:r>
      <w:r>
        <w:rPr>
          <w:rFonts w:hint="eastAsia" w:ascii="仿宋_GB2312" w:eastAsia="仿宋_GB2312"/>
          <w:sz w:val="32"/>
          <w:szCs w:val="32"/>
        </w:rPr>
        <w:t>授予中小企业合同金额0万元，占政府采购支出总额的0%，其中：授予小微企业合同金额0万元，占政府采购支出总额的0%；货物采购授予中小企业合同金额占货物支出金额的0%；工程采购授予中小企业合同金额占货物支出金额的0%；服务采购授予中小企业合同金额占货物支出金额的0%。</w:t>
      </w:r>
    </w:p>
    <w:p w14:paraId="676692F6">
      <w:pPr>
        <w:spacing w:line="540" w:lineRule="exact"/>
        <w:ind w:firstLine="643" w:firstLineChars="200"/>
        <w:rPr>
          <w:rFonts w:ascii="楷体_GB2312" w:hAnsi="黑体" w:eastAsia="楷体_GB2312"/>
          <w:b/>
          <w:sz w:val="32"/>
          <w:szCs w:val="32"/>
        </w:rPr>
      </w:pPr>
      <w:r>
        <w:rPr>
          <w:rFonts w:hint="eastAsia" w:ascii="楷体_GB2312" w:hAnsi="黑体" w:eastAsia="楷体_GB2312"/>
          <w:b/>
          <w:sz w:val="32"/>
          <w:szCs w:val="32"/>
        </w:rPr>
        <w:t>（三）国有资产占用情况。</w:t>
      </w:r>
    </w:p>
    <w:p w14:paraId="0430B3F2">
      <w:pPr>
        <w:spacing w:line="540" w:lineRule="exact"/>
        <w:ind w:firstLine="640" w:firstLineChars="200"/>
        <w:rPr>
          <w:rFonts w:ascii="仿宋" w:hAnsi="仿宋" w:eastAsia="仿宋"/>
          <w:sz w:val="32"/>
          <w:szCs w:val="32"/>
        </w:rPr>
      </w:pPr>
      <w:r>
        <w:rPr>
          <w:rFonts w:hint="eastAsia" w:ascii="仿宋" w:hAnsi="仿宋" w:eastAsia="仿宋"/>
          <w:sz w:val="32"/>
          <w:szCs w:val="32"/>
        </w:rPr>
        <w:t>截至2021年12月31日，</w:t>
      </w:r>
    </w:p>
    <w:p w14:paraId="25832E15">
      <w:pPr>
        <w:spacing w:line="540" w:lineRule="exact"/>
        <w:ind w:firstLine="640" w:firstLineChars="200"/>
        <w:rPr>
          <w:rFonts w:ascii="仿宋_GB2312" w:hAnsi="仿宋_GB2312" w:eastAsia="仿宋_GB2312" w:cs="仿宋_GB2312"/>
          <w:sz w:val="32"/>
          <w:szCs w:val="32"/>
        </w:rPr>
      </w:pPr>
      <w:r>
        <w:rPr>
          <w:rFonts w:hint="eastAsia" w:ascii="仿宋" w:hAnsi="仿宋" w:eastAsia="仿宋"/>
          <w:sz w:val="32"/>
          <w:szCs w:val="32"/>
        </w:rPr>
        <w:t>1.房屋情况：</w:t>
      </w:r>
      <w:r>
        <w:rPr>
          <w:rFonts w:hint="eastAsia" w:ascii="仿宋_GB2312" w:hAnsi="仿宋_GB2312" w:eastAsia="仿宋_GB2312" w:cs="仿宋_GB2312"/>
          <w:sz w:val="32"/>
          <w:szCs w:val="32"/>
        </w:rPr>
        <w:t>部门房屋面积12175.95平方米，价值1386.77万元，其中：办公用房面积11674.65平方米，价值1300.86万元；业务用房面积0平方米，价值0万元；其他（不含构筑物）面积501.3平方米，价值85.9万元。</w:t>
      </w:r>
    </w:p>
    <w:p w14:paraId="5081DABA">
      <w:pPr>
        <w:spacing w:line="540" w:lineRule="exact"/>
        <w:ind w:firstLine="640" w:firstLineChars="200"/>
        <w:rPr>
          <w:rFonts w:ascii="楷体_GB2312" w:hAnsi="黑体" w:eastAsia="仿宋_GB2312"/>
          <w:b/>
          <w:sz w:val="32"/>
          <w:szCs w:val="32"/>
        </w:rPr>
      </w:pPr>
      <w:r>
        <w:rPr>
          <w:rFonts w:hint="eastAsia" w:ascii="仿宋" w:hAnsi="仿宋" w:eastAsia="仿宋"/>
          <w:sz w:val="32"/>
          <w:szCs w:val="32"/>
        </w:rPr>
        <w:t>2.车辆情况：共有车辆45辆，价值707.42万元，其中：</w:t>
      </w:r>
      <w:r>
        <w:rPr>
          <w:rFonts w:hint="eastAsia" w:ascii="仿宋_GB2312" w:hAnsi="黑体" w:eastAsia="仿宋_GB2312"/>
          <w:sz w:val="32"/>
          <w:szCs w:val="32"/>
        </w:rPr>
        <w:t>副省级以上领导干部用车0辆，主要</w:t>
      </w:r>
      <w:r>
        <w:rPr>
          <w:rFonts w:ascii="仿宋_GB2312" w:hAnsi="黑体" w:eastAsia="仿宋_GB2312"/>
          <w:sz w:val="32"/>
          <w:szCs w:val="32"/>
        </w:rPr>
        <w:t>领导干部</w:t>
      </w:r>
      <w:r>
        <w:rPr>
          <w:rFonts w:hint="eastAsia" w:ascii="仿宋_GB2312" w:hAnsi="黑体" w:eastAsia="仿宋_GB2312"/>
          <w:sz w:val="32"/>
          <w:szCs w:val="32"/>
        </w:rPr>
        <w:t>用车0辆，机要通讯用车1辆，应急</w:t>
      </w:r>
      <w:r>
        <w:rPr>
          <w:rFonts w:ascii="仿宋_GB2312" w:hAnsi="黑体" w:eastAsia="仿宋_GB2312"/>
          <w:sz w:val="32"/>
          <w:szCs w:val="32"/>
        </w:rPr>
        <w:t>保障用车</w:t>
      </w:r>
      <w:r>
        <w:rPr>
          <w:rFonts w:hint="eastAsia" w:ascii="仿宋_GB2312" w:hAnsi="黑体" w:eastAsia="仿宋_GB2312"/>
          <w:sz w:val="32"/>
          <w:szCs w:val="32"/>
        </w:rPr>
        <w:t>0</w:t>
      </w:r>
      <w:r>
        <w:rPr>
          <w:rFonts w:ascii="仿宋_GB2312" w:hAnsi="黑体" w:eastAsia="仿宋_GB2312"/>
          <w:sz w:val="32"/>
          <w:szCs w:val="32"/>
        </w:rPr>
        <w:t>辆，</w:t>
      </w:r>
      <w:r>
        <w:rPr>
          <w:rFonts w:hint="eastAsia" w:ascii="仿宋_GB2312" w:hAnsi="黑体" w:eastAsia="仿宋_GB2312"/>
          <w:sz w:val="32"/>
          <w:szCs w:val="32"/>
        </w:rPr>
        <w:t>执法执勤</w:t>
      </w:r>
      <w:r>
        <w:rPr>
          <w:rFonts w:ascii="仿宋_GB2312" w:hAnsi="黑体" w:eastAsia="仿宋_GB2312"/>
          <w:sz w:val="32"/>
          <w:szCs w:val="32"/>
        </w:rPr>
        <w:t>用车</w:t>
      </w:r>
      <w:r>
        <w:rPr>
          <w:rFonts w:hint="eastAsia" w:ascii="仿宋_GB2312" w:hAnsi="黑体" w:eastAsia="仿宋_GB2312"/>
          <w:sz w:val="32"/>
          <w:szCs w:val="32"/>
        </w:rPr>
        <w:t>0辆</w:t>
      </w:r>
      <w:r>
        <w:rPr>
          <w:rFonts w:ascii="仿宋_GB2312" w:hAnsi="黑体" w:eastAsia="仿宋_GB2312"/>
          <w:sz w:val="32"/>
          <w:szCs w:val="32"/>
        </w:rPr>
        <w:t>，</w:t>
      </w:r>
      <w:r>
        <w:rPr>
          <w:rFonts w:hint="eastAsia" w:ascii="仿宋_GB2312" w:hAnsi="黑体" w:eastAsia="仿宋_GB2312"/>
          <w:sz w:val="32"/>
          <w:szCs w:val="32"/>
        </w:rPr>
        <w:t>特种专业技术用车37辆，离退休</w:t>
      </w:r>
      <w:r>
        <w:rPr>
          <w:rFonts w:ascii="仿宋_GB2312" w:hAnsi="黑体" w:eastAsia="仿宋_GB2312"/>
          <w:sz w:val="32"/>
          <w:szCs w:val="32"/>
        </w:rPr>
        <w:t>干部用车</w:t>
      </w:r>
      <w:r>
        <w:rPr>
          <w:rFonts w:hint="eastAsia" w:ascii="仿宋_GB2312" w:hAnsi="黑体" w:eastAsia="仿宋_GB2312"/>
          <w:sz w:val="32"/>
          <w:szCs w:val="32"/>
        </w:rPr>
        <w:t>0辆</w:t>
      </w:r>
      <w:r>
        <w:rPr>
          <w:rFonts w:ascii="仿宋_GB2312" w:hAnsi="黑体" w:eastAsia="仿宋_GB2312"/>
          <w:sz w:val="32"/>
          <w:szCs w:val="32"/>
        </w:rPr>
        <w:t>，</w:t>
      </w:r>
      <w:r>
        <w:rPr>
          <w:rFonts w:hint="eastAsia" w:ascii="仿宋_GB2312" w:hAnsi="黑体" w:eastAsia="仿宋_GB2312"/>
          <w:sz w:val="32"/>
          <w:szCs w:val="32"/>
        </w:rPr>
        <w:t>其他用车7辆，其他用车主要是公务用车。</w:t>
      </w:r>
    </w:p>
    <w:p w14:paraId="7DDF5797">
      <w:pPr>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3.设备情况：单位价值50万元以上通用设备2台（套），单价100万元以上专用设备30台（套）。</w:t>
      </w:r>
    </w:p>
    <w:p w14:paraId="596EB96D">
      <w:pPr>
        <w:widowControl/>
        <w:spacing w:line="540" w:lineRule="exact"/>
        <w:ind w:firstLine="643" w:firstLineChars="200"/>
        <w:jc w:val="left"/>
      </w:pPr>
      <w:r>
        <w:rPr>
          <w:rFonts w:ascii="楷体_GB2312" w:hAnsi="宋体" w:eastAsia="楷体_GB2312" w:cs="楷体_GB2312"/>
          <w:b/>
          <w:sz w:val="32"/>
          <w:szCs w:val="32"/>
        </w:rPr>
        <w:t>（四）预算绩效情况。</w:t>
      </w:r>
    </w:p>
    <w:p w14:paraId="4AFD3F5A">
      <w:pPr>
        <w:widowControl/>
        <w:spacing w:line="520" w:lineRule="exact"/>
        <w:ind w:firstLine="643" w:firstLineChars="200"/>
        <w:jc w:val="left"/>
        <w:rPr>
          <w:rFonts w:ascii="仿宋_GB2312" w:hAnsi="仿宋_GB2312" w:eastAsia="仿宋_GB2312" w:cs="仿宋_GB2312"/>
        </w:rPr>
      </w:pPr>
      <w:r>
        <w:rPr>
          <w:rFonts w:hint="eastAsia" w:ascii="仿宋_GB2312" w:hAnsi="仿宋_GB2312" w:eastAsia="仿宋_GB2312" w:cs="仿宋_GB2312"/>
          <w:b/>
          <w:sz w:val="32"/>
          <w:szCs w:val="32"/>
        </w:rPr>
        <w:t>1.预算绩效管理工作开展情况。</w:t>
      </w:r>
    </w:p>
    <w:p w14:paraId="47BFBBAD">
      <w:pPr>
        <w:widowControl/>
        <w:spacing w:line="520" w:lineRule="exact"/>
        <w:ind w:firstLine="643" w:firstLineChars="200"/>
        <w:jc w:val="left"/>
        <w:rPr>
          <w:rFonts w:hAnsi="宋体" w:eastAsia="仿宋_GB2312" w:cs="仿宋_GB2312"/>
          <w:sz w:val="32"/>
          <w:szCs w:val="32"/>
        </w:rPr>
      </w:pPr>
      <w:r>
        <w:rPr>
          <w:rFonts w:hint="eastAsia" w:hAnsi="宋体" w:eastAsia="仿宋_GB2312" w:cs="仿宋_GB2312"/>
          <w:b/>
          <w:bCs/>
          <w:sz w:val="32"/>
          <w:szCs w:val="32"/>
        </w:rPr>
        <w:t>（1）绩效自评情况。</w:t>
      </w:r>
      <w:r>
        <w:rPr>
          <w:rFonts w:ascii="仿宋_GB2312" w:hAnsi="宋体" w:eastAsia="仿宋_GB2312" w:cs="仿宋_GB2312"/>
          <w:sz w:val="32"/>
          <w:szCs w:val="32"/>
        </w:rPr>
        <w:t>根据预算</w:t>
      </w:r>
      <w:r>
        <w:rPr>
          <w:rFonts w:hint="eastAsia" w:hAnsi="宋体" w:eastAsia="仿宋_GB2312" w:cs="仿宋_GB2312"/>
          <w:sz w:val="32"/>
          <w:szCs w:val="32"/>
        </w:rPr>
        <w:t>绩效</w:t>
      </w:r>
      <w:r>
        <w:rPr>
          <w:rFonts w:ascii="仿宋_GB2312" w:hAnsi="宋体" w:eastAsia="仿宋_GB2312" w:cs="仿宋_GB2312"/>
          <w:sz w:val="32"/>
          <w:szCs w:val="32"/>
        </w:rPr>
        <w:t>管理要求，</w:t>
      </w:r>
      <w:r>
        <w:rPr>
          <w:rFonts w:hint="eastAsia" w:ascii="仿宋_GB2312" w:hAnsi="宋体" w:eastAsia="仿宋_GB2312" w:cs="仿宋_GB2312"/>
          <w:sz w:val="32"/>
          <w:szCs w:val="32"/>
        </w:rPr>
        <w:t>我部门</w:t>
      </w:r>
      <w:r>
        <w:rPr>
          <w:rFonts w:ascii="仿宋_GB2312" w:hAnsi="宋体" w:eastAsia="仿宋_GB2312" w:cs="仿宋_GB2312"/>
          <w:sz w:val="32"/>
          <w:szCs w:val="32"/>
        </w:rPr>
        <w:t>组织</w:t>
      </w:r>
      <w:r>
        <w:rPr>
          <w:rFonts w:hint="eastAsia" w:ascii="仿宋_GB2312" w:hAnsi="宋体" w:eastAsia="仿宋_GB2312" w:cs="宋体"/>
          <w:sz w:val="32"/>
          <w:szCs w:val="32"/>
        </w:rPr>
        <w:t>2021</w:t>
      </w:r>
      <w:r>
        <w:rPr>
          <w:rFonts w:hint="eastAsia" w:ascii="仿宋_GB2312" w:hAnsi="宋体" w:eastAsia="仿宋_GB2312" w:cs="仿宋_GB2312"/>
          <w:sz w:val="32"/>
          <w:szCs w:val="32"/>
        </w:rPr>
        <w:t>年度</w:t>
      </w:r>
      <w:r>
        <w:rPr>
          <w:rFonts w:ascii="仿宋_GB2312" w:hAnsi="宋体" w:eastAsia="仿宋_GB2312" w:cs="仿宋_GB2312"/>
          <w:sz w:val="32"/>
          <w:szCs w:val="32"/>
        </w:rPr>
        <w:t>对</w:t>
      </w:r>
      <w:r>
        <w:rPr>
          <w:rFonts w:hint="eastAsia" w:ascii="仿宋_GB2312" w:hAnsi="宋体" w:eastAsia="仿宋_GB2312" w:cs="仿宋_GB2312"/>
          <w:sz w:val="32"/>
          <w:szCs w:val="32"/>
        </w:rPr>
        <w:t>自然资源局（本级）和自然资源事务服务中心预算</w:t>
      </w:r>
      <w:r>
        <w:rPr>
          <w:rFonts w:hint="eastAsia" w:hAnsi="宋体" w:eastAsia="仿宋_GB2312" w:cs="仿宋_GB2312"/>
          <w:sz w:val="32"/>
          <w:szCs w:val="32"/>
        </w:rPr>
        <w:t>开展整体绩效自评，其中局本级涉及金额754.34万元，自评得分85分；自然资源事务服务中心涉及金额4811.04万元，自评得分97.2分。</w:t>
      </w:r>
    </w:p>
    <w:p w14:paraId="2A5845E8">
      <w:pPr>
        <w:widowControl/>
        <w:spacing w:line="520" w:lineRule="exact"/>
        <w:ind w:firstLine="640" w:firstLineChars="200"/>
        <w:jc w:val="left"/>
      </w:pPr>
      <w:r>
        <w:rPr>
          <w:rFonts w:hint="eastAsia" w:hAnsi="宋体" w:eastAsia="仿宋_GB2312" w:cs="仿宋_GB2312"/>
          <w:sz w:val="32"/>
          <w:szCs w:val="32"/>
        </w:rPr>
        <w:t>对2021年度特定目标类项目开展自评，</w:t>
      </w:r>
      <w:r>
        <w:rPr>
          <w:rFonts w:hint="eastAsia" w:ascii="仿宋" w:hAnsi="仿宋" w:eastAsia="仿宋" w:cs="仿宋_GB2312"/>
          <w:sz w:val="32"/>
          <w:szCs w:val="32"/>
        </w:rPr>
        <w:t>共涉及预算支出项目0个，</w:t>
      </w:r>
      <w:r>
        <w:rPr>
          <w:rFonts w:hint="eastAsia" w:hAnsi="宋体" w:eastAsia="仿宋_GB2312" w:cs="仿宋_GB2312"/>
          <w:sz w:val="32"/>
          <w:szCs w:val="32"/>
        </w:rPr>
        <w:t>涉及资金</w:t>
      </w:r>
      <w:r>
        <w:rPr>
          <w:rFonts w:hint="eastAsia" w:ascii="仿宋_GB2312" w:hAnsi="宋体" w:eastAsia="仿宋_GB2312" w:cs="仿宋_GB2312"/>
          <w:sz w:val="32"/>
          <w:szCs w:val="32"/>
        </w:rPr>
        <w:t>0万元。</w:t>
      </w:r>
    </w:p>
    <w:p w14:paraId="0225C0AF">
      <w:pPr>
        <w:widowControl/>
        <w:spacing w:line="520" w:lineRule="exact"/>
        <w:ind w:firstLine="643" w:firstLineChars="200"/>
        <w:jc w:val="left"/>
        <w:rPr>
          <w:rFonts w:ascii="仿宋" w:hAnsi="仿宋" w:eastAsia="仿宋"/>
          <w:sz w:val="32"/>
        </w:rPr>
      </w:pPr>
      <w:r>
        <w:rPr>
          <w:rFonts w:hint="eastAsia" w:hAnsi="宋体" w:eastAsia="仿宋_GB2312" w:cs="仿宋_GB2312"/>
          <w:b/>
          <w:bCs/>
          <w:sz w:val="32"/>
          <w:szCs w:val="32"/>
        </w:rPr>
        <w:t>（2）重点项目评价情况。</w:t>
      </w:r>
      <w:r>
        <w:rPr>
          <w:rFonts w:hint="eastAsia" w:hAnsi="宋体" w:eastAsia="仿宋_GB2312" w:cs="仿宋_GB2312"/>
          <w:sz w:val="32"/>
          <w:szCs w:val="32"/>
        </w:rPr>
        <w:t>我部门</w:t>
      </w:r>
      <w:r>
        <w:rPr>
          <w:rFonts w:hint="eastAsia" w:ascii="仿宋" w:hAnsi="仿宋" w:eastAsia="仿宋"/>
          <w:sz w:val="32"/>
        </w:rPr>
        <w:t>没有开展重点项目评价工作</w:t>
      </w:r>
    </w:p>
    <w:p w14:paraId="0BD30F9F">
      <w:pPr>
        <w:widowControl/>
        <w:spacing w:line="520" w:lineRule="exact"/>
        <w:ind w:firstLine="643" w:firstLineChars="200"/>
        <w:jc w:val="left"/>
        <w:rPr>
          <w:rFonts w:ascii="仿宋_GB2312" w:hAnsi="宋体" w:eastAsia="仿宋_GB2312" w:cs="仿宋_GB2312"/>
          <w:sz w:val="32"/>
          <w:szCs w:val="32"/>
        </w:rPr>
      </w:pPr>
      <w:r>
        <w:rPr>
          <w:rFonts w:hint="eastAsia" w:ascii="仿宋_GB2312" w:hAnsi="宋体" w:eastAsia="仿宋_GB2312" w:cs="仿宋_GB2312"/>
          <w:b/>
          <w:bCs/>
          <w:sz w:val="32"/>
          <w:szCs w:val="32"/>
        </w:rPr>
        <w:t>2.部门决算中特定目标类项目绩效自评结果。</w:t>
      </w:r>
      <w:r>
        <w:rPr>
          <w:rFonts w:hint="eastAsia" w:ascii="仿宋_GB2312" w:hAnsi="宋体" w:eastAsia="仿宋_GB2312" w:cs="仿宋_GB2312"/>
          <w:sz w:val="32"/>
          <w:szCs w:val="32"/>
        </w:rPr>
        <w:t>我部门2021年度没有对部门决算中特定目标类项目开展绩效自评工作。</w:t>
      </w:r>
    </w:p>
    <w:p w14:paraId="4280CC4C">
      <w:pPr>
        <w:widowControl/>
        <w:spacing w:line="520" w:lineRule="exact"/>
        <w:ind w:firstLine="640" w:firstLineChars="200"/>
        <w:jc w:val="left"/>
        <w:rPr>
          <w:rFonts w:ascii="仿宋_GB2312" w:hAnsi="宋体" w:eastAsia="仿宋_GB2312" w:cs="仿宋_GB2312"/>
          <w:sz w:val="32"/>
          <w:szCs w:val="32"/>
        </w:rPr>
      </w:pPr>
    </w:p>
    <w:p w14:paraId="79F1D82F">
      <w:pPr>
        <w:widowControl/>
        <w:spacing w:line="520" w:lineRule="exact"/>
        <w:ind w:firstLine="640" w:firstLineChars="200"/>
        <w:jc w:val="left"/>
        <w:rPr>
          <w:rFonts w:ascii="仿宋_GB2312" w:hAnsi="宋体" w:eastAsia="仿宋_GB2312" w:cs="仿宋_GB2312"/>
          <w:sz w:val="32"/>
          <w:szCs w:val="32"/>
        </w:rPr>
      </w:pPr>
    </w:p>
    <w:tbl>
      <w:tblPr>
        <w:tblStyle w:val="4"/>
        <w:tblW w:w="0" w:type="auto"/>
        <w:tblInd w:w="93" w:type="dxa"/>
        <w:tblLayout w:type="autofit"/>
        <w:tblCellMar>
          <w:top w:w="0" w:type="dxa"/>
          <w:left w:w="108" w:type="dxa"/>
          <w:bottom w:w="0" w:type="dxa"/>
          <w:right w:w="108" w:type="dxa"/>
        </w:tblCellMar>
      </w:tblPr>
      <w:tblGrid>
        <w:gridCol w:w="384"/>
        <w:gridCol w:w="384"/>
        <w:gridCol w:w="384"/>
        <w:gridCol w:w="551"/>
        <w:gridCol w:w="384"/>
        <w:gridCol w:w="467"/>
        <w:gridCol w:w="384"/>
        <w:gridCol w:w="887"/>
        <w:gridCol w:w="384"/>
        <w:gridCol w:w="467"/>
        <w:gridCol w:w="553"/>
        <w:gridCol w:w="536"/>
        <w:gridCol w:w="385"/>
        <w:gridCol w:w="385"/>
        <w:gridCol w:w="385"/>
        <w:gridCol w:w="385"/>
        <w:gridCol w:w="385"/>
        <w:gridCol w:w="385"/>
        <w:gridCol w:w="552"/>
      </w:tblGrid>
      <w:tr w14:paraId="14C3EAE9">
        <w:tblPrEx>
          <w:tblCellMar>
            <w:top w:w="0" w:type="dxa"/>
            <w:left w:w="108" w:type="dxa"/>
            <w:bottom w:w="0" w:type="dxa"/>
            <w:right w:w="108" w:type="dxa"/>
          </w:tblCellMar>
        </w:tblPrEx>
        <w:trPr>
          <w:trHeight w:val="624" w:hRule="atLeast"/>
        </w:trPr>
        <w:tc>
          <w:tcPr>
            <w:tcW w:w="0" w:type="auto"/>
            <w:gridSpan w:val="19"/>
            <w:vMerge w:val="restart"/>
            <w:tcBorders>
              <w:top w:val="nil"/>
              <w:left w:val="nil"/>
              <w:bottom w:val="nil"/>
              <w:right w:val="nil"/>
            </w:tcBorders>
            <w:shd w:val="clear" w:color="auto" w:fill="FFFFFF"/>
            <w:vAlign w:val="center"/>
          </w:tcPr>
          <w:p w14:paraId="09559469">
            <w:pPr>
              <w:widowControl/>
              <w:jc w:val="center"/>
              <w:textAlignment w:val="center"/>
              <w:rPr>
                <w:rFonts w:ascii="宋体" w:hAnsi="宋体" w:cs="宋体"/>
                <w:b/>
                <w:bCs/>
                <w:color w:val="000000"/>
                <w:sz w:val="32"/>
                <w:szCs w:val="32"/>
              </w:rPr>
            </w:pPr>
            <w:r>
              <w:rPr>
                <w:rFonts w:hint="eastAsia" w:ascii="宋体" w:hAnsi="宋体" w:cs="宋体"/>
                <w:b/>
                <w:bCs/>
                <w:color w:val="000000"/>
                <w:kern w:val="0"/>
                <w:sz w:val="32"/>
                <w:szCs w:val="32"/>
              </w:rPr>
              <w:t>部门（单位）整体绩效自评表</w:t>
            </w:r>
            <w:r>
              <w:rPr>
                <w:rFonts w:hint="eastAsia" w:ascii="宋体" w:hAnsi="宋体" w:cs="宋体"/>
                <w:b/>
                <w:bCs/>
                <w:color w:val="000000"/>
                <w:kern w:val="0"/>
                <w:sz w:val="32"/>
                <w:szCs w:val="32"/>
              </w:rPr>
              <w:br w:type="textWrapping"/>
            </w:r>
            <w:r>
              <w:rPr>
                <w:rStyle w:val="11"/>
                <w:rFonts w:hint="default"/>
              </w:rPr>
              <w:t>（2021年度）</w:t>
            </w:r>
          </w:p>
        </w:tc>
      </w:tr>
      <w:tr w14:paraId="26EB0808">
        <w:tblPrEx>
          <w:tblCellMar>
            <w:top w:w="0" w:type="dxa"/>
            <w:left w:w="108" w:type="dxa"/>
            <w:bottom w:w="0" w:type="dxa"/>
            <w:right w:w="108" w:type="dxa"/>
          </w:tblCellMar>
        </w:tblPrEx>
        <w:trPr>
          <w:trHeight w:val="624" w:hRule="atLeast"/>
        </w:trPr>
        <w:tc>
          <w:tcPr>
            <w:tcW w:w="0" w:type="auto"/>
            <w:gridSpan w:val="19"/>
            <w:vMerge w:val="continue"/>
            <w:tcBorders>
              <w:top w:val="nil"/>
              <w:left w:val="nil"/>
              <w:bottom w:val="nil"/>
              <w:right w:val="nil"/>
            </w:tcBorders>
            <w:shd w:val="clear" w:color="auto" w:fill="FFFFFF"/>
            <w:vAlign w:val="center"/>
          </w:tcPr>
          <w:p w14:paraId="53F3E2A3">
            <w:pPr>
              <w:jc w:val="center"/>
              <w:rPr>
                <w:rFonts w:ascii="宋体" w:hAnsi="宋体" w:cs="宋体"/>
                <w:b/>
                <w:bCs/>
                <w:color w:val="000000"/>
                <w:sz w:val="32"/>
                <w:szCs w:val="32"/>
              </w:rPr>
            </w:pPr>
          </w:p>
        </w:tc>
      </w:tr>
      <w:tr w14:paraId="247D8CCF">
        <w:tblPrEx>
          <w:tblCellMar>
            <w:top w:w="0" w:type="dxa"/>
            <w:left w:w="108" w:type="dxa"/>
            <w:bottom w:w="0" w:type="dxa"/>
            <w:right w:w="108" w:type="dxa"/>
          </w:tblCellMar>
        </w:tblPrEx>
        <w:trPr>
          <w:trHeight w:val="624" w:hRule="atLeast"/>
        </w:trPr>
        <w:tc>
          <w:tcPr>
            <w:tcW w:w="0" w:type="auto"/>
            <w:gridSpan w:val="19"/>
            <w:vMerge w:val="continue"/>
            <w:tcBorders>
              <w:top w:val="nil"/>
              <w:left w:val="nil"/>
              <w:bottom w:val="nil"/>
              <w:right w:val="nil"/>
            </w:tcBorders>
            <w:shd w:val="clear" w:color="auto" w:fill="FFFFFF"/>
            <w:vAlign w:val="center"/>
          </w:tcPr>
          <w:p w14:paraId="43F81C7B">
            <w:pPr>
              <w:jc w:val="center"/>
              <w:rPr>
                <w:rFonts w:ascii="宋体" w:hAnsi="宋体" w:cs="宋体"/>
                <w:b/>
                <w:bCs/>
                <w:color w:val="000000"/>
                <w:sz w:val="32"/>
                <w:szCs w:val="32"/>
              </w:rPr>
            </w:pPr>
          </w:p>
        </w:tc>
      </w:tr>
      <w:tr w14:paraId="5BA3865F">
        <w:tblPrEx>
          <w:tblCellMar>
            <w:top w:w="0" w:type="dxa"/>
            <w:left w:w="108" w:type="dxa"/>
            <w:bottom w:w="0" w:type="dxa"/>
            <w:right w:w="108" w:type="dxa"/>
          </w:tblCellMar>
        </w:tblPrEx>
        <w:trPr>
          <w:trHeight w:val="285"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60A74E68">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部门（单位）名称</w:t>
            </w:r>
          </w:p>
        </w:tc>
        <w:tc>
          <w:tcPr>
            <w:tcW w:w="0" w:type="auto"/>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5033072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128011盘锦市自然资源局-211100000</w:t>
            </w:r>
          </w:p>
        </w:tc>
      </w:tr>
      <w:tr w14:paraId="18FFD711">
        <w:tblPrEx>
          <w:tblCellMar>
            <w:top w:w="0" w:type="dxa"/>
            <w:left w:w="108" w:type="dxa"/>
            <w:bottom w:w="0" w:type="dxa"/>
            <w:right w:w="108" w:type="dxa"/>
          </w:tblCellMar>
        </w:tblPrEx>
        <w:trPr>
          <w:trHeight w:val="312"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2733A556">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部门年初预算收入金额</w:t>
            </w:r>
          </w:p>
        </w:tc>
        <w:tc>
          <w:tcPr>
            <w:tcW w:w="0" w:type="auto"/>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003F4F6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754.34</w:t>
            </w:r>
          </w:p>
        </w:tc>
      </w:tr>
      <w:tr w14:paraId="399AF21A">
        <w:tblPrEx>
          <w:tblCellMar>
            <w:top w:w="0" w:type="dxa"/>
            <w:left w:w="108" w:type="dxa"/>
            <w:bottom w:w="0" w:type="dxa"/>
            <w:right w:w="108" w:type="dxa"/>
          </w:tblCellMar>
        </w:tblPrEx>
        <w:trPr>
          <w:trHeight w:val="312"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4699B202">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部门年初预算支出金额</w:t>
            </w:r>
          </w:p>
        </w:tc>
        <w:tc>
          <w:tcPr>
            <w:tcW w:w="0" w:type="auto"/>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7DBD9BB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754.34</w:t>
            </w:r>
          </w:p>
        </w:tc>
      </w:tr>
      <w:tr w14:paraId="0807ECA0">
        <w:tblPrEx>
          <w:tblCellMar>
            <w:top w:w="0" w:type="dxa"/>
            <w:left w:w="108" w:type="dxa"/>
            <w:bottom w:w="0" w:type="dxa"/>
            <w:right w:w="108" w:type="dxa"/>
          </w:tblCellMar>
        </w:tblPrEx>
        <w:trPr>
          <w:trHeight w:val="31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085856C">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年度主要任务</w:t>
            </w: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10C82128">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工作名称</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21A29F05">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对应项目</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39B1A51">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项目下达金额</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ECF93A9">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项目执行金额</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DAF1CDB">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项目执行率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84C77B7">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分值</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6EEA8C2">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得分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28864DF">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完成情况</w:t>
            </w:r>
          </w:p>
        </w:tc>
      </w:tr>
      <w:tr w14:paraId="3CE3FF6D">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AFD8FF">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2EA384A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根据上级文件及领导批示，开展《盘锦市矿产资源总体规划》编制工作。</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3048913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盘锦市矿产资源总体规划（2021-2025年）编制工作经费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E52ABA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431B8C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7ED8F0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11A82E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8A1D5D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410ECD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调整预算未予当年申请。</w:t>
            </w:r>
          </w:p>
        </w:tc>
      </w:tr>
      <w:tr w14:paraId="5E01CC01">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2F9D88">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3BBB357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依法将城乡规划草案予以公告，采取论证会、听证会或者其他方式征求专家和公众的意见。</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1EE0731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自然资源专家论证评审费等</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A83E98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2.276866</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3B09A4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2.27</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2741C4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A045BA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FF00EC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FF1CA7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已申请预算并于当年完成支付。</w:t>
            </w:r>
          </w:p>
        </w:tc>
      </w:tr>
      <w:tr w14:paraId="3A8E2D76">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BC0C87">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4BF0433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开展地质风险调查和灾害风险评估，编制灾害综合防治区划图，形成地质灾害普查成果。</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635BF79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地质灾害综合风险普查工作经费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7F7047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34E3C6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2AAE1B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DD530E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A35FA9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5D570F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调整预算未予当年申请。</w:t>
            </w:r>
          </w:p>
        </w:tc>
      </w:tr>
      <w:tr w14:paraId="21DF4BBC">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41CF842">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0CA0D7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按照城市土地市场监测要求提交成果，对盘锦市历年土地市场交易情况开展收集汇总分析</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772E4F4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盘锦市土地市场监测分析</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DE6776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66369D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F5E548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010D39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AD4228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14F71E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调整预算未予当年申请。</w:t>
            </w:r>
          </w:p>
        </w:tc>
      </w:tr>
      <w:tr w14:paraId="266B9926">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A88CCEA">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1ECD6E8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要求进行海上巡航检查。</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6A47556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海洋执法业务经费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F378AA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30</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D30038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30</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2EDC95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24DE60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0BDE84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E4442F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已申请预算并于当年完成支付。</w:t>
            </w:r>
          </w:p>
        </w:tc>
      </w:tr>
      <w:tr w14:paraId="0FD7D3A0">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7DEED7">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27AC08F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实时掌控、系统分析我市土地利用现状，严格土地管理、保护和利用</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355D31F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全国国土变更调查与遥感监测</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D9FC68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14</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910680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14</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385106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D3923F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7C3697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98F637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已申请预算并于当年完成支付。</w:t>
            </w:r>
          </w:p>
        </w:tc>
      </w:tr>
      <w:tr w14:paraId="68012B10">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F2699B8">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60C7A82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完成人员经费、工资和保险等支出</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5C6BEB5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人员类项目</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75D2F3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844.620402</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55F2EB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844.62</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E82E3C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8D4C65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C2DEE4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32975B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已申请预算并于当年完成支付。</w:t>
            </w:r>
          </w:p>
        </w:tc>
      </w:tr>
      <w:tr w14:paraId="2C8591FF">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E2344C">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2863681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按照标准，对人员经费、三公经费进行报销及支付。</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7F8A270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公用经费项目</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5EF168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87.667843</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F66D18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87.66</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8662C4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EE52B4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1B169D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17CF00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已申请预算并于当年完成支付。</w:t>
            </w:r>
          </w:p>
        </w:tc>
      </w:tr>
      <w:tr w14:paraId="2B0DC751">
        <w:tblPrEx>
          <w:tblCellMar>
            <w:top w:w="0" w:type="dxa"/>
            <w:left w:w="108" w:type="dxa"/>
            <w:bottom w:w="0" w:type="dxa"/>
            <w:right w:w="108" w:type="dxa"/>
          </w:tblCellMar>
        </w:tblPrEx>
        <w:trPr>
          <w:trHeight w:val="31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F37745E">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年度目标</w:t>
            </w:r>
          </w:p>
        </w:tc>
        <w:tc>
          <w:tcPr>
            <w:tcW w:w="0" w:type="auto"/>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14:paraId="22B4CCC9">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年初总体目标</w:t>
            </w: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76FE389">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全年完成情况</w:t>
            </w:r>
          </w:p>
        </w:tc>
      </w:tr>
      <w:tr w14:paraId="38C18DF2">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F7EC3F">
            <w:pPr>
              <w:jc w:val="center"/>
              <w:rPr>
                <w:rFonts w:ascii="宋体" w:hAnsi="宋体" w:cs="宋体"/>
                <w:b/>
                <w:bCs/>
                <w:color w:val="000000"/>
                <w:sz w:val="20"/>
                <w:szCs w:val="20"/>
              </w:rPr>
            </w:pPr>
          </w:p>
        </w:tc>
        <w:tc>
          <w:tcPr>
            <w:tcW w:w="0" w:type="auto"/>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14:paraId="4434DD7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实时掌控、系统分析我市土地利用现状，严格土地管理、保护和利用</w:t>
            </w:r>
            <w:r>
              <w:rPr>
                <w:rFonts w:hint="eastAsia" w:ascii="宋体" w:hAnsi="宋体" w:cs="宋体"/>
                <w:color w:val="000000"/>
                <w:kern w:val="0"/>
                <w:sz w:val="20"/>
                <w:szCs w:val="20"/>
              </w:rPr>
              <w:br w:type="textWrapping"/>
            </w:r>
            <w:r>
              <w:rPr>
                <w:rFonts w:hint="eastAsia" w:ascii="宋体" w:hAnsi="宋体" w:cs="宋体"/>
                <w:color w:val="000000"/>
                <w:kern w:val="0"/>
                <w:sz w:val="20"/>
                <w:szCs w:val="20"/>
              </w:rPr>
              <w:t>编制《盘锦市矿产资源总体规划》</w:t>
            </w:r>
            <w:r>
              <w:rPr>
                <w:rFonts w:hint="eastAsia" w:ascii="宋体" w:hAnsi="宋体" w:cs="宋体"/>
                <w:color w:val="000000"/>
                <w:kern w:val="0"/>
                <w:sz w:val="20"/>
                <w:szCs w:val="20"/>
              </w:rPr>
              <w:br w:type="textWrapping"/>
            </w:r>
            <w:r>
              <w:rPr>
                <w:rFonts w:hint="eastAsia" w:ascii="宋体" w:hAnsi="宋体" w:cs="宋体"/>
                <w:color w:val="000000"/>
                <w:kern w:val="0"/>
                <w:sz w:val="20"/>
                <w:szCs w:val="20"/>
              </w:rPr>
              <w:t>采取论证会、听证会或者其他方式征求专家和公众的意见，完成项目审批程序。</w:t>
            </w:r>
            <w:r>
              <w:rPr>
                <w:rFonts w:hint="eastAsia" w:ascii="宋体" w:hAnsi="宋体" w:cs="宋体"/>
                <w:color w:val="000000"/>
                <w:kern w:val="0"/>
                <w:sz w:val="20"/>
                <w:szCs w:val="20"/>
              </w:rPr>
              <w:br w:type="textWrapping"/>
            </w:r>
            <w:r>
              <w:rPr>
                <w:rFonts w:hint="eastAsia" w:ascii="宋体" w:hAnsi="宋体" w:cs="宋体"/>
                <w:color w:val="000000"/>
                <w:kern w:val="0"/>
                <w:sz w:val="20"/>
                <w:szCs w:val="20"/>
              </w:rPr>
              <w:t>编制灾害综合防治区划图，形成地质灾害普查成果。</w:t>
            </w:r>
            <w:r>
              <w:rPr>
                <w:rFonts w:hint="eastAsia" w:ascii="宋体" w:hAnsi="宋体" w:cs="宋体"/>
                <w:color w:val="000000"/>
                <w:kern w:val="0"/>
                <w:sz w:val="20"/>
                <w:szCs w:val="20"/>
              </w:rPr>
              <w:br w:type="textWrapping"/>
            </w:r>
            <w:r>
              <w:rPr>
                <w:rFonts w:hint="eastAsia" w:ascii="宋体" w:hAnsi="宋体" w:cs="宋体"/>
                <w:color w:val="000000"/>
                <w:kern w:val="0"/>
                <w:sz w:val="20"/>
                <w:szCs w:val="20"/>
              </w:rPr>
              <w:t>提出盘锦市土地市场运行现状和问题，提出全市土地市场宏观调控建议。</w:t>
            </w: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1092EB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完成了对我市土地利用现状，做到了实时掌控、系统，严格土地管理、保护和利用</w:t>
            </w:r>
            <w:r>
              <w:rPr>
                <w:rFonts w:hint="eastAsia" w:ascii="宋体" w:hAnsi="宋体" w:cs="宋体"/>
                <w:color w:val="000000"/>
                <w:kern w:val="0"/>
                <w:sz w:val="20"/>
                <w:szCs w:val="20"/>
              </w:rPr>
              <w:br w:type="textWrapping"/>
            </w:r>
            <w:r>
              <w:rPr>
                <w:rFonts w:hint="eastAsia" w:ascii="宋体" w:hAnsi="宋体" w:cs="宋体"/>
                <w:color w:val="000000"/>
                <w:kern w:val="0"/>
                <w:sz w:val="20"/>
                <w:szCs w:val="20"/>
              </w:rPr>
              <w:t>完成了编制《盘锦市矿产资源总体规划》工作；</w:t>
            </w:r>
            <w:r>
              <w:rPr>
                <w:rFonts w:hint="eastAsia" w:ascii="宋体" w:hAnsi="宋体" w:cs="宋体"/>
                <w:color w:val="000000"/>
                <w:kern w:val="0"/>
                <w:sz w:val="20"/>
                <w:szCs w:val="20"/>
              </w:rPr>
              <w:br w:type="textWrapping"/>
            </w:r>
            <w:r>
              <w:rPr>
                <w:rFonts w:hint="eastAsia" w:ascii="宋体" w:hAnsi="宋体" w:cs="宋体"/>
                <w:color w:val="000000"/>
                <w:kern w:val="0"/>
                <w:sz w:val="20"/>
                <w:szCs w:val="20"/>
              </w:rPr>
              <w:t>采取论证会、听证会或者其他方式征求专家和公众的意见，完成了项目审批程序。</w:t>
            </w:r>
            <w:r>
              <w:rPr>
                <w:rFonts w:hint="eastAsia" w:ascii="宋体" w:hAnsi="宋体" w:cs="宋体"/>
                <w:color w:val="000000"/>
                <w:kern w:val="0"/>
                <w:sz w:val="20"/>
                <w:szCs w:val="20"/>
              </w:rPr>
              <w:br w:type="textWrapping"/>
            </w:r>
            <w:r>
              <w:rPr>
                <w:rFonts w:hint="eastAsia" w:ascii="宋体" w:hAnsi="宋体" w:cs="宋体"/>
                <w:color w:val="000000"/>
                <w:kern w:val="0"/>
                <w:sz w:val="20"/>
                <w:szCs w:val="20"/>
              </w:rPr>
              <w:t>编制了灾害综合防治区划图，形成地质灾害普查成果。</w:t>
            </w:r>
            <w:r>
              <w:rPr>
                <w:rFonts w:hint="eastAsia" w:ascii="宋体" w:hAnsi="宋体" w:cs="宋体"/>
                <w:color w:val="000000"/>
                <w:kern w:val="0"/>
                <w:sz w:val="20"/>
                <w:szCs w:val="20"/>
              </w:rPr>
              <w:br w:type="textWrapping"/>
            </w:r>
            <w:r>
              <w:rPr>
                <w:rFonts w:hint="eastAsia" w:ascii="宋体" w:hAnsi="宋体" w:cs="宋体"/>
                <w:color w:val="000000"/>
                <w:kern w:val="0"/>
                <w:sz w:val="20"/>
                <w:szCs w:val="20"/>
              </w:rPr>
              <w:t>对盘锦市土地市场运行现状和问题提出了全市土地市场宏观调控建议。</w:t>
            </w:r>
          </w:p>
        </w:tc>
      </w:tr>
      <w:tr w14:paraId="754DAAF9">
        <w:tblPrEx>
          <w:tblCellMar>
            <w:top w:w="0" w:type="dxa"/>
            <w:left w:w="108" w:type="dxa"/>
            <w:bottom w:w="0" w:type="dxa"/>
            <w:right w:w="108" w:type="dxa"/>
          </w:tblCellMar>
        </w:tblPrEx>
        <w:trPr>
          <w:trHeight w:val="285" w:hRule="atLeast"/>
        </w:trPr>
        <w:tc>
          <w:tcPr>
            <w:tcW w:w="0" w:type="auto"/>
            <w:vMerge w:val="restart"/>
            <w:tcBorders>
              <w:top w:val="single" w:color="000000" w:sz="4" w:space="0"/>
              <w:left w:val="single" w:color="000000" w:sz="4" w:space="0"/>
              <w:bottom w:val="nil"/>
              <w:right w:val="single" w:color="000000" w:sz="4" w:space="0"/>
            </w:tcBorders>
            <w:shd w:val="clear" w:color="auto" w:fill="FFFFFF"/>
            <w:vAlign w:val="center"/>
          </w:tcPr>
          <w:p w14:paraId="2F143490">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绩效指标</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66D36F94">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一级指标</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29B38600">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二级指标</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0F3CD8C7">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三级指标</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43A288A9">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运算符号</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1B395EA3">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指标值</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40AA2FB5">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度量单位</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004781F6">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全年完成值</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4A22F3A6">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完成程度</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6F7991DC">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分值</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2AF4C8BD">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得分</w:t>
            </w:r>
          </w:p>
        </w:tc>
        <w:tc>
          <w:tcPr>
            <w:tcW w:w="0" w:type="auto"/>
            <w:gridSpan w:val="5"/>
            <w:tcBorders>
              <w:top w:val="nil"/>
              <w:left w:val="single" w:color="000000" w:sz="4" w:space="0"/>
              <w:bottom w:val="single" w:color="000000" w:sz="4" w:space="0"/>
              <w:right w:val="single" w:color="000000" w:sz="4" w:space="0"/>
            </w:tcBorders>
            <w:shd w:val="clear" w:color="auto" w:fill="FFFFFF"/>
            <w:vAlign w:val="center"/>
          </w:tcPr>
          <w:p w14:paraId="3F1727F0">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偏差原因分析</w:t>
            </w:r>
          </w:p>
        </w:tc>
        <w:tc>
          <w:tcPr>
            <w:tcW w:w="0" w:type="auto"/>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C865A35">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改进措施</w:t>
            </w:r>
          </w:p>
        </w:tc>
      </w:tr>
      <w:tr w14:paraId="0B9E8946">
        <w:tblPrEx>
          <w:tblCellMar>
            <w:top w:w="0" w:type="dxa"/>
            <w:left w:w="108" w:type="dxa"/>
            <w:bottom w:w="0" w:type="dxa"/>
            <w:right w:w="108" w:type="dxa"/>
          </w:tblCellMar>
        </w:tblPrEx>
        <w:trPr>
          <w:trHeight w:val="96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24AF8A9D">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07BC9E0F">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41939EFD">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4F589741">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0AC2E009">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5D7C2C26">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5C48B45E">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30BD91F3">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572CCD26">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521F9052">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6F36C6FF">
            <w:pPr>
              <w:jc w:val="center"/>
              <w:rPr>
                <w:rFonts w:ascii="宋体" w:hAnsi="宋体" w:cs="宋体"/>
                <w:b/>
                <w:bCs/>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11C3FEB">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经费保障原因分析</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CE9267C">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制度保障原因分析</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6DB70A6">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人员保障原因分析</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2DDDFD9">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硬件条件保障原因分析</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9FE0817">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其他原因分析</w:t>
            </w:r>
          </w:p>
        </w:tc>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2C9DEF">
            <w:pPr>
              <w:jc w:val="center"/>
              <w:rPr>
                <w:rFonts w:ascii="宋体" w:hAnsi="宋体" w:cs="宋体"/>
                <w:b/>
                <w:bCs/>
                <w:color w:val="000000"/>
                <w:sz w:val="20"/>
                <w:szCs w:val="20"/>
              </w:rPr>
            </w:pPr>
          </w:p>
        </w:tc>
      </w:tr>
      <w:tr w14:paraId="47039A66">
        <w:tblPrEx>
          <w:tblCellMar>
            <w:top w:w="0" w:type="dxa"/>
            <w:left w:w="108" w:type="dxa"/>
            <w:bottom w:w="0" w:type="dxa"/>
            <w:right w:w="108" w:type="dxa"/>
          </w:tblCellMar>
        </w:tblPrEx>
        <w:trPr>
          <w:trHeight w:val="96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62DE1B99">
            <w:pPr>
              <w:jc w:val="center"/>
              <w:rPr>
                <w:rFonts w:ascii="宋体" w:hAnsi="宋体" w:cs="宋体"/>
                <w:b/>
                <w:bCs/>
                <w:color w:val="000000"/>
                <w:sz w:val="20"/>
                <w:szCs w:val="20"/>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4F08EC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履职效能</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57B491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重点工作履行情况</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CEA2D6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重点工作办结率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8D6A05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873266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42CAF9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649778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ADE99E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3CF19B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B09E5A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931BD85">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F60724E">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D05C32A">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0D4E955">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651D4C5">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3CA02DF">
            <w:pPr>
              <w:jc w:val="center"/>
              <w:rPr>
                <w:rFonts w:ascii="宋体" w:hAnsi="宋体" w:cs="宋体"/>
                <w:color w:val="000000"/>
                <w:sz w:val="20"/>
                <w:szCs w:val="20"/>
              </w:rPr>
            </w:pPr>
          </w:p>
        </w:tc>
      </w:tr>
      <w:tr w14:paraId="063530DD">
        <w:tblPrEx>
          <w:tblCellMar>
            <w:top w:w="0" w:type="dxa"/>
            <w:left w:w="108" w:type="dxa"/>
            <w:bottom w:w="0" w:type="dxa"/>
            <w:right w:w="108" w:type="dxa"/>
          </w:tblCellMar>
        </w:tblPrEx>
        <w:trPr>
          <w:trHeight w:val="96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1F3FED29">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DDD425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2CEF64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整体工作完成情况</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C08454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总体工作完成率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746A2D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D05313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3458D9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47891A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95.6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46B85E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40631D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5EE94E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891CBE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B79DAD4">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53CC81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844D8B2">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1818CC8">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06D5C0F">
            <w:pPr>
              <w:jc w:val="center"/>
              <w:rPr>
                <w:rFonts w:ascii="宋体" w:hAnsi="宋体" w:cs="宋体"/>
                <w:color w:val="000000"/>
                <w:sz w:val="20"/>
                <w:szCs w:val="20"/>
              </w:rPr>
            </w:pPr>
          </w:p>
        </w:tc>
      </w:tr>
      <w:tr w14:paraId="1B796942">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792EF46D">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6FDA2EC">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6E3EA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基础管理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158FB4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依法行政能力</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A4E2BE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C9100D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管理规范</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429C27B">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0E409A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5A9868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B3C05F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5BE005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4F7AFEB">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E925F6C">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C73E37B">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938ADB5">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2E3A803">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02ECC08F">
            <w:pPr>
              <w:jc w:val="center"/>
              <w:rPr>
                <w:rFonts w:ascii="宋体" w:hAnsi="宋体" w:cs="宋体"/>
                <w:color w:val="000000"/>
                <w:sz w:val="20"/>
                <w:szCs w:val="20"/>
              </w:rPr>
            </w:pPr>
          </w:p>
        </w:tc>
      </w:tr>
      <w:tr w14:paraId="62D80DB2">
        <w:tblPrEx>
          <w:tblCellMar>
            <w:top w:w="0" w:type="dxa"/>
            <w:left w:w="108" w:type="dxa"/>
            <w:bottom w:w="0" w:type="dxa"/>
            <w:right w:w="108" w:type="dxa"/>
          </w:tblCellMar>
        </w:tblPrEx>
        <w:trPr>
          <w:trHeight w:val="72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6C7390F7">
            <w:pPr>
              <w:jc w:val="center"/>
              <w:rPr>
                <w:rFonts w:ascii="宋体" w:hAnsi="宋体" w:cs="宋体"/>
                <w:b/>
                <w:bCs/>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0BEDDF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预算执行</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05259C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预算执行效率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48C8A1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预算执行率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844419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02F8B2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65829E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48AFDE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95.6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8C936F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801D05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050245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4F49D2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258477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58E399C">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8080194">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14E8115">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6633EBA">
            <w:pPr>
              <w:jc w:val="center"/>
              <w:rPr>
                <w:rFonts w:ascii="宋体" w:hAnsi="宋体" w:cs="宋体"/>
                <w:color w:val="000000"/>
                <w:sz w:val="20"/>
                <w:szCs w:val="20"/>
              </w:rPr>
            </w:pPr>
          </w:p>
        </w:tc>
      </w:tr>
      <w:tr w14:paraId="78CB17B0">
        <w:tblPrEx>
          <w:tblCellMar>
            <w:top w:w="0" w:type="dxa"/>
            <w:left w:w="108" w:type="dxa"/>
            <w:bottom w:w="0" w:type="dxa"/>
            <w:right w:w="108" w:type="dxa"/>
          </w:tblCellMar>
        </w:tblPrEx>
        <w:trPr>
          <w:trHeight w:val="12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68D71C53">
            <w:pPr>
              <w:jc w:val="center"/>
              <w:rPr>
                <w:rFonts w:ascii="宋体" w:hAnsi="宋体" w:cs="宋体"/>
                <w:b/>
                <w:bCs/>
                <w:color w:val="000000"/>
                <w:sz w:val="20"/>
                <w:szCs w:val="20"/>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09FAB0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管理效率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2F65DD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预算编制管理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1AB33A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预算绩效目标覆盖率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D0A221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7265F9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DF4419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A5CAC8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08ED39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1596D9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10E090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AD99FE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6EF99B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8CF6DFD">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7308BD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DB6ADDD">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BF8C940">
            <w:pPr>
              <w:jc w:val="center"/>
              <w:rPr>
                <w:rFonts w:ascii="宋体" w:hAnsi="宋体" w:cs="宋体"/>
                <w:color w:val="000000"/>
                <w:sz w:val="20"/>
                <w:szCs w:val="20"/>
              </w:rPr>
            </w:pPr>
          </w:p>
        </w:tc>
      </w:tr>
      <w:tr w14:paraId="2E2F982B">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79599F60">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C85214F">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499CBB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预算监督管理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1A907F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预决算公开情况</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2181BA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0E9E58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全部公开</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E341D74">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BF4227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CF771D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661287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EAC370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62E2ECF">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37CE39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7264DAF">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3E6A58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354734D">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E5F4833">
            <w:pPr>
              <w:jc w:val="center"/>
              <w:rPr>
                <w:rFonts w:ascii="宋体" w:hAnsi="宋体" w:cs="宋体"/>
                <w:color w:val="000000"/>
                <w:sz w:val="20"/>
                <w:szCs w:val="20"/>
              </w:rPr>
            </w:pPr>
          </w:p>
        </w:tc>
      </w:tr>
      <w:tr w14:paraId="20F91C77">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6E278CCC">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2380E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14BD2B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预算收支管理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34F4D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预算支出管理规范性</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2DA5DD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D8205D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管理规范</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8854ADF">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03981C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CB75B9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8ED9A0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D8D9D7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16269A4">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69D226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F85BA20">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AF3A37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6A671E9">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5712C1D">
            <w:pPr>
              <w:jc w:val="center"/>
              <w:rPr>
                <w:rFonts w:ascii="宋体" w:hAnsi="宋体" w:cs="宋体"/>
                <w:color w:val="000000"/>
                <w:sz w:val="20"/>
                <w:szCs w:val="20"/>
              </w:rPr>
            </w:pPr>
          </w:p>
        </w:tc>
      </w:tr>
      <w:tr w14:paraId="5C03CE69">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12BAD63F">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ECE9E0">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2E8649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财务管理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1F97D4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内控制度有效性</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D065041">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F3B016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制度有效</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05F611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E10B25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5C24B5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225552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271A82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75197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D6468F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ADC4A1E">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5BD32AB">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CA5685F">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33C41B9">
            <w:pPr>
              <w:jc w:val="center"/>
              <w:rPr>
                <w:rFonts w:ascii="宋体" w:hAnsi="宋体" w:cs="宋体"/>
                <w:color w:val="000000"/>
                <w:sz w:val="20"/>
                <w:szCs w:val="20"/>
              </w:rPr>
            </w:pPr>
          </w:p>
        </w:tc>
      </w:tr>
      <w:tr w14:paraId="3AC526C1">
        <w:tblPrEx>
          <w:tblCellMar>
            <w:top w:w="0" w:type="dxa"/>
            <w:left w:w="108" w:type="dxa"/>
            <w:bottom w:w="0" w:type="dxa"/>
            <w:right w:w="108" w:type="dxa"/>
          </w:tblCellMar>
        </w:tblPrEx>
        <w:trPr>
          <w:trHeight w:val="96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2CD4A2E8">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E375495">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1E6209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资产管理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997DDD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固定资产利用率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9367CB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972DB6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D2BCB6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5B4F86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2759CD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8904ED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054AD5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DA518B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723DE14">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C7715F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B7FB7E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C40200A">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F9462C2">
            <w:pPr>
              <w:jc w:val="center"/>
              <w:rPr>
                <w:rFonts w:ascii="宋体" w:hAnsi="宋体" w:cs="宋体"/>
                <w:color w:val="000000"/>
                <w:sz w:val="20"/>
                <w:szCs w:val="20"/>
              </w:rPr>
            </w:pPr>
          </w:p>
        </w:tc>
      </w:tr>
      <w:tr w14:paraId="3434843C">
        <w:tblPrEx>
          <w:tblCellMar>
            <w:top w:w="0" w:type="dxa"/>
            <w:left w:w="108" w:type="dxa"/>
            <w:bottom w:w="0" w:type="dxa"/>
            <w:right w:w="108" w:type="dxa"/>
          </w:tblCellMar>
        </w:tblPrEx>
        <w:trPr>
          <w:trHeight w:val="192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204CA665">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5F1D60">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C3886F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业务管理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650357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政府采购管理违法违规行为发生次数</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1EA180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339365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A94DF8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E1E7AA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17BA5D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4C2950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826C72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A2FAF65">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9BABEA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3D4E64E">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FD1171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FD33DED">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F47C66A">
            <w:pPr>
              <w:jc w:val="center"/>
              <w:rPr>
                <w:rFonts w:ascii="宋体" w:hAnsi="宋体" w:cs="宋体"/>
                <w:color w:val="000000"/>
                <w:sz w:val="20"/>
                <w:szCs w:val="20"/>
              </w:rPr>
            </w:pPr>
          </w:p>
        </w:tc>
      </w:tr>
      <w:tr w14:paraId="44929007">
        <w:tblPrEx>
          <w:tblCellMar>
            <w:top w:w="0" w:type="dxa"/>
            <w:left w:w="108" w:type="dxa"/>
            <w:bottom w:w="0" w:type="dxa"/>
            <w:right w:w="108" w:type="dxa"/>
          </w:tblCellMar>
        </w:tblPrEx>
        <w:trPr>
          <w:trHeight w:val="12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5D0325BE">
            <w:pPr>
              <w:jc w:val="center"/>
              <w:rPr>
                <w:rFonts w:ascii="宋体" w:hAnsi="宋体" w:cs="宋体"/>
                <w:b/>
                <w:bCs/>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9ABC54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运行成本</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3A253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成本控制成效</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35BE53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“三公”经费变动率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00ABDB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&lt;=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942B3E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39FAD9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E448B3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E7A4E0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738BF2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E967D3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B9774E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D705DA0">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E5793E4">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8237CE5">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D5A14A1">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74604CC">
            <w:pPr>
              <w:jc w:val="center"/>
              <w:rPr>
                <w:rFonts w:ascii="宋体" w:hAnsi="宋体" w:cs="宋体"/>
                <w:color w:val="000000"/>
                <w:sz w:val="20"/>
                <w:szCs w:val="20"/>
              </w:rPr>
            </w:pPr>
          </w:p>
        </w:tc>
      </w:tr>
      <w:tr w14:paraId="6BD5BCBF">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61264205">
            <w:pPr>
              <w:jc w:val="center"/>
              <w:rPr>
                <w:rFonts w:ascii="宋体" w:hAnsi="宋体" w:cs="宋体"/>
                <w:b/>
                <w:bCs/>
                <w:color w:val="000000"/>
                <w:sz w:val="20"/>
                <w:szCs w:val="20"/>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25C749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社会效应</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C7A37B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社会效益</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7FD41B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防灾减灾</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9C3A4FA">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7AF5E2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是否有效</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7CA670E">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F64049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63B1B0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25F7B4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1E191F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2CF8604">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9459A0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ED2C36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945C82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05CFE32">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CE8521A">
            <w:pPr>
              <w:jc w:val="center"/>
              <w:rPr>
                <w:rFonts w:ascii="宋体" w:hAnsi="宋体" w:cs="宋体"/>
                <w:color w:val="000000"/>
                <w:sz w:val="20"/>
                <w:szCs w:val="20"/>
              </w:rPr>
            </w:pPr>
          </w:p>
        </w:tc>
      </w:tr>
      <w:tr w14:paraId="25773F98">
        <w:tblPrEx>
          <w:tblCellMar>
            <w:top w:w="0" w:type="dxa"/>
            <w:left w:w="108" w:type="dxa"/>
            <w:bottom w:w="0" w:type="dxa"/>
            <w:right w:w="108" w:type="dxa"/>
          </w:tblCellMar>
        </w:tblPrEx>
        <w:trPr>
          <w:trHeight w:val="12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55B0CE9D">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A0B64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B0D97F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社会公众满意度</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20EF4B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当地群众总体满意度</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2BD3E1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&gt;=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AECAE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EBBB21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4D55EC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EA05CE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B3A15C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A7FF61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37EF232">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43833F5">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30D1CBD">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C60A6AF">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783C404">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714F2BB">
            <w:pPr>
              <w:jc w:val="center"/>
              <w:rPr>
                <w:rFonts w:ascii="宋体" w:hAnsi="宋体" w:cs="宋体"/>
                <w:color w:val="000000"/>
                <w:sz w:val="20"/>
                <w:szCs w:val="20"/>
              </w:rPr>
            </w:pPr>
          </w:p>
        </w:tc>
      </w:tr>
      <w:tr w14:paraId="6F5C52A8">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3C231136">
            <w:pPr>
              <w:jc w:val="center"/>
              <w:rPr>
                <w:rFonts w:ascii="宋体" w:hAnsi="宋体" w:cs="宋体"/>
                <w:b/>
                <w:bCs/>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AC8758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可持续性</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3EAD42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体制机制改革</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D1E751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自然资源资产产权制度改革</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90004B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D1698C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是否有效</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FFA754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99DE2B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2CA175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5D7FF8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0B47B8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5CA3530">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4040E7F">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3E2E650">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6365112">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176BF5B">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8DC4328">
            <w:pPr>
              <w:jc w:val="center"/>
              <w:rPr>
                <w:rFonts w:ascii="宋体" w:hAnsi="宋体" w:cs="宋体"/>
                <w:color w:val="000000"/>
                <w:sz w:val="20"/>
                <w:szCs w:val="20"/>
              </w:rPr>
            </w:pPr>
          </w:p>
        </w:tc>
      </w:tr>
      <w:tr w14:paraId="0BB297B9">
        <w:tblPrEx>
          <w:tblCellMar>
            <w:top w:w="0" w:type="dxa"/>
            <w:left w:w="108" w:type="dxa"/>
            <w:bottom w:w="0" w:type="dxa"/>
            <w:right w:w="108" w:type="dxa"/>
          </w:tblCellMar>
        </w:tblPrEx>
        <w:trPr>
          <w:trHeight w:val="285" w:hRule="atLeast"/>
        </w:trPr>
        <w:tc>
          <w:tcPr>
            <w:tcW w:w="0" w:type="auto"/>
            <w:gridSpan w:val="11"/>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97D173">
            <w:pPr>
              <w:widowControl/>
              <w:jc w:val="center"/>
              <w:textAlignment w:val="bottom"/>
              <w:rPr>
                <w:rFonts w:ascii="宋体" w:hAnsi="宋体" w:cs="宋体"/>
                <w:color w:val="000000"/>
                <w:sz w:val="22"/>
                <w:szCs w:val="22"/>
              </w:rPr>
            </w:pPr>
            <w:r>
              <w:rPr>
                <w:rFonts w:hint="eastAsia" w:ascii="宋体" w:hAnsi="宋体" w:cs="宋体"/>
                <w:color w:val="000000"/>
                <w:kern w:val="0"/>
                <w:sz w:val="22"/>
                <w:szCs w:val="22"/>
              </w:rPr>
              <w:t>总评价得分</w:t>
            </w:r>
          </w:p>
        </w:tc>
        <w:tc>
          <w:tcPr>
            <w:tcW w:w="0" w:type="auto"/>
            <w:gridSpan w:val="8"/>
            <w:tcBorders>
              <w:top w:val="single" w:color="000000" w:sz="4" w:space="0"/>
              <w:left w:val="nil"/>
              <w:bottom w:val="single" w:color="000000" w:sz="4" w:space="0"/>
              <w:right w:val="single" w:color="000000" w:sz="4" w:space="0"/>
            </w:tcBorders>
            <w:shd w:val="clear" w:color="auto" w:fill="auto"/>
            <w:noWrap/>
            <w:vAlign w:val="bottom"/>
          </w:tcPr>
          <w:p w14:paraId="3B825A43">
            <w:pPr>
              <w:widowControl/>
              <w:jc w:val="center"/>
              <w:textAlignment w:val="bottom"/>
              <w:rPr>
                <w:rFonts w:ascii="宋体" w:hAnsi="宋体" w:cs="宋体"/>
                <w:color w:val="000000"/>
                <w:sz w:val="22"/>
                <w:szCs w:val="22"/>
              </w:rPr>
            </w:pPr>
            <w:r>
              <w:rPr>
                <w:rFonts w:hint="eastAsia" w:ascii="宋体" w:hAnsi="宋体" w:cs="宋体"/>
                <w:color w:val="000000"/>
                <w:kern w:val="0"/>
                <w:sz w:val="22"/>
                <w:szCs w:val="22"/>
              </w:rPr>
              <w:t>85</w:t>
            </w:r>
          </w:p>
        </w:tc>
      </w:tr>
      <w:tr w14:paraId="2C2C435D">
        <w:tblPrEx>
          <w:tblCellMar>
            <w:top w:w="0" w:type="dxa"/>
            <w:left w:w="108" w:type="dxa"/>
            <w:bottom w:w="0" w:type="dxa"/>
            <w:right w:w="108" w:type="dxa"/>
          </w:tblCellMar>
        </w:tblPrEx>
        <w:trPr>
          <w:trHeight w:val="285" w:hRule="atLeast"/>
        </w:trPr>
        <w:tc>
          <w:tcPr>
            <w:tcW w:w="0" w:type="auto"/>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CEBAF38">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结果应用建议</w:t>
            </w: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45F8C06">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结果应用建议选项</w:t>
            </w: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7C2920F">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具体建议内容</w:t>
            </w:r>
          </w:p>
        </w:tc>
      </w:tr>
      <w:tr w14:paraId="1F6E8225">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FA6F70">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71F0023">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建议进一步规范预算管理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F7B944F">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C4DF7CD">
            <w:pPr>
              <w:jc w:val="center"/>
              <w:rPr>
                <w:rFonts w:ascii="宋体" w:hAnsi="宋体" w:cs="宋体"/>
                <w:color w:val="000000"/>
                <w:sz w:val="20"/>
                <w:szCs w:val="20"/>
              </w:rPr>
            </w:pPr>
          </w:p>
        </w:tc>
      </w:tr>
      <w:tr w14:paraId="013B442D">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C99C9E">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01F780F">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建议改进业务管理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66CFAF">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6B39A2D">
            <w:pPr>
              <w:jc w:val="center"/>
              <w:rPr>
                <w:rFonts w:ascii="宋体" w:hAnsi="宋体" w:cs="宋体"/>
                <w:color w:val="000000"/>
                <w:sz w:val="20"/>
                <w:szCs w:val="20"/>
              </w:rPr>
            </w:pPr>
          </w:p>
        </w:tc>
      </w:tr>
      <w:tr w14:paraId="3B465C3B">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6C7B032">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455F00C">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建议改进预算编制管理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B0C3205">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6A2E055F">
            <w:pPr>
              <w:jc w:val="center"/>
              <w:rPr>
                <w:rFonts w:ascii="宋体" w:hAnsi="宋体" w:cs="宋体"/>
                <w:color w:val="000000"/>
                <w:sz w:val="20"/>
                <w:szCs w:val="20"/>
              </w:rPr>
            </w:pPr>
          </w:p>
        </w:tc>
      </w:tr>
      <w:tr w14:paraId="2D31FED7">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E8182E">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5E2EA39">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建议进一步提升预算执行效率和效益</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DC59C8F">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06ECA0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进一步提高预算执行率，年初各科室申请预算经费必须于当年支付，保证支付率90%以上，否则不予申请。</w:t>
            </w:r>
          </w:p>
        </w:tc>
      </w:tr>
      <w:tr w14:paraId="5D41F0CA">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ACDFBC">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A4DD2BD">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建议改进资产管理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FC10E09">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D36F2B9">
            <w:pPr>
              <w:jc w:val="center"/>
              <w:rPr>
                <w:rFonts w:ascii="宋体" w:hAnsi="宋体" w:cs="宋体"/>
                <w:color w:val="000000"/>
                <w:sz w:val="20"/>
                <w:szCs w:val="20"/>
              </w:rPr>
            </w:pPr>
          </w:p>
        </w:tc>
      </w:tr>
      <w:tr w14:paraId="1C0761BC">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ADBD272">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4237271">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建议改进政府采购管理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112F51A">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11E46BA">
            <w:pPr>
              <w:jc w:val="center"/>
              <w:rPr>
                <w:rFonts w:ascii="宋体" w:hAnsi="宋体" w:cs="宋体"/>
                <w:color w:val="000000"/>
                <w:sz w:val="20"/>
                <w:szCs w:val="20"/>
              </w:rPr>
            </w:pPr>
          </w:p>
        </w:tc>
      </w:tr>
      <w:tr w14:paraId="57061C0F">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D7845F1">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C5C2DF0">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建议调整公共服务标准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0B85FAD">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722B927">
            <w:pPr>
              <w:jc w:val="center"/>
              <w:rPr>
                <w:rFonts w:ascii="宋体" w:hAnsi="宋体" w:cs="宋体"/>
                <w:color w:val="000000"/>
                <w:sz w:val="20"/>
                <w:szCs w:val="20"/>
              </w:rPr>
            </w:pPr>
          </w:p>
        </w:tc>
      </w:tr>
      <w:tr w14:paraId="0C56A84C">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24026F9">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3919A7F">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结果应用建议_建议核减下一年度经费数额</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29FB215">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F191736">
            <w:pPr>
              <w:jc w:val="center"/>
              <w:rPr>
                <w:rFonts w:ascii="宋体" w:hAnsi="宋体" w:cs="宋体"/>
                <w:color w:val="000000"/>
                <w:sz w:val="20"/>
                <w:szCs w:val="20"/>
              </w:rPr>
            </w:pPr>
          </w:p>
        </w:tc>
      </w:tr>
      <w:tr w14:paraId="7BBB1026">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8519E4">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52C8FA7">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建议消减低效、无效资金或结构调整</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5690B27">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B79A551">
            <w:pPr>
              <w:jc w:val="center"/>
              <w:rPr>
                <w:rFonts w:ascii="宋体" w:hAnsi="宋体" w:cs="宋体"/>
                <w:color w:val="000000"/>
                <w:sz w:val="20"/>
                <w:szCs w:val="20"/>
              </w:rPr>
            </w:pPr>
          </w:p>
        </w:tc>
      </w:tr>
      <w:tr w14:paraId="6457D697">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07497BC">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AD06E5E">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建议回收长期沉淀的资金</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B4774A6">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2278ABC">
            <w:pPr>
              <w:jc w:val="center"/>
              <w:rPr>
                <w:rFonts w:ascii="宋体" w:hAnsi="宋体" w:cs="宋体"/>
                <w:color w:val="000000"/>
                <w:sz w:val="20"/>
                <w:szCs w:val="20"/>
              </w:rPr>
            </w:pPr>
          </w:p>
        </w:tc>
      </w:tr>
      <w:tr w14:paraId="23690ED1">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0AA9AE2">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8B01ABA">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其他建议</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8A16CBA">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EF4C951">
            <w:pPr>
              <w:jc w:val="center"/>
              <w:rPr>
                <w:rFonts w:ascii="宋体" w:hAnsi="宋体" w:cs="宋体"/>
                <w:color w:val="000000"/>
                <w:sz w:val="20"/>
                <w:szCs w:val="20"/>
              </w:rPr>
            </w:pPr>
          </w:p>
        </w:tc>
      </w:tr>
      <w:tr w14:paraId="12969B68">
        <w:tblPrEx>
          <w:tblCellMar>
            <w:top w:w="0" w:type="dxa"/>
            <w:left w:w="108" w:type="dxa"/>
            <w:bottom w:w="0" w:type="dxa"/>
            <w:right w:w="108" w:type="dxa"/>
          </w:tblCellMar>
        </w:tblPrEx>
        <w:trPr>
          <w:trHeight w:val="285" w:hRule="atLeast"/>
        </w:trPr>
        <w:tc>
          <w:tcPr>
            <w:tcW w:w="0" w:type="auto"/>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DEF62EC">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主管部门审核意见</w:t>
            </w: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01D3CF2">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建议继续全额安排</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6E87A32">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F9B61F6">
            <w:pPr>
              <w:jc w:val="center"/>
              <w:rPr>
                <w:rFonts w:ascii="宋体" w:hAnsi="宋体" w:cs="宋体"/>
                <w:color w:val="000000"/>
                <w:sz w:val="20"/>
                <w:szCs w:val="20"/>
              </w:rPr>
            </w:pPr>
          </w:p>
        </w:tc>
      </w:tr>
      <w:tr w14:paraId="0F7087CE">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D67D23">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147836C">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建议继续安排，按规定调整下一年度预算金额</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4132391">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E8BC8B0">
            <w:pPr>
              <w:jc w:val="center"/>
              <w:rPr>
                <w:rFonts w:ascii="宋体" w:hAnsi="宋体" w:cs="宋体"/>
                <w:color w:val="000000"/>
                <w:sz w:val="20"/>
                <w:szCs w:val="20"/>
              </w:rPr>
            </w:pPr>
          </w:p>
        </w:tc>
      </w:tr>
      <w:tr w14:paraId="69F55691">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903635">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14E5FA1">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规范预算管理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E316655">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C804B26">
            <w:pPr>
              <w:jc w:val="center"/>
              <w:rPr>
                <w:rFonts w:ascii="宋体" w:hAnsi="宋体" w:cs="宋体"/>
                <w:color w:val="000000"/>
                <w:sz w:val="20"/>
                <w:szCs w:val="20"/>
              </w:rPr>
            </w:pPr>
          </w:p>
        </w:tc>
      </w:tr>
      <w:tr w14:paraId="7FC7F15A">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B2EB51">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5476D95">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改进业务管理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A75E183">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D5BD960">
            <w:pPr>
              <w:jc w:val="center"/>
              <w:rPr>
                <w:rFonts w:ascii="宋体" w:hAnsi="宋体" w:cs="宋体"/>
                <w:color w:val="000000"/>
                <w:sz w:val="20"/>
                <w:szCs w:val="20"/>
              </w:rPr>
            </w:pPr>
          </w:p>
        </w:tc>
      </w:tr>
      <w:tr w14:paraId="486921A3">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74F6A4">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9EEA719">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改进预算编制管理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8374115">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412A267">
            <w:pPr>
              <w:jc w:val="center"/>
              <w:rPr>
                <w:rFonts w:ascii="宋体" w:hAnsi="宋体" w:cs="宋体"/>
                <w:color w:val="000000"/>
                <w:sz w:val="20"/>
                <w:szCs w:val="20"/>
              </w:rPr>
            </w:pPr>
          </w:p>
        </w:tc>
      </w:tr>
      <w:tr w14:paraId="08DC5836">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81B538">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F809E86">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提升预算执行效率和效益</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D0319C1">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90C270B">
            <w:pPr>
              <w:jc w:val="center"/>
              <w:rPr>
                <w:rFonts w:ascii="宋体" w:hAnsi="宋体" w:cs="宋体"/>
                <w:color w:val="000000"/>
                <w:sz w:val="20"/>
                <w:szCs w:val="20"/>
              </w:rPr>
            </w:pPr>
          </w:p>
        </w:tc>
      </w:tr>
      <w:tr w14:paraId="2B2C0F0E">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B207DC0">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DC9BEA3">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改进资产管理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C4FE05A">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25B6741">
            <w:pPr>
              <w:jc w:val="center"/>
              <w:rPr>
                <w:rFonts w:ascii="宋体" w:hAnsi="宋体" w:cs="宋体"/>
                <w:color w:val="000000"/>
                <w:sz w:val="20"/>
                <w:szCs w:val="20"/>
              </w:rPr>
            </w:pPr>
          </w:p>
        </w:tc>
      </w:tr>
      <w:tr w14:paraId="376CA9D0">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6D93B6B">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9E563E8">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改进政府采购管理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3912631">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2A40116">
            <w:pPr>
              <w:jc w:val="center"/>
              <w:rPr>
                <w:rFonts w:ascii="宋体" w:hAnsi="宋体" w:cs="宋体"/>
                <w:color w:val="000000"/>
                <w:sz w:val="20"/>
                <w:szCs w:val="20"/>
              </w:rPr>
            </w:pPr>
          </w:p>
        </w:tc>
      </w:tr>
      <w:tr w14:paraId="6801B01B">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ACCB80C">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A5DAD71">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调整公共服务标准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CD022EB">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76C1E9A">
            <w:pPr>
              <w:jc w:val="center"/>
              <w:rPr>
                <w:rFonts w:ascii="宋体" w:hAnsi="宋体" w:cs="宋体"/>
                <w:color w:val="000000"/>
                <w:sz w:val="20"/>
                <w:szCs w:val="20"/>
              </w:rPr>
            </w:pPr>
          </w:p>
        </w:tc>
      </w:tr>
      <w:tr w14:paraId="52A3F36C">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132D04">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B174B2E">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削减低效、无效资金</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8751CD3">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ADDB6F9">
            <w:pPr>
              <w:jc w:val="center"/>
              <w:rPr>
                <w:rFonts w:ascii="宋体" w:hAnsi="宋体" w:cs="宋体"/>
                <w:color w:val="000000"/>
                <w:sz w:val="20"/>
                <w:szCs w:val="20"/>
              </w:rPr>
            </w:pPr>
          </w:p>
        </w:tc>
      </w:tr>
      <w:tr w14:paraId="6D0E8D55">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207BD5">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40D75C8">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对资金结构进行调整</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AF92FE4">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E3FF2F6">
            <w:pPr>
              <w:jc w:val="center"/>
              <w:rPr>
                <w:rFonts w:ascii="宋体" w:hAnsi="宋体" w:cs="宋体"/>
                <w:color w:val="000000"/>
                <w:sz w:val="20"/>
                <w:szCs w:val="20"/>
              </w:rPr>
            </w:pPr>
          </w:p>
        </w:tc>
      </w:tr>
      <w:tr w14:paraId="5094B13D">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07DFC34">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784F802">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收回长期沉淀的资金</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DECBF06">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35A8EF9">
            <w:pPr>
              <w:jc w:val="center"/>
              <w:rPr>
                <w:rFonts w:ascii="宋体" w:hAnsi="宋体" w:cs="宋体"/>
                <w:color w:val="000000"/>
                <w:sz w:val="20"/>
                <w:szCs w:val="20"/>
              </w:rPr>
            </w:pPr>
          </w:p>
        </w:tc>
      </w:tr>
      <w:tr w14:paraId="3422FBFE">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4B9F02">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1B9BFAD">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其他意见</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68F2114">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47497BE">
            <w:pPr>
              <w:jc w:val="center"/>
              <w:rPr>
                <w:rFonts w:ascii="宋体" w:hAnsi="宋体" w:cs="宋体"/>
                <w:color w:val="000000"/>
                <w:sz w:val="20"/>
                <w:szCs w:val="20"/>
              </w:rPr>
            </w:pPr>
          </w:p>
        </w:tc>
      </w:tr>
      <w:tr w14:paraId="2ACEF5BD">
        <w:tblPrEx>
          <w:tblCellMar>
            <w:top w:w="0" w:type="dxa"/>
            <w:left w:w="108" w:type="dxa"/>
            <w:bottom w:w="0" w:type="dxa"/>
            <w:right w:w="108" w:type="dxa"/>
          </w:tblCellMar>
        </w:tblPrEx>
        <w:trPr>
          <w:trHeight w:val="285" w:hRule="atLeast"/>
        </w:trPr>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D6D23A0">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主管部门总体意见</w:t>
            </w:r>
          </w:p>
        </w:tc>
        <w:tc>
          <w:tcPr>
            <w:tcW w:w="0" w:type="auto"/>
            <w:gridSpan w:val="16"/>
            <w:tcBorders>
              <w:top w:val="single" w:color="000000" w:sz="4" w:space="0"/>
              <w:left w:val="single" w:color="000000" w:sz="4" w:space="0"/>
              <w:bottom w:val="single" w:color="000000" w:sz="4" w:space="0"/>
              <w:right w:val="single" w:color="000000" w:sz="4" w:space="0"/>
            </w:tcBorders>
            <w:shd w:val="clear" w:color="auto" w:fill="FFFFFF"/>
            <w:vAlign w:val="center"/>
          </w:tcPr>
          <w:p w14:paraId="5C74B35C">
            <w:pPr>
              <w:jc w:val="center"/>
              <w:rPr>
                <w:rFonts w:ascii="宋体" w:hAnsi="宋体" w:cs="宋体"/>
                <w:color w:val="000000"/>
                <w:sz w:val="20"/>
                <w:szCs w:val="20"/>
              </w:rPr>
            </w:pPr>
          </w:p>
        </w:tc>
      </w:tr>
      <w:tr w14:paraId="7984C90A">
        <w:tblPrEx>
          <w:tblCellMar>
            <w:top w:w="0" w:type="dxa"/>
            <w:left w:w="108" w:type="dxa"/>
            <w:bottom w:w="0" w:type="dxa"/>
            <w:right w:w="108" w:type="dxa"/>
          </w:tblCellMar>
        </w:tblPrEx>
        <w:trPr>
          <w:trHeight w:val="285" w:hRule="atLeast"/>
        </w:trPr>
        <w:tc>
          <w:tcPr>
            <w:tcW w:w="0" w:type="auto"/>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228CB8D">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财政部门审核意见</w:t>
            </w: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6E340F3">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建议继续全额安排</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C22AAC0">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9D88D18">
            <w:pPr>
              <w:jc w:val="center"/>
              <w:rPr>
                <w:rFonts w:ascii="宋体" w:hAnsi="宋体" w:cs="宋体"/>
                <w:color w:val="000000"/>
                <w:sz w:val="20"/>
                <w:szCs w:val="20"/>
              </w:rPr>
            </w:pPr>
          </w:p>
        </w:tc>
      </w:tr>
      <w:tr w14:paraId="066BAAAB">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1F695E">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BC912AA">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建议继续安排，按规定调整下一年度预算金额</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06009C6">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2D236B1">
            <w:pPr>
              <w:jc w:val="center"/>
              <w:rPr>
                <w:rFonts w:ascii="宋体" w:hAnsi="宋体" w:cs="宋体"/>
                <w:color w:val="000000"/>
                <w:sz w:val="20"/>
                <w:szCs w:val="20"/>
              </w:rPr>
            </w:pPr>
          </w:p>
        </w:tc>
      </w:tr>
      <w:tr w14:paraId="4A98B7DA">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C05E68A">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CB85D7">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规范预算管理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FC7D6E6">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6BF39CD">
            <w:pPr>
              <w:jc w:val="center"/>
              <w:rPr>
                <w:rFonts w:ascii="宋体" w:hAnsi="宋体" w:cs="宋体"/>
                <w:color w:val="000000"/>
                <w:sz w:val="20"/>
                <w:szCs w:val="20"/>
              </w:rPr>
            </w:pPr>
          </w:p>
        </w:tc>
      </w:tr>
      <w:tr w14:paraId="6DDDEE93">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A240EBA">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6373B70">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改进业务管理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64719D4">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9BFD01B">
            <w:pPr>
              <w:jc w:val="center"/>
              <w:rPr>
                <w:rFonts w:ascii="宋体" w:hAnsi="宋体" w:cs="宋体"/>
                <w:color w:val="000000"/>
                <w:sz w:val="20"/>
                <w:szCs w:val="20"/>
              </w:rPr>
            </w:pPr>
          </w:p>
        </w:tc>
      </w:tr>
      <w:tr w14:paraId="121DEF99">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ACC424">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605BC61">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改进预算编制管理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CB1FD5F">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3D3FF3E">
            <w:pPr>
              <w:jc w:val="center"/>
              <w:rPr>
                <w:rFonts w:ascii="宋体" w:hAnsi="宋体" w:cs="宋体"/>
                <w:color w:val="000000"/>
                <w:sz w:val="20"/>
                <w:szCs w:val="20"/>
              </w:rPr>
            </w:pPr>
          </w:p>
        </w:tc>
      </w:tr>
      <w:tr w14:paraId="58814505">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E98115">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8C1420B">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提升预算执行效率和效益</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EF14FEF">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D31063D">
            <w:pPr>
              <w:jc w:val="center"/>
              <w:rPr>
                <w:rFonts w:ascii="宋体" w:hAnsi="宋体" w:cs="宋体"/>
                <w:color w:val="000000"/>
                <w:sz w:val="20"/>
                <w:szCs w:val="20"/>
              </w:rPr>
            </w:pPr>
          </w:p>
        </w:tc>
      </w:tr>
      <w:tr w14:paraId="69A9C736">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8C010F6">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3C49086">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改进资产管理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C488003">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A194C0E">
            <w:pPr>
              <w:jc w:val="center"/>
              <w:rPr>
                <w:rFonts w:ascii="宋体" w:hAnsi="宋体" w:cs="宋体"/>
                <w:color w:val="000000"/>
                <w:sz w:val="20"/>
                <w:szCs w:val="20"/>
              </w:rPr>
            </w:pPr>
          </w:p>
        </w:tc>
      </w:tr>
      <w:tr w14:paraId="12707799">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9D910D">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3A6766A">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改进政府采购管理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0436D9B">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D136902">
            <w:pPr>
              <w:jc w:val="center"/>
              <w:rPr>
                <w:rFonts w:ascii="宋体" w:hAnsi="宋体" w:cs="宋体"/>
                <w:color w:val="000000"/>
                <w:sz w:val="20"/>
                <w:szCs w:val="20"/>
              </w:rPr>
            </w:pPr>
          </w:p>
        </w:tc>
      </w:tr>
      <w:tr w14:paraId="3CE6DE39">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6A6DCF0">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D4FEF41">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调整公共服务标准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ADB2A2D">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C8972BF">
            <w:pPr>
              <w:jc w:val="center"/>
              <w:rPr>
                <w:rFonts w:ascii="宋体" w:hAnsi="宋体" w:cs="宋体"/>
                <w:color w:val="000000"/>
                <w:sz w:val="20"/>
                <w:szCs w:val="20"/>
              </w:rPr>
            </w:pPr>
          </w:p>
        </w:tc>
      </w:tr>
      <w:tr w14:paraId="7DA1DD51">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F8A596">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C9E6776">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削减低效、无效资金</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E749D8B">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BCF8548">
            <w:pPr>
              <w:jc w:val="center"/>
              <w:rPr>
                <w:rFonts w:ascii="宋体" w:hAnsi="宋体" w:cs="宋体"/>
                <w:color w:val="000000"/>
                <w:sz w:val="20"/>
                <w:szCs w:val="20"/>
              </w:rPr>
            </w:pPr>
          </w:p>
        </w:tc>
      </w:tr>
      <w:tr w14:paraId="007388A6">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8D7E74">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D9FAF5C">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对资金结构进行调整</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7E68342">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22F129D">
            <w:pPr>
              <w:jc w:val="center"/>
              <w:rPr>
                <w:rFonts w:ascii="宋体" w:hAnsi="宋体" w:cs="宋体"/>
                <w:color w:val="000000"/>
                <w:sz w:val="20"/>
                <w:szCs w:val="20"/>
              </w:rPr>
            </w:pPr>
          </w:p>
        </w:tc>
      </w:tr>
      <w:tr w14:paraId="16686060">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7A8FDF3">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1FC6013">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收回长期沉淀的资金</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DA6832B">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A904E12">
            <w:pPr>
              <w:jc w:val="center"/>
              <w:rPr>
                <w:rFonts w:ascii="宋体" w:hAnsi="宋体" w:cs="宋体"/>
                <w:color w:val="000000"/>
                <w:sz w:val="20"/>
                <w:szCs w:val="20"/>
              </w:rPr>
            </w:pPr>
          </w:p>
        </w:tc>
      </w:tr>
      <w:tr w14:paraId="1A18D9E2">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E6B9C6E">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4295286">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其他意见</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ABDAF79">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622C82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强化绩效目标管理，提高绩效管理水平</w:t>
            </w:r>
          </w:p>
        </w:tc>
      </w:tr>
      <w:tr w14:paraId="10084DA2">
        <w:tblPrEx>
          <w:tblCellMar>
            <w:top w:w="0" w:type="dxa"/>
            <w:left w:w="108" w:type="dxa"/>
            <w:bottom w:w="0" w:type="dxa"/>
            <w:right w:w="108" w:type="dxa"/>
          </w:tblCellMar>
        </w:tblPrEx>
        <w:trPr>
          <w:trHeight w:val="696" w:hRule="atLeast"/>
        </w:trPr>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AE4D259">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财政部门总体意见</w:t>
            </w:r>
          </w:p>
        </w:tc>
        <w:tc>
          <w:tcPr>
            <w:tcW w:w="0" w:type="auto"/>
            <w:gridSpan w:val="16"/>
            <w:tcBorders>
              <w:top w:val="single" w:color="000000" w:sz="4" w:space="0"/>
              <w:left w:val="single" w:color="000000" w:sz="4" w:space="0"/>
              <w:bottom w:val="single" w:color="000000" w:sz="4" w:space="0"/>
              <w:right w:val="single" w:color="000000" w:sz="4" w:space="0"/>
            </w:tcBorders>
            <w:shd w:val="clear" w:color="auto" w:fill="FFFFFF"/>
            <w:vAlign w:val="center"/>
          </w:tcPr>
          <w:p w14:paraId="0777C31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强化绩效目标管理，提高绩效管理水平</w:t>
            </w:r>
          </w:p>
        </w:tc>
      </w:tr>
    </w:tbl>
    <w:p w14:paraId="7B5DE233">
      <w:pPr>
        <w:widowControl/>
        <w:jc w:val="center"/>
        <w:rPr>
          <w:rFonts w:ascii="仿宋_GB2312" w:hAnsi="宋体" w:eastAsia="仿宋_GB2312" w:cs="仿宋_GB2312"/>
          <w:sz w:val="32"/>
          <w:szCs w:val="32"/>
        </w:rPr>
      </w:pPr>
      <w:r>
        <w:rPr>
          <w:rFonts w:hint="eastAsia" w:ascii="仿宋_GB2312" w:hAnsi="宋体" w:eastAsia="仿宋_GB2312" w:cs="仿宋_GB2312"/>
          <w:sz w:val="32"/>
          <w:szCs w:val="32"/>
        </w:rPr>
        <w:br w:type="page"/>
      </w:r>
    </w:p>
    <w:tbl>
      <w:tblPr>
        <w:tblStyle w:val="4"/>
        <w:tblW w:w="0" w:type="auto"/>
        <w:tblInd w:w="93" w:type="dxa"/>
        <w:tblLayout w:type="autofit"/>
        <w:tblCellMar>
          <w:top w:w="0" w:type="dxa"/>
          <w:left w:w="108" w:type="dxa"/>
          <w:bottom w:w="0" w:type="dxa"/>
          <w:right w:w="108" w:type="dxa"/>
        </w:tblCellMar>
      </w:tblPr>
      <w:tblGrid>
        <w:gridCol w:w="387"/>
        <w:gridCol w:w="387"/>
        <w:gridCol w:w="387"/>
        <w:gridCol w:w="388"/>
        <w:gridCol w:w="388"/>
        <w:gridCol w:w="472"/>
        <w:gridCol w:w="388"/>
        <w:gridCol w:w="899"/>
        <w:gridCol w:w="388"/>
        <w:gridCol w:w="472"/>
        <w:gridCol w:w="559"/>
        <w:gridCol w:w="628"/>
        <w:gridCol w:w="388"/>
        <w:gridCol w:w="388"/>
        <w:gridCol w:w="388"/>
        <w:gridCol w:w="388"/>
        <w:gridCol w:w="472"/>
        <w:gridCol w:w="472"/>
        <w:gridCol w:w="388"/>
      </w:tblGrid>
      <w:tr w14:paraId="065D28E2">
        <w:tblPrEx>
          <w:tblCellMar>
            <w:top w:w="0" w:type="dxa"/>
            <w:left w:w="108" w:type="dxa"/>
            <w:bottom w:w="0" w:type="dxa"/>
            <w:right w:w="108" w:type="dxa"/>
          </w:tblCellMar>
        </w:tblPrEx>
        <w:trPr>
          <w:trHeight w:val="624" w:hRule="atLeast"/>
        </w:trPr>
        <w:tc>
          <w:tcPr>
            <w:tcW w:w="0" w:type="auto"/>
            <w:gridSpan w:val="19"/>
            <w:vMerge w:val="restart"/>
            <w:tcBorders>
              <w:top w:val="nil"/>
              <w:left w:val="nil"/>
              <w:bottom w:val="nil"/>
              <w:right w:val="nil"/>
            </w:tcBorders>
            <w:shd w:val="clear" w:color="auto" w:fill="FFFFFF"/>
            <w:vAlign w:val="center"/>
          </w:tcPr>
          <w:p w14:paraId="0BC5BB9F">
            <w:pPr>
              <w:widowControl/>
              <w:jc w:val="center"/>
              <w:textAlignment w:val="center"/>
              <w:rPr>
                <w:rFonts w:ascii="宋体" w:hAnsi="宋体" w:cs="宋体"/>
                <w:b/>
                <w:bCs/>
                <w:color w:val="000000"/>
                <w:sz w:val="32"/>
                <w:szCs w:val="32"/>
              </w:rPr>
            </w:pPr>
            <w:r>
              <w:rPr>
                <w:rFonts w:hint="eastAsia" w:ascii="宋体" w:hAnsi="宋体" w:cs="宋体"/>
                <w:b/>
                <w:bCs/>
                <w:color w:val="000000"/>
                <w:kern w:val="0"/>
                <w:sz w:val="32"/>
                <w:szCs w:val="32"/>
              </w:rPr>
              <w:t>部门（单位）整体绩效自评表</w:t>
            </w:r>
            <w:r>
              <w:rPr>
                <w:rFonts w:hint="eastAsia" w:ascii="宋体" w:hAnsi="宋体" w:cs="宋体"/>
                <w:b/>
                <w:bCs/>
                <w:color w:val="000000"/>
                <w:kern w:val="0"/>
                <w:sz w:val="32"/>
                <w:szCs w:val="32"/>
              </w:rPr>
              <w:br w:type="textWrapping"/>
            </w:r>
            <w:r>
              <w:rPr>
                <w:rStyle w:val="10"/>
                <w:rFonts w:hint="default"/>
              </w:rPr>
              <w:t>（2021年度）</w:t>
            </w:r>
          </w:p>
        </w:tc>
      </w:tr>
      <w:tr w14:paraId="73AAD5A7">
        <w:tblPrEx>
          <w:tblCellMar>
            <w:top w:w="0" w:type="dxa"/>
            <w:left w:w="108" w:type="dxa"/>
            <w:bottom w:w="0" w:type="dxa"/>
            <w:right w:w="108" w:type="dxa"/>
          </w:tblCellMar>
        </w:tblPrEx>
        <w:trPr>
          <w:trHeight w:val="624" w:hRule="atLeast"/>
        </w:trPr>
        <w:tc>
          <w:tcPr>
            <w:tcW w:w="0" w:type="auto"/>
            <w:gridSpan w:val="19"/>
            <w:vMerge w:val="continue"/>
            <w:tcBorders>
              <w:top w:val="nil"/>
              <w:left w:val="nil"/>
              <w:bottom w:val="nil"/>
              <w:right w:val="nil"/>
            </w:tcBorders>
            <w:shd w:val="clear" w:color="auto" w:fill="FFFFFF"/>
            <w:vAlign w:val="center"/>
          </w:tcPr>
          <w:p w14:paraId="52ABDA86">
            <w:pPr>
              <w:jc w:val="center"/>
              <w:rPr>
                <w:rFonts w:ascii="宋体" w:hAnsi="宋体" w:cs="宋体"/>
                <w:b/>
                <w:bCs/>
                <w:color w:val="000000"/>
                <w:sz w:val="32"/>
                <w:szCs w:val="32"/>
              </w:rPr>
            </w:pPr>
          </w:p>
        </w:tc>
      </w:tr>
      <w:tr w14:paraId="3EC7FACC">
        <w:tblPrEx>
          <w:tblCellMar>
            <w:top w:w="0" w:type="dxa"/>
            <w:left w:w="108" w:type="dxa"/>
            <w:bottom w:w="0" w:type="dxa"/>
            <w:right w:w="108" w:type="dxa"/>
          </w:tblCellMar>
        </w:tblPrEx>
        <w:trPr>
          <w:trHeight w:val="624" w:hRule="atLeast"/>
        </w:trPr>
        <w:tc>
          <w:tcPr>
            <w:tcW w:w="0" w:type="auto"/>
            <w:gridSpan w:val="19"/>
            <w:vMerge w:val="continue"/>
            <w:tcBorders>
              <w:top w:val="nil"/>
              <w:left w:val="nil"/>
              <w:bottom w:val="nil"/>
              <w:right w:val="nil"/>
            </w:tcBorders>
            <w:shd w:val="clear" w:color="auto" w:fill="FFFFFF"/>
            <w:vAlign w:val="center"/>
          </w:tcPr>
          <w:p w14:paraId="3522AFBD">
            <w:pPr>
              <w:jc w:val="center"/>
              <w:rPr>
                <w:rFonts w:ascii="宋体" w:hAnsi="宋体" w:cs="宋体"/>
                <w:b/>
                <w:bCs/>
                <w:color w:val="000000"/>
                <w:sz w:val="32"/>
                <w:szCs w:val="32"/>
              </w:rPr>
            </w:pPr>
          </w:p>
        </w:tc>
      </w:tr>
      <w:tr w14:paraId="73241A3F">
        <w:tblPrEx>
          <w:tblCellMar>
            <w:top w:w="0" w:type="dxa"/>
            <w:left w:w="108" w:type="dxa"/>
            <w:bottom w:w="0" w:type="dxa"/>
            <w:right w:w="108" w:type="dxa"/>
          </w:tblCellMar>
        </w:tblPrEx>
        <w:trPr>
          <w:trHeight w:val="285"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5F6DDBA3">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部门（单位）名称</w:t>
            </w:r>
          </w:p>
        </w:tc>
        <w:tc>
          <w:tcPr>
            <w:tcW w:w="0" w:type="auto"/>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77999E6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128022盘锦市自然资源事务服务中心-211100000</w:t>
            </w:r>
          </w:p>
        </w:tc>
      </w:tr>
      <w:tr w14:paraId="7BC6438F">
        <w:tblPrEx>
          <w:tblCellMar>
            <w:top w:w="0" w:type="dxa"/>
            <w:left w:w="108" w:type="dxa"/>
            <w:bottom w:w="0" w:type="dxa"/>
            <w:right w:w="108" w:type="dxa"/>
          </w:tblCellMar>
        </w:tblPrEx>
        <w:trPr>
          <w:trHeight w:val="312"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0F455095">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部门年初预算收入金额</w:t>
            </w:r>
          </w:p>
        </w:tc>
        <w:tc>
          <w:tcPr>
            <w:tcW w:w="0" w:type="auto"/>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7689F50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4811.04</w:t>
            </w:r>
          </w:p>
        </w:tc>
      </w:tr>
      <w:tr w14:paraId="7632C51F">
        <w:tblPrEx>
          <w:tblCellMar>
            <w:top w:w="0" w:type="dxa"/>
            <w:left w:w="108" w:type="dxa"/>
            <w:bottom w:w="0" w:type="dxa"/>
            <w:right w:w="108" w:type="dxa"/>
          </w:tblCellMar>
        </w:tblPrEx>
        <w:trPr>
          <w:trHeight w:val="312"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513B3B04">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部门年初预算支出金额</w:t>
            </w:r>
          </w:p>
        </w:tc>
        <w:tc>
          <w:tcPr>
            <w:tcW w:w="0" w:type="auto"/>
            <w:gridSpan w:val="15"/>
            <w:tcBorders>
              <w:top w:val="single" w:color="000000" w:sz="4" w:space="0"/>
              <w:left w:val="single" w:color="000000" w:sz="4" w:space="0"/>
              <w:bottom w:val="single" w:color="000000" w:sz="4" w:space="0"/>
              <w:right w:val="single" w:color="000000" w:sz="4" w:space="0"/>
            </w:tcBorders>
            <w:shd w:val="clear" w:color="auto" w:fill="FFFFFF"/>
            <w:vAlign w:val="center"/>
          </w:tcPr>
          <w:p w14:paraId="1AB9516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4811.04</w:t>
            </w:r>
          </w:p>
        </w:tc>
      </w:tr>
      <w:tr w14:paraId="10F96F52">
        <w:tblPrEx>
          <w:tblCellMar>
            <w:top w:w="0" w:type="dxa"/>
            <w:left w:w="108" w:type="dxa"/>
            <w:bottom w:w="0" w:type="dxa"/>
            <w:right w:w="108" w:type="dxa"/>
          </w:tblCellMar>
        </w:tblPrEx>
        <w:trPr>
          <w:trHeight w:val="31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70CCAE7">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年度主要任务</w:t>
            </w: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0FBAF8A1">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工作名称</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2B1CD5CE">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对应项目</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F6F6AB7">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项目下达金额</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ADAEFCE">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项目执行金额</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F1578C3">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项目执行率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4B290BA">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分值</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44FFC12">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得分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1C7C88A">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完成情况</w:t>
            </w:r>
          </w:p>
        </w:tc>
      </w:tr>
      <w:tr w14:paraId="69519502">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366BD59">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2FE701F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每年将开展季度及全年卫片执法检查工作。</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0BFF430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卫片执法检查经费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9E4311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5.5</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E37204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5.5</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669903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52B7F3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95EAA7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1ABC8E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按照指示如期完成</w:t>
            </w:r>
          </w:p>
        </w:tc>
      </w:tr>
      <w:tr w14:paraId="7590A311">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B0511E">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2F9D4CF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每年全省各市开展自然资源例行督察工作及专项督察工作。</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14FB439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自然资源例行督察工作</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CE4EB2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2.5</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956034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2.5</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23FCBE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D5EAD6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791454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FAEBAD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严格按照指示进行督查工作</w:t>
            </w:r>
          </w:p>
        </w:tc>
      </w:tr>
      <w:tr w14:paraId="4EE3C962">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CFA064D">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32B4D33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不动产登记中心及各不动产登记分中心发放全国统一印制的不动产登记证书和证明。</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7ACC60D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购买不动产登记证书及证明</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CB455A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5.29</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627AC9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5.29</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A4A58C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F6DC7A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6CB6F0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7D7F4A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按采购规定完成采购</w:t>
            </w:r>
          </w:p>
        </w:tc>
      </w:tr>
      <w:tr w14:paraId="0EA47490">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1C02D7E">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EA00A0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2021新增接收执法船两艘，需要上坞维修保养费、船舶停靠费。</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4AF2C9B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海监执法经费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FA8863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25</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F6978C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25</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2DC099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972C97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5A937A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1E7CE1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根据需要合理的支配海监执法经费</w:t>
            </w:r>
          </w:p>
        </w:tc>
      </w:tr>
      <w:tr w14:paraId="0E7748D1">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C10EE1">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138756F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根据</w:t>
            </w:r>
            <w:r>
              <w:rPr>
                <w:rFonts w:hint="eastAsia" w:ascii="宋体" w:hAnsi="宋体" w:cs="宋体"/>
                <w:color w:val="000000"/>
                <w:kern w:val="0"/>
                <w:sz w:val="20"/>
                <w:szCs w:val="20"/>
                <w:lang w:eastAsia="zh-CN"/>
              </w:rPr>
              <w:t>《中华人民共和国土地管理法》</w:t>
            </w:r>
            <w:r>
              <w:rPr>
                <w:rFonts w:hint="eastAsia" w:ascii="宋体" w:hAnsi="宋体" w:cs="宋体"/>
                <w:color w:val="000000"/>
                <w:kern w:val="0"/>
                <w:sz w:val="20"/>
                <w:szCs w:val="20"/>
              </w:rPr>
              <w:t>规定进行违法用地查处，罚没收入用于查处违法用地发生的费用。</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168E2EC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查处违法用地支出</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EFC6D1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4.83</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DC8507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4.83</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37ED4E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39DB82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908E42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2AA474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按照要求严格履行</w:t>
            </w:r>
          </w:p>
        </w:tc>
      </w:tr>
      <w:tr w14:paraId="0C4977BA">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2E4172">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6986943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用于测绘市场监督、地图市场监督、测绘成果质量和保密监督、测绘标志点维护等检查。</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70029ED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测绘地理信息监管经费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CB8919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599038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BAC87C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037DE4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A5807A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A5974A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按照计划规范管理</w:t>
            </w:r>
          </w:p>
        </w:tc>
      </w:tr>
      <w:tr w14:paraId="64D8EFFC">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FF18108">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192C12D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保障网络畅通和网络安全，便于自然资源管理工作审批、备案和视频会议正常开展。</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3BD9F26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自然资源专用网络运营费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C15677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11.68</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B7197D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11.68</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A81B2E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105433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90482D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2F127D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按照年初预算执行</w:t>
            </w:r>
          </w:p>
        </w:tc>
      </w:tr>
      <w:tr w14:paraId="55879F39">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9B6E7AB">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4705CC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不动产登记工作的实际业务需要，长期租用联通及移动光纤。</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04FE16F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不动产联网网络运营费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7C2F11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11.08</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6FA3ECE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11.08</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D6C955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67660C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52C721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9B5DA9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按照年初预算执行</w:t>
            </w:r>
          </w:p>
        </w:tc>
      </w:tr>
      <w:tr w14:paraId="49BC622A">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5DE6AD8">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42E81AB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辽河口生态经济区海域开展“退养还湿”工作。</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1B4821D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退养还湿专项经费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448509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19.996</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78FBE4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19.99</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728928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1BA6DB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403E4A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810D51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严格按照制度执行</w:t>
            </w:r>
          </w:p>
        </w:tc>
      </w:tr>
      <w:tr w14:paraId="1EABD5AD">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99308D">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24BFC4F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通过巡回检查的方式，发现、制止、查处国土资源违法违规行为。</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177CC7E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动态巡查经费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8FC9FF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3</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357BD8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3</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0F443D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4320B4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4A3AA3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E89880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按照上级要求如期完成</w:t>
            </w:r>
          </w:p>
        </w:tc>
      </w:tr>
      <w:tr w14:paraId="73E398DF">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B9592A9">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6541CF1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全年无休，免费向社会公众开放，需配备专业的讲解员，保证参观者的参观需求。</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699B98B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规划展览馆免费开放费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74E1D5C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31.476</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1533EC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31.47</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38B1663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072FDB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E076BE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9F8248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群众满意度在百分之九十以上</w:t>
            </w:r>
          </w:p>
        </w:tc>
      </w:tr>
      <w:tr w14:paraId="2BFD2FDC">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625E0CD">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0E66B7C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制作土地日等宣传资料。</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72AC64C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自然资源业务经费</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F32068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24B3F6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2C6BEB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E6D90F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44FF17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E22F5D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促进社会主义精神文明建设</w:t>
            </w:r>
          </w:p>
        </w:tc>
      </w:tr>
      <w:tr w14:paraId="1CC75D8C">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AC6C7BB">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7BD88E5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保障单位日常工作正常运转</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1F4ABFD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公用经费项目</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D63C65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569.491456</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45EB2B0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569.49</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2CEAA5A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78BD1A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3.6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701C37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3.6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19A474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所有经费按照财务制度执行</w:t>
            </w:r>
          </w:p>
        </w:tc>
      </w:tr>
      <w:tr w14:paraId="71921058">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38D1ACE">
            <w:pPr>
              <w:jc w:val="center"/>
              <w:rPr>
                <w:rFonts w:ascii="宋体" w:hAnsi="宋体" w:cs="宋体"/>
                <w:b/>
                <w:bCs/>
                <w:color w:val="000000"/>
                <w:sz w:val="20"/>
                <w:szCs w:val="20"/>
              </w:rPr>
            </w:pPr>
          </w:p>
        </w:tc>
        <w:tc>
          <w:tcPr>
            <w:tcW w:w="0" w:type="auto"/>
            <w:gridSpan w:val="5"/>
            <w:tcBorders>
              <w:top w:val="single" w:color="000000" w:sz="4" w:space="0"/>
              <w:left w:val="single" w:color="000000" w:sz="4" w:space="0"/>
              <w:bottom w:val="single" w:color="000000" w:sz="4" w:space="0"/>
              <w:right w:val="single" w:color="000000" w:sz="4" w:space="0"/>
            </w:tcBorders>
            <w:shd w:val="clear" w:color="auto" w:fill="FFFFFF"/>
            <w:vAlign w:val="center"/>
          </w:tcPr>
          <w:p w14:paraId="57D7119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保障在职职工工资福利</w:t>
            </w:r>
          </w:p>
        </w:tc>
        <w:tc>
          <w:tcPr>
            <w:tcW w:w="0" w:type="auto"/>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14:paraId="1E3452A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人员类项目</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1B0290E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5230.407124</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512684A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5230.4</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14:paraId="01CE27E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EC30F6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BA853A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2.8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B554E6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在职员工经费全部按人事局核实工资支付</w:t>
            </w:r>
          </w:p>
        </w:tc>
      </w:tr>
      <w:tr w14:paraId="2FCED76B">
        <w:tblPrEx>
          <w:tblCellMar>
            <w:top w:w="0" w:type="dxa"/>
            <w:left w:w="108" w:type="dxa"/>
            <w:bottom w:w="0" w:type="dxa"/>
            <w:right w:w="108" w:type="dxa"/>
          </w:tblCellMar>
        </w:tblPrEx>
        <w:trPr>
          <w:trHeight w:val="31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DDDC41A">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年度目标</w:t>
            </w:r>
          </w:p>
        </w:tc>
        <w:tc>
          <w:tcPr>
            <w:tcW w:w="0" w:type="auto"/>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14:paraId="46C1FB44">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年初总体目标</w:t>
            </w: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3AFEEAC">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全年完成情况</w:t>
            </w:r>
          </w:p>
        </w:tc>
      </w:tr>
      <w:tr w14:paraId="66383B87">
        <w:tblPrEx>
          <w:tblCellMar>
            <w:top w:w="0" w:type="dxa"/>
            <w:left w:w="108" w:type="dxa"/>
            <w:bottom w:w="0" w:type="dxa"/>
            <w:right w:w="108" w:type="dxa"/>
          </w:tblCellMar>
        </w:tblPrEx>
        <w:trPr>
          <w:trHeight w:val="480"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08022D2">
            <w:pPr>
              <w:jc w:val="center"/>
              <w:rPr>
                <w:rFonts w:ascii="宋体" w:hAnsi="宋体" w:cs="宋体"/>
                <w:b/>
                <w:bCs/>
                <w:color w:val="000000"/>
                <w:sz w:val="20"/>
                <w:szCs w:val="20"/>
              </w:rPr>
            </w:pPr>
          </w:p>
        </w:tc>
        <w:tc>
          <w:tcPr>
            <w:tcW w:w="0" w:type="auto"/>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14:paraId="5D364B7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高质量维护群众合法权益，不动产权人合法权益得以有效维护。</w:t>
            </w:r>
            <w:r>
              <w:rPr>
                <w:rFonts w:hint="eastAsia" w:ascii="宋体" w:hAnsi="宋体" w:cs="宋体"/>
                <w:color w:val="000000"/>
                <w:kern w:val="0"/>
                <w:sz w:val="20"/>
                <w:szCs w:val="20"/>
              </w:rPr>
              <w:br w:type="textWrapping"/>
            </w:r>
            <w:r>
              <w:rPr>
                <w:rFonts w:hint="eastAsia" w:ascii="宋体" w:hAnsi="宋体" w:cs="宋体"/>
                <w:color w:val="000000"/>
                <w:kern w:val="0"/>
                <w:sz w:val="20"/>
                <w:szCs w:val="20"/>
              </w:rPr>
              <w:t>有效维护国土空间秩序，有效履行自然资源服务保障职能。</w:t>
            </w: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7492F8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按照要求有效履行自然资源服务保障职能</w:t>
            </w:r>
          </w:p>
        </w:tc>
      </w:tr>
      <w:tr w14:paraId="6EFE6F37">
        <w:tblPrEx>
          <w:tblCellMar>
            <w:top w:w="0" w:type="dxa"/>
            <w:left w:w="108" w:type="dxa"/>
            <w:bottom w:w="0" w:type="dxa"/>
            <w:right w:w="108" w:type="dxa"/>
          </w:tblCellMar>
        </w:tblPrEx>
        <w:trPr>
          <w:trHeight w:val="285" w:hRule="atLeast"/>
        </w:trPr>
        <w:tc>
          <w:tcPr>
            <w:tcW w:w="0" w:type="auto"/>
            <w:vMerge w:val="restart"/>
            <w:tcBorders>
              <w:top w:val="single" w:color="000000" w:sz="4" w:space="0"/>
              <w:left w:val="single" w:color="000000" w:sz="4" w:space="0"/>
              <w:bottom w:val="nil"/>
              <w:right w:val="single" w:color="000000" w:sz="4" w:space="0"/>
            </w:tcBorders>
            <w:shd w:val="clear" w:color="auto" w:fill="FFFFFF"/>
            <w:vAlign w:val="center"/>
          </w:tcPr>
          <w:p w14:paraId="365C863B">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绩效指标</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249FFD85">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一级指标</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76B64389">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二级指标</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089EC46B">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三级指标</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54E7A557">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运算符号</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1CC30B3B">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指标值</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5D9D35CD">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度量单位</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23D86046">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全年完成值</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209D7EB1">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完成程度</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53210B0D">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分值</w:t>
            </w:r>
          </w:p>
        </w:tc>
        <w:tc>
          <w:tcPr>
            <w:tcW w:w="0" w:type="auto"/>
            <w:vMerge w:val="restart"/>
            <w:tcBorders>
              <w:top w:val="nil"/>
              <w:left w:val="single" w:color="000000" w:sz="4" w:space="0"/>
              <w:bottom w:val="single" w:color="000000" w:sz="4" w:space="0"/>
              <w:right w:val="single" w:color="000000" w:sz="4" w:space="0"/>
            </w:tcBorders>
            <w:shd w:val="clear" w:color="auto" w:fill="FFFFFF"/>
            <w:vAlign w:val="center"/>
          </w:tcPr>
          <w:p w14:paraId="3ACD79E8">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得分</w:t>
            </w:r>
          </w:p>
        </w:tc>
        <w:tc>
          <w:tcPr>
            <w:tcW w:w="0" w:type="auto"/>
            <w:gridSpan w:val="5"/>
            <w:tcBorders>
              <w:top w:val="nil"/>
              <w:left w:val="single" w:color="000000" w:sz="4" w:space="0"/>
              <w:bottom w:val="single" w:color="000000" w:sz="4" w:space="0"/>
              <w:right w:val="single" w:color="000000" w:sz="4" w:space="0"/>
            </w:tcBorders>
            <w:shd w:val="clear" w:color="auto" w:fill="FFFFFF"/>
            <w:vAlign w:val="center"/>
          </w:tcPr>
          <w:p w14:paraId="2B15A395">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偏差原因分析</w:t>
            </w:r>
          </w:p>
        </w:tc>
        <w:tc>
          <w:tcPr>
            <w:tcW w:w="0" w:type="auto"/>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A2A492B">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改进措施</w:t>
            </w:r>
          </w:p>
        </w:tc>
      </w:tr>
      <w:tr w14:paraId="3DA4A701">
        <w:tblPrEx>
          <w:tblCellMar>
            <w:top w:w="0" w:type="dxa"/>
            <w:left w:w="108" w:type="dxa"/>
            <w:bottom w:w="0" w:type="dxa"/>
            <w:right w:w="108" w:type="dxa"/>
          </w:tblCellMar>
        </w:tblPrEx>
        <w:trPr>
          <w:trHeight w:val="96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70DDCE1A">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092FC2F7">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0D453FD8">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3D91A3AD">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5F65D516">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1666F7B8">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10D5B263">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4F7808C4">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64507664">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619591B8">
            <w:pPr>
              <w:jc w:val="center"/>
              <w:rPr>
                <w:rFonts w:ascii="宋体" w:hAnsi="宋体" w:cs="宋体"/>
                <w:b/>
                <w:bCs/>
                <w:color w:val="000000"/>
                <w:sz w:val="20"/>
                <w:szCs w:val="20"/>
              </w:rPr>
            </w:pPr>
          </w:p>
        </w:tc>
        <w:tc>
          <w:tcPr>
            <w:tcW w:w="0" w:type="auto"/>
            <w:vMerge w:val="continue"/>
            <w:tcBorders>
              <w:top w:val="nil"/>
              <w:left w:val="single" w:color="000000" w:sz="4" w:space="0"/>
              <w:bottom w:val="single" w:color="000000" w:sz="4" w:space="0"/>
              <w:right w:val="single" w:color="000000" w:sz="4" w:space="0"/>
            </w:tcBorders>
            <w:shd w:val="clear" w:color="auto" w:fill="FFFFFF"/>
            <w:vAlign w:val="center"/>
          </w:tcPr>
          <w:p w14:paraId="3D7A3102">
            <w:pPr>
              <w:jc w:val="center"/>
              <w:rPr>
                <w:rFonts w:ascii="宋体" w:hAnsi="宋体" w:cs="宋体"/>
                <w:b/>
                <w:bCs/>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84BE6A9">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经费保障原因分析</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21604FE">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制度保障原因分析</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59D7906">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人员保障原因分析</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FC6E6B6">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硬件条件保障原因分析</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16636C7">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其他原因分析</w:t>
            </w:r>
          </w:p>
        </w:tc>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C92DA8">
            <w:pPr>
              <w:jc w:val="center"/>
              <w:rPr>
                <w:rFonts w:ascii="宋体" w:hAnsi="宋体" w:cs="宋体"/>
                <w:b/>
                <w:bCs/>
                <w:color w:val="000000"/>
                <w:sz w:val="20"/>
                <w:szCs w:val="20"/>
              </w:rPr>
            </w:pPr>
          </w:p>
        </w:tc>
      </w:tr>
      <w:tr w14:paraId="5F4E4196">
        <w:tblPrEx>
          <w:tblCellMar>
            <w:top w:w="0" w:type="dxa"/>
            <w:left w:w="108" w:type="dxa"/>
            <w:bottom w:w="0" w:type="dxa"/>
            <w:right w:w="108" w:type="dxa"/>
          </w:tblCellMar>
        </w:tblPrEx>
        <w:trPr>
          <w:trHeight w:val="96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446303CB">
            <w:pPr>
              <w:jc w:val="center"/>
              <w:rPr>
                <w:rFonts w:ascii="宋体" w:hAnsi="宋体" w:cs="宋体"/>
                <w:b/>
                <w:bCs/>
                <w:color w:val="000000"/>
                <w:sz w:val="20"/>
                <w:szCs w:val="20"/>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4A51AF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履职效能</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25AA6C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重点工作履行情况</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DBA6D4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重点工作办结率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0C3C8B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39F453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27034A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98AB57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F86E71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9AC6A6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6ADB92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3FE6E00">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368CFAC">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5F2A85A">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325C380">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16258E4">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50695E4">
            <w:pPr>
              <w:jc w:val="center"/>
              <w:rPr>
                <w:rFonts w:ascii="宋体" w:hAnsi="宋体" w:cs="宋体"/>
                <w:color w:val="000000"/>
                <w:sz w:val="20"/>
                <w:szCs w:val="20"/>
              </w:rPr>
            </w:pPr>
          </w:p>
        </w:tc>
      </w:tr>
      <w:tr w14:paraId="10FEA792">
        <w:tblPrEx>
          <w:tblCellMar>
            <w:top w:w="0" w:type="dxa"/>
            <w:left w:w="108" w:type="dxa"/>
            <w:bottom w:w="0" w:type="dxa"/>
            <w:right w:w="108" w:type="dxa"/>
          </w:tblCellMar>
        </w:tblPrEx>
        <w:trPr>
          <w:trHeight w:val="96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5ABA2814">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24871D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D46D08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整体工作完成情况</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B9A78F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总体工作完成率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BE526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F8C9D2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D63913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C7E232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33EAD0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D86E16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EF81BE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39F379D">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1323B6E">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23253FF">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7CCA45A">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32208A5">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09EA2D5">
            <w:pPr>
              <w:jc w:val="center"/>
              <w:rPr>
                <w:rFonts w:ascii="宋体" w:hAnsi="宋体" w:cs="宋体"/>
                <w:color w:val="000000"/>
                <w:sz w:val="20"/>
                <w:szCs w:val="20"/>
              </w:rPr>
            </w:pPr>
          </w:p>
        </w:tc>
      </w:tr>
      <w:tr w14:paraId="541F32FD">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38F9C492">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0BBB6B">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0DB376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基础管理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4E78D3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综合管理水平</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960A004">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71EF5C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管理规范</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8BB5C52">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D9F141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0F6752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AE949A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BA7DBE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6.6</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483B62D">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B237B82">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0D996E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B4FFA0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D1F624B">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3052A16">
            <w:pPr>
              <w:jc w:val="center"/>
              <w:rPr>
                <w:rFonts w:ascii="宋体" w:hAnsi="宋体" w:cs="宋体"/>
                <w:color w:val="000000"/>
                <w:sz w:val="20"/>
                <w:szCs w:val="20"/>
              </w:rPr>
            </w:pPr>
          </w:p>
        </w:tc>
      </w:tr>
      <w:tr w14:paraId="6FEBC62C">
        <w:tblPrEx>
          <w:tblCellMar>
            <w:top w:w="0" w:type="dxa"/>
            <w:left w:w="108" w:type="dxa"/>
            <w:bottom w:w="0" w:type="dxa"/>
            <w:right w:w="108" w:type="dxa"/>
          </w:tblCellMar>
        </w:tblPrEx>
        <w:trPr>
          <w:trHeight w:val="72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30D52266">
            <w:pPr>
              <w:jc w:val="center"/>
              <w:rPr>
                <w:rFonts w:ascii="宋体" w:hAnsi="宋体" w:cs="宋体"/>
                <w:b/>
                <w:bCs/>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BCE23E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预算执行</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09A696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预算执行效率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55F050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预算执行率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A3222A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5E794F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D5DF1E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4220E7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7394A6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AA5425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8403D6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1ABDCF5">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3B306FD">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FC49ECA">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D79375B">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8EE3C68">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8E18A91">
            <w:pPr>
              <w:jc w:val="center"/>
              <w:rPr>
                <w:rFonts w:ascii="宋体" w:hAnsi="宋体" w:cs="宋体"/>
                <w:color w:val="000000"/>
                <w:sz w:val="20"/>
                <w:szCs w:val="20"/>
              </w:rPr>
            </w:pPr>
          </w:p>
        </w:tc>
      </w:tr>
      <w:tr w14:paraId="782629A0">
        <w:tblPrEx>
          <w:tblCellMar>
            <w:top w:w="0" w:type="dxa"/>
            <w:left w:w="108" w:type="dxa"/>
            <w:bottom w:w="0" w:type="dxa"/>
            <w:right w:w="108" w:type="dxa"/>
          </w:tblCellMar>
        </w:tblPrEx>
        <w:trPr>
          <w:trHeight w:val="12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1CAED8DF">
            <w:pPr>
              <w:jc w:val="center"/>
              <w:rPr>
                <w:rFonts w:ascii="宋体" w:hAnsi="宋体" w:cs="宋体"/>
                <w:b/>
                <w:bCs/>
                <w:color w:val="000000"/>
                <w:sz w:val="20"/>
                <w:szCs w:val="20"/>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52701B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管理效率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DACDFE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预算编制管理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18C983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预算绩效目标覆盖率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669DFD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2ECC1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D05C90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84A719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E306DE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AEABD4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62EFC7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F5E03D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9805E7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F645B01">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2E90E9E">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2DB0E3A">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FE47641">
            <w:pPr>
              <w:jc w:val="center"/>
              <w:rPr>
                <w:rFonts w:ascii="宋体" w:hAnsi="宋体" w:cs="宋体"/>
                <w:color w:val="000000"/>
                <w:sz w:val="20"/>
                <w:szCs w:val="20"/>
              </w:rPr>
            </w:pPr>
          </w:p>
        </w:tc>
      </w:tr>
      <w:tr w14:paraId="05AC1085">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66B9BD1B">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83FD7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A2A1D2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预算监督管理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2C6851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预决算公开情况</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1ECA85B">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62002D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全部公开</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D6F8971">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1253AF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FA3DD3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FB67CA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BFE00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C6A1E6D">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413690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2ECC13C">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5FAF02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9618855">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ED068BD">
            <w:pPr>
              <w:jc w:val="center"/>
              <w:rPr>
                <w:rFonts w:ascii="宋体" w:hAnsi="宋体" w:cs="宋体"/>
                <w:color w:val="000000"/>
                <w:sz w:val="20"/>
                <w:szCs w:val="20"/>
              </w:rPr>
            </w:pPr>
          </w:p>
        </w:tc>
      </w:tr>
      <w:tr w14:paraId="53D518CD">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4CF0F848">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8CA99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471CD4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预算收支管理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1A579A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预算收入管理规范性</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7C6F922">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A93657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管理规范</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812F7C2">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64F04B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82B18A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B2D658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AB2AB6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1A1FEED">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1A345DD">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782EE8F">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9C85B5E">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D06902B">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5CD613C7">
            <w:pPr>
              <w:jc w:val="center"/>
              <w:rPr>
                <w:rFonts w:ascii="宋体" w:hAnsi="宋体" w:cs="宋体"/>
                <w:color w:val="000000"/>
                <w:sz w:val="20"/>
                <w:szCs w:val="20"/>
              </w:rPr>
            </w:pPr>
          </w:p>
        </w:tc>
      </w:tr>
      <w:tr w14:paraId="311CA0DC">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0DDCB190">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563D11F">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37ADFF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财务管理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B532C3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内控制度有效性</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3C5BDE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9F068F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制度有效</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5D767C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B44A21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560415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EF85B5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843C7F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C68889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3E54FAA">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555346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FB116D4">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EB6FC7C">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9121BAD">
            <w:pPr>
              <w:jc w:val="center"/>
              <w:rPr>
                <w:rFonts w:ascii="宋体" w:hAnsi="宋体" w:cs="宋体"/>
                <w:color w:val="000000"/>
                <w:sz w:val="20"/>
                <w:szCs w:val="20"/>
              </w:rPr>
            </w:pPr>
          </w:p>
        </w:tc>
      </w:tr>
      <w:tr w14:paraId="790BD087">
        <w:tblPrEx>
          <w:tblCellMar>
            <w:top w:w="0" w:type="dxa"/>
            <w:left w:w="108" w:type="dxa"/>
            <w:bottom w:w="0" w:type="dxa"/>
            <w:right w:w="108" w:type="dxa"/>
          </w:tblCellMar>
        </w:tblPrEx>
        <w:trPr>
          <w:trHeight w:val="96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261B6283">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062742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48AF28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资产管理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8CFB37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固定资产利用率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AA2C77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B6BB21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D02716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3C93B8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0155C6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0209E5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C78A58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0.8</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FD25B7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DF73872">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F600F61">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B442B0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3EE10F1">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2C2A142">
            <w:pPr>
              <w:jc w:val="center"/>
              <w:rPr>
                <w:rFonts w:ascii="宋体" w:hAnsi="宋体" w:cs="宋体"/>
                <w:color w:val="000000"/>
                <w:sz w:val="20"/>
                <w:szCs w:val="20"/>
              </w:rPr>
            </w:pPr>
          </w:p>
        </w:tc>
      </w:tr>
      <w:tr w14:paraId="3FC88B6E">
        <w:tblPrEx>
          <w:tblCellMar>
            <w:top w:w="0" w:type="dxa"/>
            <w:left w:w="108" w:type="dxa"/>
            <w:bottom w:w="0" w:type="dxa"/>
            <w:right w:w="108" w:type="dxa"/>
          </w:tblCellMar>
        </w:tblPrEx>
        <w:trPr>
          <w:trHeight w:val="192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24CEBA0D">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D5E0BB">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AF92E1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业务管理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107C96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政府采购管理违法违规行为发生次数</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DF68FF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127EB80">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0E4DC0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次</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931B91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2BF12F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E841CB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6BE8C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4953B9A">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4FB5B1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B2AF79C">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9EEC771">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67B1C34">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116AD0D">
            <w:pPr>
              <w:jc w:val="center"/>
              <w:rPr>
                <w:rFonts w:ascii="宋体" w:hAnsi="宋体" w:cs="宋体"/>
                <w:color w:val="000000"/>
                <w:sz w:val="20"/>
                <w:szCs w:val="20"/>
              </w:rPr>
            </w:pPr>
          </w:p>
        </w:tc>
      </w:tr>
      <w:tr w14:paraId="34A8EA2A">
        <w:tblPrEx>
          <w:tblCellMar>
            <w:top w:w="0" w:type="dxa"/>
            <w:left w:w="108" w:type="dxa"/>
            <w:bottom w:w="0" w:type="dxa"/>
            <w:right w:w="108" w:type="dxa"/>
          </w:tblCellMar>
        </w:tblPrEx>
        <w:trPr>
          <w:trHeight w:val="96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434F0833">
            <w:pPr>
              <w:jc w:val="center"/>
              <w:rPr>
                <w:rFonts w:ascii="宋体" w:hAnsi="宋体" w:cs="宋体"/>
                <w:b/>
                <w:bCs/>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7C23E5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运行成本</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730DA2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成本控制成效</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A7C3271">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在职人员控制率</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A1B56A4">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&lt;=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2F353D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663CB7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905B63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EF0584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D0EEEA5">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4A024A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7E971D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688A69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81B3743">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97FEA0C">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EC999AD">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20CE1443">
            <w:pPr>
              <w:jc w:val="center"/>
              <w:rPr>
                <w:rFonts w:ascii="宋体" w:hAnsi="宋体" w:cs="宋体"/>
                <w:color w:val="000000"/>
                <w:sz w:val="20"/>
                <w:szCs w:val="20"/>
              </w:rPr>
            </w:pPr>
          </w:p>
        </w:tc>
      </w:tr>
      <w:tr w14:paraId="42AFF60E">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62F6C930">
            <w:pPr>
              <w:jc w:val="center"/>
              <w:rPr>
                <w:rFonts w:ascii="宋体" w:hAnsi="宋体" w:cs="宋体"/>
                <w:b/>
                <w:bCs/>
                <w:color w:val="000000"/>
                <w:sz w:val="20"/>
                <w:szCs w:val="20"/>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623F867">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社会效应</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5A8B54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政治效益</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17AE44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有利于促进社会主义精神文明建设</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B9360D5">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84D96E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精神文明</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0270FEC">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F8B64D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BDD295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1D7CA52">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DD7D7A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DB7C514">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9E3237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C4837FE">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1CEB70C">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81A37D6">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7EF02387">
            <w:pPr>
              <w:jc w:val="center"/>
              <w:rPr>
                <w:rFonts w:ascii="宋体" w:hAnsi="宋体" w:cs="宋体"/>
                <w:color w:val="000000"/>
                <w:sz w:val="20"/>
                <w:szCs w:val="20"/>
              </w:rPr>
            </w:pPr>
          </w:p>
        </w:tc>
      </w:tr>
      <w:tr w14:paraId="118C0EFB">
        <w:tblPrEx>
          <w:tblCellMar>
            <w:top w:w="0" w:type="dxa"/>
            <w:left w:w="108" w:type="dxa"/>
            <w:bottom w:w="0" w:type="dxa"/>
            <w:right w:w="108" w:type="dxa"/>
          </w:tblCellMar>
        </w:tblPrEx>
        <w:trPr>
          <w:trHeight w:val="12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2AA14EF8">
            <w:pPr>
              <w:jc w:val="center"/>
              <w:rPr>
                <w:rFonts w:ascii="宋体" w:hAnsi="宋体" w:cs="宋体"/>
                <w:b/>
                <w:bCs/>
                <w:color w:val="00000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FDDCD08">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3BCE3B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社会公众满意度</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509BB7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当地群众总体满意度</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F804699">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&gt;=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BF4689E">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90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929469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9EB280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4E3B83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3CBA9F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365B92C">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B855CF0">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A1513BD">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06ACBBD">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85AC2D1">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8E6D756">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17A435C1">
            <w:pPr>
              <w:jc w:val="center"/>
              <w:rPr>
                <w:rFonts w:ascii="宋体" w:hAnsi="宋体" w:cs="宋体"/>
                <w:color w:val="000000"/>
                <w:sz w:val="20"/>
                <w:szCs w:val="20"/>
              </w:rPr>
            </w:pPr>
          </w:p>
        </w:tc>
      </w:tr>
      <w:tr w14:paraId="4AC06545">
        <w:tblPrEx>
          <w:tblCellMar>
            <w:top w:w="0" w:type="dxa"/>
            <w:left w:w="108" w:type="dxa"/>
            <w:bottom w:w="0" w:type="dxa"/>
            <w:right w:w="108" w:type="dxa"/>
          </w:tblCellMar>
        </w:tblPrEx>
        <w:trPr>
          <w:trHeight w:val="2400" w:hRule="atLeast"/>
        </w:trPr>
        <w:tc>
          <w:tcPr>
            <w:tcW w:w="0" w:type="auto"/>
            <w:vMerge w:val="continue"/>
            <w:tcBorders>
              <w:top w:val="single" w:color="000000" w:sz="4" w:space="0"/>
              <w:left w:val="single" w:color="000000" w:sz="4" w:space="0"/>
              <w:bottom w:val="nil"/>
              <w:right w:val="single" w:color="000000" w:sz="4" w:space="0"/>
            </w:tcBorders>
            <w:shd w:val="clear" w:color="auto" w:fill="FFFFFF"/>
            <w:vAlign w:val="center"/>
          </w:tcPr>
          <w:p w14:paraId="25059599">
            <w:pPr>
              <w:jc w:val="center"/>
              <w:rPr>
                <w:rFonts w:ascii="宋体" w:hAnsi="宋体" w:cs="宋体"/>
                <w:b/>
                <w:bCs/>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9B8D8CA">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可持续性</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A89533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体制机制改革</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97EC063">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自然资源资产产权制度改革</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EC66617">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C5648B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产权制度</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A05F983">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06E77BD">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全部或基本达成预期指标100%-80%（含）</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C40B52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1</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787AA0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6BA1BC6">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5</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4D0B1B9">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7CF89ED">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6D08871">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88EFC16">
            <w:pPr>
              <w:jc w:val="center"/>
              <w:rPr>
                <w:rFonts w:ascii="宋体" w:hAnsi="宋体" w:cs="宋体"/>
                <w:color w:val="000000"/>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6511530">
            <w:pPr>
              <w:jc w:val="center"/>
              <w:rPr>
                <w:rFonts w:ascii="宋体" w:hAnsi="宋体" w:cs="宋体"/>
                <w:color w:val="000000"/>
                <w:sz w:val="20"/>
                <w:szCs w:val="20"/>
              </w:rPr>
            </w:pP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34B77630">
            <w:pPr>
              <w:jc w:val="center"/>
              <w:rPr>
                <w:rFonts w:ascii="宋体" w:hAnsi="宋体" w:cs="宋体"/>
                <w:color w:val="000000"/>
                <w:sz w:val="20"/>
                <w:szCs w:val="20"/>
              </w:rPr>
            </w:pPr>
          </w:p>
        </w:tc>
      </w:tr>
      <w:tr w14:paraId="3E6BB328">
        <w:tblPrEx>
          <w:tblCellMar>
            <w:top w:w="0" w:type="dxa"/>
            <w:left w:w="108" w:type="dxa"/>
            <w:bottom w:w="0" w:type="dxa"/>
            <w:right w:w="108" w:type="dxa"/>
          </w:tblCellMar>
        </w:tblPrEx>
        <w:trPr>
          <w:trHeight w:val="285" w:hRule="atLeast"/>
        </w:trPr>
        <w:tc>
          <w:tcPr>
            <w:tcW w:w="0" w:type="auto"/>
            <w:gridSpan w:val="11"/>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7B7EA9">
            <w:pPr>
              <w:widowControl/>
              <w:jc w:val="center"/>
              <w:textAlignment w:val="bottom"/>
              <w:rPr>
                <w:rFonts w:ascii="宋体" w:hAnsi="宋体" w:cs="宋体"/>
                <w:color w:val="000000"/>
                <w:sz w:val="22"/>
                <w:szCs w:val="22"/>
              </w:rPr>
            </w:pPr>
            <w:r>
              <w:rPr>
                <w:rFonts w:hint="eastAsia" w:ascii="宋体" w:hAnsi="宋体" w:cs="宋体"/>
                <w:color w:val="000000"/>
                <w:kern w:val="0"/>
                <w:sz w:val="22"/>
                <w:szCs w:val="22"/>
              </w:rPr>
              <w:t>总评价得分</w:t>
            </w:r>
          </w:p>
        </w:tc>
        <w:tc>
          <w:tcPr>
            <w:tcW w:w="0" w:type="auto"/>
            <w:gridSpan w:val="8"/>
            <w:tcBorders>
              <w:top w:val="single" w:color="000000" w:sz="4" w:space="0"/>
              <w:left w:val="nil"/>
              <w:bottom w:val="single" w:color="000000" w:sz="4" w:space="0"/>
              <w:right w:val="single" w:color="000000" w:sz="4" w:space="0"/>
            </w:tcBorders>
            <w:shd w:val="clear" w:color="auto" w:fill="auto"/>
            <w:noWrap/>
            <w:vAlign w:val="bottom"/>
          </w:tcPr>
          <w:p w14:paraId="6FE7B7C5">
            <w:pPr>
              <w:widowControl/>
              <w:jc w:val="center"/>
              <w:textAlignment w:val="bottom"/>
              <w:rPr>
                <w:rFonts w:ascii="宋体" w:hAnsi="宋体" w:cs="宋体"/>
                <w:color w:val="000000"/>
                <w:sz w:val="22"/>
                <w:szCs w:val="22"/>
              </w:rPr>
            </w:pPr>
            <w:r>
              <w:rPr>
                <w:rFonts w:hint="eastAsia" w:ascii="宋体" w:hAnsi="宋体" w:cs="宋体"/>
                <w:color w:val="000000"/>
                <w:kern w:val="0"/>
                <w:sz w:val="22"/>
                <w:szCs w:val="22"/>
              </w:rPr>
              <w:t>97.2</w:t>
            </w:r>
          </w:p>
        </w:tc>
      </w:tr>
      <w:tr w14:paraId="2BEA3BA6">
        <w:tblPrEx>
          <w:tblCellMar>
            <w:top w:w="0" w:type="dxa"/>
            <w:left w:w="108" w:type="dxa"/>
            <w:bottom w:w="0" w:type="dxa"/>
            <w:right w:w="108" w:type="dxa"/>
          </w:tblCellMar>
        </w:tblPrEx>
        <w:trPr>
          <w:trHeight w:val="285" w:hRule="atLeast"/>
        </w:trPr>
        <w:tc>
          <w:tcPr>
            <w:tcW w:w="0" w:type="auto"/>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ABEE0D8">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结果应用建议</w:t>
            </w: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6CC86CB">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结果应用建议选项</w:t>
            </w: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B7F3294">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具体建议内容</w:t>
            </w:r>
          </w:p>
        </w:tc>
      </w:tr>
      <w:tr w14:paraId="4F4DF78B">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94AF30F">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969CD38">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建议进一步规范预算管理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E907BFD">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48BD324">
            <w:pPr>
              <w:jc w:val="center"/>
              <w:rPr>
                <w:rFonts w:ascii="宋体" w:hAnsi="宋体" w:cs="宋体"/>
                <w:color w:val="000000"/>
                <w:sz w:val="20"/>
                <w:szCs w:val="20"/>
              </w:rPr>
            </w:pPr>
          </w:p>
        </w:tc>
      </w:tr>
      <w:tr w14:paraId="06297DCE">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1BCD5C3">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F8E7F61">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建议改进业务管理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1FBC4EE">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0A62483">
            <w:pPr>
              <w:jc w:val="center"/>
              <w:rPr>
                <w:rFonts w:ascii="宋体" w:hAnsi="宋体" w:cs="宋体"/>
                <w:color w:val="000000"/>
                <w:sz w:val="20"/>
                <w:szCs w:val="20"/>
              </w:rPr>
            </w:pPr>
          </w:p>
        </w:tc>
      </w:tr>
      <w:tr w14:paraId="4F613C8D">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82BF009">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B8313E7">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建议改进预算编制管理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F02CE95">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1B5DE96">
            <w:pPr>
              <w:jc w:val="center"/>
              <w:rPr>
                <w:rFonts w:ascii="宋体" w:hAnsi="宋体" w:cs="宋体"/>
                <w:color w:val="000000"/>
                <w:sz w:val="20"/>
                <w:szCs w:val="20"/>
              </w:rPr>
            </w:pPr>
          </w:p>
        </w:tc>
      </w:tr>
      <w:tr w14:paraId="5F6F493A">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C31E52">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1DDB6B0">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建议进一步提升预算执行效率和效益</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4441D2F">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9437E8B">
            <w:pPr>
              <w:jc w:val="center"/>
              <w:rPr>
                <w:rFonts w:ascii="宋体" w:hAnsi="宋体" w:cs="宋体"/>
                <w:color w:val="000000"/>
                <w:sz w:val="20"/>
                <w:szCs w:val="20"/>
              </w:rPr>
            </w:pPr>
          </w:p>
        </w:tc>
      </w:tr>
      <w:tr w14:paraId="2467FC1A">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415C782">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D9E76CE">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建议改进资产管理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687CBD2">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876861D">
            <w:pPr>
              <w:jc w:val="center"/>
              <w:rPr>
                <w:rFonts w:ascii="宋体" w:hAnsi="宋体" w:cs="宋体"/>
                <w:color w:val="000000"/>
                <w:sz w:val="20"/>
                <w:szCs w:val="20"/>
              </w:rPr>
            </w:pPr>
          </w:p>
        </w:tc>
      </w:tr>
      <w:tr w14:paraId="642BBCD6">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1D384D">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7D8F2A1">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建议改进政府采购管理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8C198D4">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4C673A9">
            <w:pPr>
              <w:jc w:val="center"/>
              <w:rPr>
                <w:rFonts w:ascii="宋体" w:hAnsi="宋体" w:cs="宋体"/>
                <w:color w:val="000000"/>
                <w:sz w:val="20"/>
                <w:szCs w:val="20"/>
              </w:rPr>
            </w:pPr>
          </w:p>
        </w:tc>
      </w:tr>
      <w:tr w14:paraId="1A7EF89F">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430319">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DC9B986">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建议调整公共服务标准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A7F98C6">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35A1FA0">
            <w:pPr>
              <w:jc w:val="center"/>
              <w:rPr>
                <w:rFonts w:ascii="宋体" w:hAnsi="宋体" w:cs="宋体"/>
                <w:color w:val="000000"/>
                <w:sz w:val="20"/>
                <w:szCs w:val="20"/>
              </w:rPr>
            </w:pPr>
          </w:p>
        </w:tc>
      </w:tr>
      <w:tr w14:paraId="53370477">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1A3C4A1">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556E9FC">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结果应用建议_建议核减下一年度经费数额</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287DC20">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7029736">
            <w:pPr>
              <w:jc w:val="center"/>
              <w:rPr>
                <w:rFonts w:ascii="宋体" w:hAnsi="宋体" w:cs="宋体"/>
                <w:color w:val="000000"/>
                <w:sz w:val="20"/>
                <w:szCs w:val="20"/>
              </w:rPr>
            </w:pPr>
          </w:p>
        </w:tc>
      </w:tr>
      <w:tr w14:paraId="75957308">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1675227">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B673372">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建议消减低效、无效资金或结构调整</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AB41C8A">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299A28F">
            <w:pPr>
              <w:jc w:val="center"/>
              <w:rPr>
                <w:rFonts w:ascii="宋体" w:hAnsi="宋体" w:cs="宋体"/>
                <w:color w:val="000000"/>
                <w:sz w:val="20"/>
                <w:szCs w:val="20"/>
              </w:rPr>
            </w:pPr>
          </w:p>
        </w:tc>
      </w:tr>
      <w:tr w14:paraId="29A9B052">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B26ECA8">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9BA8B2B">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建议回收长期沉淀的资金</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2B777F8B">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977A6BF">
            <w:pPr>
              <w:jc w:val="center"/>
              <w:rPr>
                <w:rFonts w:ascii="宋体" w:hAnsi="宋体" w:cs="宋体"/>
                <w:color w:val="000000"/>
                <w:sz w:val="20"/>
                <w:szCs w:val="20"/>
              </w:rPr>
            </w:pPr>
          </w:p>
        </w:tc>
      </w:tr>
      <w:tr w14:paraId="2FC74E31">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312351C">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57E2D45">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其他建议</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9093775">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048403B">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建议削减重复编制，上报数据，减少财务人员的财务工作量。建议调整公共服务标准。更加合理</w:t>
            </w:r>
          </w:p>
        </w:tc>
      </w:tr>
      <w:tr w14:paraId="4398829E">
        <w:tblPrEx>
          <w:tblCellMar>
            <w:top w:w="0" w:type="dxa"/>
            <w:left w:w="108" w:type="dxa"/>
            <w:bottom w:w="0" w:type="dxa"/>
            <w:right w:w="108" w:type="dxa"/>
          </w:tblCellMar>
        </w:tblPrEx>
        <w:trPr>
          <w:trHeight w:val="285" w:hRule="atLeast"/>
        </w:trPr>
        <w:tc>
          <w:tcPr>
            <w:tcW w:w="0" w:type="auto"/>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AD9C901">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主管部门审核意见</w:t>
            </w: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4A1B6F3">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建议继续全额安排</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27AAE94">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60E5AFD">
            <w:pPr>
              <w:jc w:val="center"/>
              <w:rPr>
                <w:rFonts w:ascii="宋体" w:hAnsi="宋体" w:cs="宋体"/>
                <w:color w:val="000000"/>
                <w:sz w:val="20"/>
                <w:szCs w:val="20"/>
              </w:rPr>
            </w:pPr>
          </w:p>
        </w:tc>
      </w:tr>
      <w:tr w14:paraId="163CB4FF">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4C9370E">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E268282">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建议继续安排，按规定调整下一年度预算金额</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F303C00">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237DD119">
            <w:pPr>
              <w:jc w:val="center"/>
              <w:rPr>
                <w:rFonts w:ascii="宋体" w:hAnsi="宋体" w:cs="宋体"/>
                <w:color w:val="000000"/>
                <w:sz w:val="20"/>
                <w:szCs w:val="20"/>
              </w:rPr>
            </w:pPr>
          </w:p>
        </w:tc>
      </w:tr>
      <w:tr w14:paraId="2D894598">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D0B34F">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E4B1E75">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规范预算管理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0A96CA2">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D123192">
            <w:pPr>
              <w:jc w:val="center"/>
              <w:rPr>
                <w:rFonts w:ascii="宋体" w:hAnsi="宋体" w:cs="宋体"/>
                <w:color w:val="000000"/>
                <w:sz w:val="20"/>
                <w:szCs w:val="20"/>
              </w:rPr>
            </w:pPr>
          </w:p>
        </w:tc>
      </w:tr>
      <w:tr w14:paraId="03739991">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4DCA0F">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6A2E049">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改进业务管理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24ECACA">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1BBF1C5">
            <w:pPr>
              <w:jc w:val="center"/>
              <w:rPr>
                <w:rFonts w:ascii="宋体" w:hAnsi="宋体" w:cs="宋体"/>
                <w:color w:val="000000"/>
                <w:sz w:val="20"/>
                <w:szCs w:val="20"/>
              </w:rPr>
            </w:pPr>
          </w:p>
        </w:tc>
      </w:tr>
      <w:tr w14:paraId="5E91631D">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72B2ACF">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E620875">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改进预算编制管理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14D6943">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3A5AC81">
            <w:pPr>
              <w:jc w:val="center"/>
              <w:rPr>
                <w:rFonts w:ascii="宋体" w:hAnsi="宋体" w:cs="宋体"/>
                <w:color w:val="000000"/>
                <w:sz w:val="20"/>
                <w:szCs w:val="20"/>
              </w:rPr>
            </w:pPr>
          </w:p>
        </w:tc>
      </w:tr>
      <w:tr w14:paraId="1EA03A50">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1F5FEE">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93C4F75">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提升预算执行效率和效益</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EE6C5FD">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02F0524">
            <w:pPr>
              <w:jc w:val="center"/>
              <w:rPr>
                <w:rFonts w:ascii="宋体" w:hAnsi="宋体" w:cs="宋体"/>
                <w:color w:val="000000"/>
                <w:sz w:val="20"/>
                <w:szCs w:val="20"/>
              </w:rPr>
            </w:pPr>
          </w:p>
        </w:tc>
      </w:tr>
      <w:tr w14:paraId="17BEF6C3">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595BDD3">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CABF1C6">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改进资产管理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6349454">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1C3E28D4">
            <w:pPr>
              <w:jc w:val="center"/>
              <w:rPr>
                <w:rFonts w:ascii="宋体" w:hAnsi="宋体" w:cs="宋体"/>
                <w:color w:val="000000"/>
                <w:sz w:val="20"/>
                <w:szCs w:val="20"/>
              </w:rPr>
            </w:pPr>
          </w:p>
        </w:tc>
      </w:tr>
      <w:tr w14:paraId="727E4069">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B51F1CA">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ACD878C">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改进政府采购管理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287D867">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69B28CE4">
            <w:pPr>
              <w:jc w:val="center"/>
              <w:rPr>
                <w:rFonts w:ascii="宋体" w:hAnsi="宋体" w:cs="宋体"/>
                <w:color w:val="000000"/>
                <w:sz w:val="20"/>
                <w:szCs w:val="20"/>
              </w:rPr>
            </w:pPr>
          </w:p>
        </w:tc>
      </w:tr>
      <w:tr w14:paraId="3DCE9689">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C3D3084">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5B2A2D7">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调整公共服务标准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83C27AC">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1E11FC9">
            <w:pPr>
              <w:jc w:val="center"/>
              <w:rPr>
                <w:rFonts w:ascii="宋体" w:hAnsi="宋体" w:cs="宋体"/>
                <w:color w:val="000000"/>
                <w:sz w:val="20"/>
                <w:szCs w:val="20"/>
              </w:rPr>
            </w:pPr>
          </w:p>
        </w:tc>
      </w:tr>
      <w:tr w14:paraId="782BE46D">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5BC72F6">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2DEAD7B">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削减低效、无效资金</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8ADFE56">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123017C">
            <w:pPr>
              <w:jc w:val="center"/>
              <w:rPr>
                <w:rFonts w:ascii="宋体" w:hAnsi="宋体" w:cs="宋体"/>
                <w:color w:val="000000"/>
                <w:sz w:val="20"/>
                <w:szCs w:val="20"/>
              </w:rPr>
            </w:pPr>
          </w:p>
        </w:tc>
      </w:tr>
      <w:tr w14:paraId="6DEC63C5">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860EB3D">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70E4AC6D">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对资金结构进行调整</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D86CEF1">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3F4C05E">
            <w:pPr>
              <w:jc w:val="center"/>
              <w:rPr>
                <w:rFonts w:ascii="宋体" w:hAnsi="宋体" w:cs="宋体"/>
                <w:color w:val="000000"/>
                <w:sz w:val="20"/>
                <w:szCs w:val="20"/>
              </w:rPr>
            </w:pPr>
          </w:p>
        </w:tc>
      </w:tr>
      <w:tr w14:paraId="61E41913">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29A78EC">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2C1739D">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收回长期沉淀的资金</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34B5F4C0">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2204616">
            <w:pPr>
              <w:jc w:val="center"/>
              <w:rPr>
                <w:rFonts w:ascii="宋体" w:hAnsi="宋体" w:cs="宋体"/>
                <w:color w:val="000000"/>
                <w:sz w:val="20"/>
                <w:szCs w:val="20"/>
              </w:rPr>
            </w:pPr>
          </w:p>
        </w:tc>
      </w:tr>
      <w:tr w14:paraId="4A67377C">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40C689F">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70D3A61">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其他意见</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17B7AD9">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3925EDB">
            <w:pPr>
              <w:jc w:val="center"/>
              <w:rPr>
                <w:rFonts w:ascii="宋体" w:hAnsi="宋体" w:cs="宋体"/>
                <w:color w:val="000000"/>
                <w:sz w:val="20"/>
                <w:szCs w:val="20"/>
              </w:rPr>
            </w:pPr>
          </w:p>
        </w:tc>
      </w:tr>
      <w:tr w14:paraId="12645041">
        <w:tblPrEx>
          <w:tblCellMar>
            <w:top w:w="0" w:type="dxa"/>
            <w:left w:w="108" w:type="dxa"/>
            <w:bottom w:w="0" w:type="dxa"/>
            <w:right w:w="108" w:type="dxa"/>
          </w:tblCellMar>
        </w:tblPrEx>
        <w:trPr>
          <w:trHeight w:val="285" w:hRule="atLeast"/>
        </w:trPr>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48E93BF2">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主管部门总体意见</w:t>
            </w:r>
          </w:p>
        </w:tc>
        <w:tc>
          <w:tcPr>
            <w:tcW w:w="0" w:type="auto"/>
            <w:gridSpan w:val="16"/>
            <w:tcBorders>
              <w:top w:val="single" w:color="000000" w:sz="4" w:space="0"/>
              <w:left w:val="single" w:color="000000" w:sz="4" w:space="0"/>
              <w:bottom w:val="single" w:color="000000" w:sz="4" w:space="0"/>
              <w:right w:val="single" w:color="000000" w:sz="4" w:space="0"/>
            </w:tcBorders>
            <w:shd w:val="clear" w:color="auto" w:fill="FFFFFF"/>
            <w:vAlign w:val="center"/>
          </w:tcPr>
          <w:p w14:paraId="543B6561">
            <w:pPr>
              <w:jc w:val="center"/>
              <w:rPr>
                <w:rFonts w:ascii="宋体" w:hAnsi="宋体" w:cs="宋体"/>
                <w:color w:val="000000"/>
                <w:sz w:val="20"/>
                <w:szCs w:val="20"/>
              </w:rPr>
            </w:pPr>
          </w:p>
        </w:tc>
      </w:tr>
      <w:tr w14:paraId="5468C329">
        <w:tblPrEx>
          <w:tblCellMar>
            <w:top w:w="0" w:type="dxa"/>
            <w:left w:w="108" w:type="dxa"/>
            <w:bottom w:w="0" w:type="dxa"/>
            <w:right w:w="108" w:type="dxa"/>
          </w:tblCellMar>
        </w:tblPrEx>
        <w:trPr>
          <w:trHeight w:val="285" w:hRule="atLeast"/>
        </w:trPr>
        <w:tc>
          <w:tcPr>
            <w:tcW w:w="0" w:type="auto"/>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978F8FA">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财政部门审核意见</w:t>
            </w: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589DA35A">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建议继续全额安排</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A8654C6">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6803298">
            <w:pPr>
              <w:jc w:val="center"/>
              <w:rPr>
                <w:rFonts w:ascii="宋体" w:hAnsi="宋体" w:cs="宋体"/>
                <w:color w:val="000000"/>
                <w:sz w:val="20"/>
                <w:szCs w:val="20"/>
              </w:rPr>
            </w:pPr>
          </w:p>
        </w:tc>
      </w:tr>
      <w:tr w14:paraId="146AF294">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D7785D">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21B26A0">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建议继续安排，按规定调整下一年度预算金额</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C87D53E">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88798C8">
            <w:pPr>
              <w:jc w:val="center"/>
              <w:rPr>
                <w:rFonts w:ascii="宋体" w:hAnsi="宋体" w:cs="宋体"/>
                <w:color w:val="000000"/>
                <w:sz w:val="20"/>
                <w:szCs w:val="20"/>
              </w:rPr>
            </w:pPr>
          </w:p>
        </w:tc>
      </w:tr>
      <w:tr w14:paraId="18A2506B">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CFC3057">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AEDAD90">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规范预算管理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20C62A0">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63DCCE84">
            <w:pPr>
              <w:jc w:val="center"/>
              <w:rPr>
                <w:rFonts w:ascii="宋体" w:hAnsi="宋体" w:cs="宋体"/>
                <w:color w:val="000000"/>
                <w:sz w:val="20"/>
                <w:szCs w:val="20"/>
              </w:rPr>
            </w:pPr>
          </w:p>
        </w:tc>
      </w:tr>
      <w:tr w14:paraId="5C9BE5A6">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15C0EF7">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C431562">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改进业务管理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137799E">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67A3BDCA">
            <w:pPr>
              <w:jc w:val="center"/>
              <w:rPr>
                <w:rFonts w:ascii="宋体" w:hAnsi="宋体" w:cs="宋体"/>
                <w:color w:val="000000"/>
                <w:sz w:val="20"/>
                <w:szCs w:val="20"/>
              </w:rPr>
            </w:pPr>
          </w:p>
        </w:tc>
      </w:tr>
      <w:tr w14:paraId="4C251B5F">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9B1D1F2">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8CCA0ED">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改进预算编制管理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3220E41">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21F4334">
            <w:pPr>
              <w:jc w:val="center"/>
              <w:rPr>
                <w:rFonts w:ascii="宋体" w:hAnsi="宋体" w:cs="宋体"/>
                <w:color w:val="000000"/>
                <w:sz w:val="20"/>
                <w:szCs w:val="20"/>
              </w:rPr>
            </w:pPr>
          </w:p>
        </w:tc>
      </w:tr>
      <w:tr w14:paraId="3EE0A111">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E2F46BE">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B34AA72">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提升预算执行效率和效益</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47167AB">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FBAC601">
            <w:pPr>
              <w:jc w:val="center"/>
              <w:rPr>
                <w:rFonts w:ascii="宋体" w:hAnsi="宋体" w:cs="宋体"/>
                <w:color w:val="000000"/>
                <w:sz w:val="20"/>
                <w:szCs w:val="20"/>
              </w:rPr>
            </w:pPr>
          </w:p>
        </w:tc>
      </w:tr>
      <w:tr w14:paraId="1B9A71FB">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319F608">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2F6CD21">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改进资产管理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01E4D051">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49E0C1C7">
            <w:pPr>
              <w:jc w:val="center"/>
              <w:rPr>
                <w:rFonts w:ascii="宋体" w:hAnsi="宋体" w:cs="宋体"/>
                <w:color w:val="000000"/>
                <w:sz w:val="20"/>
                <w:szCs w:val="20"/>
              </w:rPr>
            </w:pPr>
          </w:p>
        </w:tc>
      </w:tr>
      <w:tr w14:paraId="75ACE164">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4D314F">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23FC459">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改进政府采购管理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1E584BB8">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3807082E">
            <w:pPr>
              <w:jc w:val="center"/>
              <w:rPr>
                <w:rFonts w:ascii="宋体" w:hAnsi="宋体" w:cs="宋体"/>
                <w:color w:val="000000"/>
                <w:sz w:val="20"/>
                <w:szCs w:val="20"/>
              </w:rPr>
            </w:pPr>
          </w:p>
        </w:tc>
      </w:tr>
      <w:tr w14:paraId="76BD497F">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408F660">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5E98B80">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调整公共服务标准</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6D79E420">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16397DB">
            <w:pPr>
              <w:jc w:val="center"/>
              <w:rPr>
                <w:rFonts w:ascii="宋体" w:hAnsi="宋体" w:cs="宋体"/>
                <w:color w:val="000000"/>
                <w:sz w:val="20"/>
                <w:szCs w:val="20"/>
              </w:rPr>
            </w:pPr>
          </w:p>
        </w:tc>
      </w:tr>
      <w:tr w14:paraId="4D28CD93">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D5C79A4">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3888B83">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削减低效、无效资金</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9498233">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51D88BDF">
            <w:pPr>
              <w:jc w:val="center"/>
              <w:rPr>
                <w:rFonts w:ascii="宋体" w:hAnsi="宋体" w:cs="宋体"/>
                <w:color w:val="000000"/>
                <w:sz w:val="20"/>
                <w:szCs w:val="20"/>
              </w:rPr>
            </w:pPr>
          </w:p>
        </w:tc>
      </w:tr>
      <w:tr w14:paraId="73E4CD5B">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282940F">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FE6A02E">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对资金结构进行调整</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481DA7E9">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774DBCAB">
            <w:pPr>
              <w:jc w:val="center"/>
              <w:rPr>
                <w:rFonts w:ascii="宋体" w:hAnsi="宋体" w:cs="宋体"/>
                <w:color w:val="000000"/>
                <w:sz w:val="20"/>
                <w:szCs w:val="20"/>
              </w:rPr>
            </w:pPr>
          </w:p>
        </w:tc>
      </w:tr>
      <w:tr w14:paraId="1D9B5FA4">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D2EAC29">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0505EC13">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收回长期沉淀的资金</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7A181E27">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0022BEE2">
            <w:pPr>
              <w:jc w:val="center"/>
              <w:rPr>
                <w:rFonts w:ascii="宋体" w:hAnsi="宋体" w:cs="宋体"/>
                <w:color w:val="000000"/>
                <w:sz w:val="20"/>
                <w:szCs w:val="20"/>
              </w:rPr>
            </w:pPr>
          </w:p>
        </w:tc>
      </w:tr>
      <w:tr w14:paraId="57447487">
        <w:tblPrEx>
          <w:tblCellMar>
            <w:top w:w="0" w:type="dxa"/>
            <w:left w:w="108" w:type="dxa"/>
            <w:bottom w:w="0" w:type="dxa"/>
            <w:right w:w="108" w:type="dxa"/>
          </w:tblCellMar>
        </w:tblPrEx>
        <w:trPr>
          <w:trHeight w:val="285" w:hRule="atLeast"/>
        </w:trPr>
        <w:tc>
          <w:tcPr>
            <w:tcW w:w="0" w:type="auto"/>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1EE2E248">
            <w:pPr>
              <w:jc w:val="center"/>
              <w:rPr>
                <w:rFonts w:ascii="宋体" w:hAnsi="宋体" w:cs="宋体"/>
                <w:b/>
                <w:bCs/>
                <w:color w:val="000000"/>
                <w:sz w:val="20"/>
                <w:szCs w:val="20"/>
              </w:rPr>
            </w:pPr>
          </w:p>
        </w:tc>
        <w:tc>
          <w:tcPr>
            <w:tcW w:w="0" w:type="auto"/>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9FF091A">
            <w:pPr>
              <w:widowControl/>
              <w:jc w:val="left"/>
              <w:textAlignment w:val="center"/>
              <w:rPr>
                <w:rFonts w:ascii="宋体" w:hAnsi="宋体" w:cs="宋体"/>
                <w:b/>
                <w:bCs/>
                <w:color w:val="000000"/>
                <w:sz w:val="20"/>
                <w:szCs w:val="20"/>
              </w:rPr>
            </w:pPr>
            <w:r>
              <w:rPr>
                <w:rFonts w:hint="eastAsia" w:ascii="宋体" w:hAnsi="宋体" w:cs="宋体"/>
                <w:b/>
                <w:bCs/>
                <w:color w:val="000000"/>
                <w:kern w:val="0"/>
                <w:sz w:val="20"/>
                <w:szCs w:val="20"/>
              </w:rPr>
              <w:t>其他意见</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14:paraId="5BD644D0">
            <w:pPr>
              <w:jc w:val="center"/>
              <w:rPr>
                <w:rFonts w:ascii="宋体" w:hAnsi="宋体" w:cs="宋体"/>
                <w:b/>
                <w:bCs/>
                <w:color w:val="000000"/>
                <w:sz w:val="20"/>
                <w:szCs w:val="20"/>
              </w:rPr>
            </w:pPr>
          </w:p>
        </w:tc>
        <w:tc>
          <w:tcPr>
            <w:tcW w:w="0" w:type="auto"/>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14:paraId="65169658">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强化绩效目标管理，提高绩效管理水平</w:t>
            </w:r>
          </w:p>
        </w:tc>
      </w:tr>
      <w:tr w14:paraId="1F0D2EC2">
        <w:tblPrEx>
          <w:tblCellMar>
            <w:top w:w="0" w:type="dxa"/>
            <w:left w:w="108" w:type="dxa"/>
            <w:bottom w:w="0" w:type="dxa"/>
            <w:right w:w="108" w:type="dxa"/>
          </w:tblCellMar>
        </w:tblPrEx>
        <w:trPr>
          <w:trHeight w:val="696" w:hRule="atLeast"/>
        </w:trPr>
        <w:tc>
          <w:tcPr>
            <w:tcW w:w="0" w:type="auto"/>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14:paraId="65699BFB">
            <w:pPr>
              <w:widowControl/>
              <w:jc w:val="center"/>
              <w:textAlignment w:val="center"/>
              <w:rPr>
                <w:rFonts w:ascii="宋体" w:hAnsi="宋体" w:cs="宋体"/>
                <w:b/>
                <w:bCs/>
                <w:color w:val="000000"/>
                <w:sz w:val="20"/>
                <w:szCs w:val="20"/>
              </w:rPr>
            </w:pPr>
            <w:r>
              <w:rPr>
                <w:rFonts w:hint="eastAsia" w:ascii="宋体" w:hAnsi="宋体" w:cs="宋体"/>
                <w:b/>
                <w:bCs/>
                <w:color w:val="000000"/>
                <w:kern w:val="0"/>
                <w:sz w:val="20"/>
                <w:szCs w:val="20"/>
              </w:rPr>
              <w:t>财政部门总体意见</w:t>
            </w:r>
          </w:p>
        </w:tc>
        <w:tc>
          <w:tcPr>
            <w:tcW w:w="0" w:type="auto"/>
            <w:gridSpan w:val="16"/>
            <w:tcBorders>
              <w:top w:val="single" w:color="000000" w:sz="4" w:space="0"/>
              <w:left w:val="single" w:color="000000" w:sz="4" w:space="0"/>
              <w:bottom w:val="single" w:color="000000" w:sz="4" w:space="0"/>
              <w:right w:val="single" w:color="000000" w:sz="4" w:space="0"/>
            </w:tcBorders>
            <w:shd w:val="clear" w:color="auto" w:fill="FFFFFF"/>
            <w:vAlign w:val="center"/>
          </w:tcPr>
          <w:p w14:paraId="3D2F91EF">
            <w:pPr>
              <w:widowControl/>
              <w:jc w:val="center"/>
              <w:textAlignment w:val="center"/>
              <w:rPr>
                <w:rFonts w:ascii="宋体" w:hAnsi="宋体" w:cs="宋体"/>
                <w:color w:val="000000"/>
                <w:sz w:val="20"/>
                <w:szCs w:val="20"/>
              </w:rPr>
            </w:pPr>
            <w:r>
              <w:rPr>
                <w:rFonts w:hint="eastAsia" w:ascii="宋体" w:hAnsi="宋体" w:cs="宋体"/>
                <w:color w:val="000000"/>
                <w:kern w:val="0"/>
                <w:sz w:val="20"/>
                <w:szCs w:val="20"/>
              </w:rPr>
              <w:t>强化绩效目标管理，提高绩效管理水平</w:t>
            </w:r>
          </w:p>
        </w:tc>
      </w:tr>
    </w:tbl>
    <w:p w14:paraId="2C677098">
      <w:pPr>
        <w:widowControl/>
        <w:jc w:val="center"/>
        <w:rPr>
          <w:rFonts w:ascii="仿宋_GB2312" w:hAnsi="宋体" w:eastAsia="仿宋_GB2312" w:cs="仿宋_GB2312"/>
          <w:sz w:val="32"/>
          <w:szCs w:val="32"/>
        </w:rPr>
      </w:pPr>
      <w:r>
        <w:rPr>
          <w:rFonts w:hint="eastAsia" w:ascii="仿宋_GB2312" w:hAnsi="宋体" w:eastAsia="仿宋_GB2312" w:cs="仿宋_GB2312"/>
          <w:b/>
          <w:bCs/>
          <w:sz w:val="32"/>
          <w:szCs w:val="32"/>
        </w:rPr>
        <w:br w:type="page"/>
      </w:r>
      <w:r>
        <w:rPr>
          <w:rFonts w:hint="eastAsia" w:ascii="仿宋_GB2312" w:hAnsi="宋体" w:eastAsia="仿宋_GB2312" w:cs="仿宋_GB2312"/>
          <w:sz w:val="32"/>
          <w:szCs w:val="32"/>
        </w:rPr>
        <w:br w:type="page"/>
      </w:r>
      <w:r>
        <w:rPr>
          <w:rFonts w:hint="eastAsia" w:ascii="宋体" w:hAnsi="宋体"/>
          <w:b/>
          <w:sz w:val="36"/>
          <w:szCs w:val="36"/>
        </w:rPr>
        <w:t>第三部分 名词解释</w:t>
      </w:r>
    </w:p>
    <w:p w14:paraId="771115B4">
      <w:pPr>
        <w:spacing w:line="540" w:lineRule="exact"/>
        <w:jc w:val="center"/>
        <w:rPr>
          <w:rFonts w:ascii="宋体" w:hAnsi="宋体"/>
          <w:b/>
          <w:sz w:val="36"/>
          <w:szCs w:val="36"/>
        </w:rPr>
      </w:pPr>
    </w:p>
    <w:p w14:paraId="1E675FB6">
      <w:pPr>
        <w:spacing w:line="540" w:lineRule="exact"/>
        <w:ind w:firstLine="643" w:firstLineChars="200"/>
        <w:rPr>
          <w:rFonts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指单位从同级财政部门取得的财政预算资金。</w:t>
      </w:r>
    </w:p>
    <w:p w14:paraId="3888B90C">
      <w:pPr>
        <w:spacing w:line="540" w:lineRule="exact"/>
        <w:ind w:firstLine="643" w:firstLineChars="200"/>
        <w:rPr>
          <w:rFonts w:ascii="仿宋_GB2312" w:eastAsia="仿宋_GB2312"/>
          <w:sz w:val="32"/>
          <w:szCs w:val="32"/>
        </w:rPr>
      </w:pPr>
      <w:r>
        <w:rPr>
          <w:rFonts w:hint="eastAsia" w:ascii="仿宋_GB2312" w:eastAsia="仿宋_GB2312"/>
          <w:b/>
          <w:sz w:val="32"/>
          <w:szCs w:val="32"/>
        </w:rPr>
        <w:t>2.上级补助收入：</w:t>
      </w:r>
      <w:r>
        <w:rPr>
          <w:rFonts w:hint="eastAsia" w:ascii="仿宋_GB2312" w:eastAsia="仿宋_GB2312"/>
          <w:sz w:val="32"/>
          <w:szCs w:val="32"/>
        </w:rPr>
        <w:t>指单位从主管部门和上级单位取得的非财政性补助收入。</w:t>
      </w:r>
    </w:p>
    <w:p w14:paraId="72F8EB57">
      <w:pPr>
        <w:spacing w:line="540" w:lineRule="exact"/>
        <w:ind w:firstLine="643" w:firstLineChars="200"/>
        <w:rPr>
          <w:rFonts w:ascii="仿宋_GB2312" w:eastAsia="仿宋_GB2312"/>
          <w:sz w:val="32"/>
          <w:szCs w:val="32"/>
        </w:rPr>
      </w:pPr>
      <w:r>
        <w:rPr>
          <w:rFonts w:hint="eastAsia" w:ascii="仿宋_GB2312" w:eastAsia="仿宋_GB2312"/>
          <w:b/>
          <w:sz w:val="32"/>
          <w:szCs w:val="32"/>
        </w:rPr>
        <w:t>3.事业收入：</w:t>
      </w:r>
      <w:r>
        <w:rPr>
          <w:rFonts w:hint="eastAsia" w:ascii="仿宋_GB2312" w:eastAsia="仿宋_GB2312"/>
          <w:sz w:val="32"/>
          <w:szCs w:val="32"/>
        </w:rPr>
        <w:t>指事业单位开展专业业务活动及辅助活动所取得的收入。</w:t>
      </w:r>
    </w:p>
    <w:p w14:paraId="527BD84F">
      <w:pPr>
        <w:spacing w:line="540" w:lineRule="exact"/>
        <w:ind w:firstLine="643" w:firstLineChars="200"/>
        <w:rPr>
          <w:rFonts w:ascii="仿宋_GB2312" w:eastAsia="仿宋_GB2312"/>
          <w:sz w:val="32"/>
          <w:szCs w:val="32"/>
        </w:rPr>
      </w:pPr>
      <w:r>
        <w:rPr>
          <w:rFonts w:hint="eastAsia" w:ascii="仿宋_GB2312" w:eastAsia="仿宋_GB2312"/>
          <w:b/>
          <w:sz w:val="32"/>
          <w:szCs w:val="32"/>
        </w:rPr>
        <w:t>4.经营收入：</w:t>
      </w:r>
      <w:r>
        <w:rPr>
          <w:rFonts w:hint="eastAsia" w:ascii="仿宋_GB2312" w:eastAsia="仿宋_GB2312"/>
          <w:sz w:val="32"/>
          <w:szCs w:val="32"/>
        </w:rPr>
        <w:t>指事业单位在专业业务活动及辅助活动之外开展非独立核算经营活动取得的收入。</w:t>
      </w:r>
    </w:p>
    <w:p w14:paraId="12800CE4">
      <w:pPr>
        <w:spacing w:line="540" w:lineRule="exact"/>
        <w:ind w:firstLine="643" w:firstLineChars="200"/>
        <w:rPr>
          <w:rFonts w:ascii="仿宋_GB2312" w:eastAsia="仿宋_GB2312"/>
          <w:sz w:val="32"/>
          <w:szCs w:val="32"/>
        </w:rPr>
      </w:pPr>
      <w:r>
        <w:rPr>
          <w:rFonts w:hint="eastAsia" w:ascii="仿宋_GB2312" w:eastAsia="仿宋_GB2312"/>
          <w:b/>
          <w:sz w:val="32"/>
          <w:szCs w:val="32"/>
        </w:rPr>
        <w:t>5.附属单位上缴收入：</w:t>
      </w:r>
      <w:r>
        <w:rPr>
          <w:rFonts w:hint="eastAsia" w:ascii="仿宋_GB2312" w:eastAsia="仿宋_GB2312"/>
          <w:sz w:val="32"/>
          <w:szCs w:val="32"/>
        </w:rPr>
        <w:t>指单位附属的独立核算单位按照规定上缴的收入。</w:t>
      </w:r>
    </w:p>
    <w:p w14:paraId="27BEB297">
      <w:pPr>
        <w:spacing w:line="540" w:lineRule="exact"/>
        <w:ind w:firstLine="643" w:firstLineChars="200"/>
        <w:rPr>
          <w:rFonts w:ascii="仿宋_GB2312" w:eastAsia="仿宋_GB2312"/>
          <w:sz w:val="32"/>
          <w:szCs w:val="32"/>
        </w:rPr>
      </w:pPr>
      <w:r>
        <w:rPr>
          <w:rFonts w:hint="eastAsia" w:ascii="仿宋_GB2312" w:eastAsia="仿宋_GB2312"/>
          <w:b/>
          <w:sz w:val="32"/>
          <w:szCs w:val="32"/>
        </w:rPr>
        <w:t>6.其他收入：</w:t>
      </w:r>
      <w:r>
        <w:rPr>
          <w:rFonts w:hint="eastAsia" w:ascii="仿宋_GB2312" w:eastAsia="仿宋_GB2312"/>
          <w:sz w:val="32"/>
          <w:szCs w:val="32"/>
        </w:rPr>
        <w:t>指除上述“财政拨款收入”、“上级补助收入”、“事业收入”、“经营收入”、“附属单位上缴收入”等以外的收入。</w:t>
      </w:r>
    </w:p>
    <w:p w14:paraId="48AB369F">
      <w:pPr>
        <w:spacing w:line="540" w:lineRule="exact"/>
        <w:ind w:firstLine="643" w:firstLineChars="200"/>
        <w:rPr>
          <w:rFonts w:ascii="仿宋_GB2312" w:eastAsia="仿宋_GB2312"/>
          <w:sz w:val="32"/>
          <w:szCs w:val="32"/>
        </w:rPr>
      </w:pPr>
      <w:r>
        <w:rPr>
          <w:rFonts w:hint="eastAsia" w:ascii="仿宋_GB2312" w:eastAsia="仿宋_GB2312"/>
          <w:b/>
          <w:sz w:val="32"/>
          <w:szCs w:val="32"/>
        </w:rPr>
        <w:t>7.使用非财政拨款结余：</w:t>
      </w:r>
      <w:r>
        <w:rPr>
          <w:rFonts w:hint="eastAsia" w:ascii="仿宋_GB2312" w:eastAsia="仿宋_GB2312"/>
          <w:sz w:val="32"/>
          <w:szCs w:val="32"/>
        </w:rPr>
        <w:t>指事业单位按照预算管理要求使用非财政拨款结余弥补收支差额的金额。</w:t>
      </w:r>
    </w:p>
    <w:p w14:paraId="304C2500">
      <w:pPr>
        <w:spacing w:line="540" w:lineRule="exact"/>
        <w:ind w:firstLine="643" w:firstLineChars="200"/>
        <w:rPr>
          <w:rFonts w:ascii="仿宋_GB2312" w:eastAsia="仿宋_GB2312"/>
          <w:sz w:val="32"/>
          <w:szCs w:val="32"/>
        </w:rPr>
      </w:pPr>
      <w:r>
        <w:rPr>
          <w:rFonts w:hint="eastAsia" w:ascii="仿宋_GB2312" w:eastAsia="仿宋_GB2312"/>
          <w:b/>
          <w:sz w:val="32"/>
          <w:szCs w:val="32"/>
        </w:rPr>
        <w:t>8.上年结转和结余：</w:t>
      </w:r>
      <w:r>
        <w:rPr>
          <w:rFonts w:hint="eastAsia" w:ascii="仿宋_GB2312" w:eastAsia="仿宋_GB2312"/>
          <w:sz w:val="32"/>
          <w:szCs w:val="32"/>
        </w:rPr>
        <w:t>指以前年度尚未完成、结转到本年按有关规定继续使用的资金。</w:t>
      </w:r>
    </w:p>
    <w:p w14:paraId="05D8F14C">
      <w:pPr>
        <w:spacing w:line="540" w:lineRule="exact"/>
        <w:ind w:firstLine="643" w:firstLineChars="200"/>
        <w:rPr>
          <w:rFonts w:ascii="仿宋_GB2312" w:eastAsia="仿宋_GB2312"/>
          <w:sz w:val="32"/>
          <w:szCs w:val="32"/>
        </w:rPr>
      </w:pPr>
      <w:r>
        <w:rPr>
          <w:rFonts w:hint="eastAsia" w:ascii="仿宋_GB2312" w:eastAsia="仿宋_GB2312"/>
          <w:b/>
          <w:sz w:val="32"/>
          <w:szCs w:val="32"/>
        </w:rPr>
        <w:t>9.基本支出：</w:t>
      </w:r>
      <w:r>
        <w:rPr>
          <w:rFonts w:hint="eastAsia" w:ascii="仿宋_GB2312" w:eastAsia="仿宋_GB2312"/>
          <w:sz w:val="32"/>
          <w:szCs w:val="32"/>
        </w:rPr>
        <w:t>指保障机构正常运转、完成日常工作任务而发生的人员支出和公用支出。</w:t>
      </w:r>
    </w:p>
    <w:p w14:paraId="5585BA60">
      <w:pPr>
        <w:spacing w:line="540" w:lineRule="exact"/>
        <w:ind w:firstLine="643" w:firstLineChars="200"/>
        <w:rPr>
          <w:rFonts w:ascii="仿宋_GB2312" w:eastAsia="仿宋_GB2312"/>
          <w:sz w:val="32"/>
          <w:szCs w:val="32"/>
        </w:rPr>
      </w:pPr>
      <w:r>
        <w:rPr>
          <w:rFonts w:hint="eastAsia" w:ascii="仿宋_GB2312" w:eastAsia="仿宋_GB2312"/>
          <w:b/>
          <w:sz w:val="32"/>
          <w:szCs w:val="32"/>
        </w:rPr>
        <w:t>10.项目支出：</w:t>
      </w:r>
      <w:r>
        <w:rPr>
          <w:rFonts w:hint="eastAsia" w:ascii="仿宋_GB2312" w:eastAsia="仿宋_GB2312"/>
          <w:sz w:val="32"/>
          <w:szCs w:val="32"/>
        </w:rPr>
        <w:t>指在基本支出之外为完成特定行政任务和事业发展目标所发生的支出。</w:t>
      </w:r>
    </w:p>
    <w:p w14:paraId="340598FA">
      <w:pPr>
        <w:spacing w:line="540" w:lineRule="exact"/>
        <w:ind w:firstLine="643" w:firstLineChars="200"/>
        <w:rPr>
          <w:rFonts w:ascii="仿宋_GB2312" w:eastAsia="仿宋_GB2312"/>
          <w:sz w:val="32"/>
          <w:szCs w:val="32"/>
        </w:rPr>
      </w:pPr>
      <w:r>
        <w:rPr>
          <w:rFonts w:hint="eastAsia" w:ascii="仿宋_GB2312" w:eastAsia="仿宋_GB2312"/>
          <w:b/>
          <w:sz w:val="32"/>
          <w:szCs w:val="32"/>
        </w:rPr>
        <w:t>11.上缴上级支出：</w:t>
      </w:r>
      <w:r>
        <w:rPr>
          <w:rFonts w:hint="eastAsia" w:ascii="仿宋_GB2312" w:eastAsia="仿宋_GB2312"/>
          <w:sz w:val="32"/>
          <w:szCs w:val="32"/>
        </w:rPr>
        <w:t>指事业单位按照财政部门和主管部门的规定上缴上级单位的支出。</w:t>
      </w:r>
    </w:p>
    <w:p w14:paraId="4D740B8B">
      <w:pPr>
        <w:spacing w:line="540" w:lineRule="exact"/>
        <w:ind w:firstLine="643" w:firstLineChars="200"/>
        <w:rPr>
          <w:rFonts w:ascii="仿宋_GB2312" w:eastAsia="仿宋_GB2312"/>
          <w:sz w:val="32"/>
          <w:szCs w:val="32"/>
        </w:rPr>
      </w:pPr>
      <w:r>
        <w:rPr>
          <w:rFonts w:hint="eastAsia" w:ascii="仿宋_GB2312" w:eastAsia="仿宋_GB2312"/>
          <w:b/>
          <w:sz w:val="32"/>
          <w:szCs w:val="32"/>
        </w:rPr>
        <w:t>12.经营支出：</w:t>
      </w:r>
      <w:r>
        <w:rPr>
          <w:rFonts w:hint="eastAsia" w:ascii="仿宋_GB2312" w:eastAsia="仿宋_GB2312"/>
          <w:sz w:val="32"/>
          <w:szCs w:val="32"/>
        </w:rPr>
        <w:t>指事业单位在专业活动及辅助活动之外开展非独立核算经营活动发生的支出。</w:t>
      </w:r>
    </w:p>
    <w:p w14:paraId="11ABABD6">
      <w:pPr>
        <w:spacing w:line="540" w:lineRule="exact"/>
        <w:ind w:firstLine="643" w:firstLineChars="200"/>
        <w:rPr>
          <w:rFonts w:ascii="仿宋_GB2312" w:eastAsia="仿宋_GB2312"/>
          <w:b/>
          <w:sz w:val="32"/>
          <w:szCs w:val="32"/>
        </w:rPr>
      </w:pPr>
      <w:r>
        <w:rPr>
          <w:rFonts w:hint="eastAsia" w:ascii="仿宋_GB2312" w:eastAsia="仿宋_GB2312"/>
          <w:b/>
          <w:sz w:val="32"/>
          <w:szCs w:val="32"/>
        </w:rPr>
        <w:t>13.对附属单位补助支出：</w:t>
      </w:r>
      <w:r>
        <w:rPr>
          <w:rFonts w:hint="eastAsia" w:ascii="仿宋_GB2312" w:eastAsia="仿宋_GB2312"/>
          <w:sz w:val="32"/>
          <w:szCs w:val="32"/>
        </w:rPr>
        <w:t>指事业单位用财政补助收入之外的收入对附属单位补助发生的支出。</w:t>
      </w:r>
    </w:p>
    <w:p w14:paraId="2D45D2ED">
      <w:pPr>
        <w:spacing w:line="540" w:lineRule="exact"/>
        <w:ind w:firstLine="643" w:firstLineChars="200"/>
        <w:rPr>
          <w:rFonts w:ascii="仿宋_GB2312" w:eastAsia="仿宋_GB2312"/>
          <w:sz w:val="32"/>
          <w:szCs w:val="32"/>
        </w:rPr>
      </w:pPr>
      <w:r>
        <w:rPr>
          <w:rFonts w:hint="eastAsia" w:ascii="仿宋_GB2312" w:eastAsia="仿宋_GB2312"/>
          <w:b/>
          <w:sz w:val="32"/>
          <w:szCs w:val="32"/>
        </w:rPr>
        <w:t>14.“三公”经费：</w:t>
      </w:r>
      <w:r>
        <w:rPr>
          <w:rFonts w:hint="eastAsia" w:ascii="仿宋_GB2312" w:eastAsia="仿宋_GB2312"/>
          <w:sz w:val="32"/>
          <w:szCs w:val="32"/>
        </w:rPr>
        <w:t>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14:paraId="5F4A69A5">
      <w:pPr>
        <w:spacing w:line="540" w:lineRule="exact"/>
        <w:ind w:firstLine="643" w:firstLineChars="200"/>
        <w:rPr>
          <w:rFonts w:ascii="仿宋_GB2312" w:eastAsia="仿宋_GB2312"/>
          <w:sz w:val="32"/>
          <w:szCs w:val="32"/>
        </w:rPr>
      </w:pPr>
      <w:r>
        <w:rPr>
          <w:rFonts w:hint="eastAsia" w:ascii="仿宋_GB2312" w:eastAsia="仿宋_GB2312"/>
          <w:b/>
          <w:bCs/>
          <w:sz w:val="32"/>
          <w:szCs w:val="32"/>
        </w:rPr>
        <w:t>15.机关运行经费：</w:t>
      </w:r>
      <w:r>
        <w:rPr>
          <w:rFonts w:hint="eastAsia" w:ascii="仿宋_GB2312" w:eastAsia="仿宋_GB2312"/>
          <w:sz w:val="32"/>
          <w:szCs w:val="32"/>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6B8454DB">
      <w:pPr>
        <w:spacing w:line="600" w:lineRule="exact"/>
        <w:ind w:firstLine="643" w:firstLineChars="200"/>
        <w:rPr>
          <w:rFonts w:ascii="仿宋_GB2312" w:hAnsi="仿宋_GB2312" w:eastAsia="仿宋_GB2312" w:cs="仿宋_GB2312"/>
          <w:bCs/>
          <w:sz w:val="32"/>
          <w:szCs w:val="32"/>
        </w:rPr>
      </w:pPr>
      <w:r>
        <w:rPr>
          <w:rFonts w:hint="eastAsia" w:ascii="仿宋_GB2312" w:hAnsi="仿宋_GB2312" w:eastAsia="仿宋_GB2312" w:cs="仿宋_GB2312"/>
          <w:b/>
          <w:sz w:val="32"/>
          <w:szCs w:val="32"/>
        </w:rPr>
        <w:t>16.行政事业性收费收入：</w:t>
      </w:r>
      <w:r>
        <w:rPr>
          <w:rFonts w:hint="eastAsia" w:ascii="仿宋_GB2312" w:hAnsi="仿宋_GB2312" w:eastAsia="仿宋_GB2312" w:cs="仿宋_GB2312"/>
          <w:bCs/>
          <w:sz w:val="32"/>
          <w:szCs w:val="32"/>
        </w:rPr>
        <w:t>指依据法律、行政法规、国务院有关规定、国务院财政部门会同价格主管部门共同发布的规章或者规定，省、自治区、直辖市人民政府财政部门会同价格主管部门共同发布的规定所收取的各项收费收入。</w:t>
      </w:r>
    </w:p>
    <w:p w14:paraId="0F7911EC">
      <w:pPr>
        <w:spacing w:line="600" w:lineRule="exact"/>
        <w:rPr>
          <w:rFonts w:ascii="仿宋_GB2312" w:hAnsi="仿宋_GB2312" w:eastAsia="仿宋_GB2312" w:cs="仿宋_GB2312"/>
          <w:bCs/>
          <w:sz w:val="32"/>
          <w:szCs w:val="32"/>
        </w:rPr>
      </w:pPr>
      <w:r>
        <w:rPr>
          <w:rFonts w:hint="eastAsia" w:ascii="仿宋_GB2312" w:hAnsi="仿宋_GB2312" w:eastAsia="仿宋_GB2312" w:cs="仿宋_GB2312"/>
          <w:bCs/>
          <w:sz w:val="32"/>
          <w:szCs w:val="32"/>
        </w:rPr>
        <w:t>　　</w:t>
      </w:r>
      <w:r>
        <w:rPr>
          <w:rFonts w:hint="eastAsia" w:ascii="仿宋_GB2312" w:hAnsi="仿宋_GB2312" w:eastAsia="仿宋_GB2312" w:cs="仿宋_GB2312"/>
          <w:b/>
          <w:sz w:val="32"/>
          <w:szCs w:val="32"/>
        </w:rPr>
        <w:t>17.政府性基金收入：</w:t>
      </w:r>
      <w:r>
        <w:rPr>
          <w:rFonts w:hint="eastAsia" w:ascii="仿宋_GB2312" w:hAnsi="仿宋_GB2312" w:eastAsia="仿宋_GB2312" w:cs="仿宋_GB2312"/>
          <w:bCs/>
          <w:sz w:val="32"/>
          <w:szCs w:val="32"/>
        </w:rPr>
        <w:t>反映各级政府及其所属部门根据法律、行政法规规定并经国务院或财政部批准，向公民、法人和其他组织征收的政府性基金，以及参照政府性基金管理或纳入基金预算、具有特定用途的财政资金。</w:t>
      </w:r>
    </w:p>
    <w:p w14:paraId="015F394D">
      <w:pPr>
        <w:spacing w:line="540" w:lineRule="exact"/>
        <w:ind w:firstLine="643" w:firstLineChars="200"/>
        <w:jc w:val="left"/>
        <w:rPr>
          <w:rFonts w:ascii="仿宋" w:hAnsi="仿宋" w:eastAsia="仿宋"/>
          <w:sz w:val="32"/>
          <w:szCs w:val="32"/>
        </w:rPr>
      </w:pPr>
      <w:r>
        <w:rPr>
          <w:rFonts w:hint="eastAsia" w:ascii="仿宋" w:hAnsi="仿宋" w:eastAsia="仿宋"/>
          <w:b/>
          <w:bCs/>
          <w:sz w:val="32"/>
          <w:szCs w:val="32"/>
        </w:rPr>
        <w:t>18.工资福利支出：</w:t>
      </w:r>
      <w:r>
        <w:rPr>
          <w:rFonts w:hint="eastAsia" w:ascii="仿宋" w:hAnsi="仿宋" w:eastAsia="仿宋"/>
          <w:sz w:val="32"/>
          <w:szCs w:val="32"/>
        </w:rPr>
        <w:t>反映单位开支的在职职工和编制外长期聘用人员的各类劳动报酬，以及为上述人员缴纳的各项社会保险费等。</w:t>
      </w:r>
    </w:p>
    <w:p w14:paraId="16D5822A">
      <w:pPr>
        <w:spacing w:line="540" w:lineRule="exact"/>
        <w:ind w:firstLine="643" w:firstLineChars="200"/>
        <w:jc w:val="left"/>
        <w:rPr>
          <w:rFonts w:ascii="仿宋" w:hAnsi="仿宋" w:eastAsia="仿宋"/>
          <w:sz w:val="32"/>
          <w:szCs w:val="32"/>
        </w:rPr>
      </w:pPr>
      <w:r>
        <w:rPr>
          <w:rFonts w:hint="eastAsia" w:ascii="仿宋" w:hAnsi="仿宋" w:eastAsia="仿宋"/>
          <w:b/>
          <w:bCs/>
          <w:sz w:val="32"/>
          <w:szCs w:val="32"/>
        </w:rPr>
        <w:t>19.商品和服务支出：</w:t>
      </w:r>
      <w:r>
        <w:rPr>
          <w:rFonts w:hint="eastAsia" w:ascii="仿宋" w:hAnsi="仿宋" w:eastAsia="仿宋"/>
          <w:sz w:val="32"/>
          <w:szCs w:val="32"/>
        </w:rPr>
        <w:t>反映单位购买商品和服务的支出，不包括用于购置固定资产、战略性和应急性物资储备等资本性支出。</w:t>
      </w:r>
    </w:p>
    <w:p w14:paraId="4C0589E6">
      <w:pPr>
        <w:spacing w:line="540" w:lineRule="exact"/>
        <w:ind w:firstLine="643" w:firstLineChars="200"/>
        <w:jc w:val="left"/>
        <w:rPr>
          <w:rFonts w:ascii="仿宋" w:hAnsi="仿宋" w:eastAsia="仿宋"/>
          <w:sz w:val="32"/>
          <w:szCs w:val="32"/>
        </w:rPr>
      </w:pPr>
      <w:r>
        <w:rPr>
          <w:rFonts w:hint="eastAsia" w:ascii="仿宋" w:hAnsi="仿宋" w:eastAsia="仿宋"/>
          <w:b/>
          <w:bCs/>
          <w:sz w:val="32"/>
          <w:szCs w:val="32"/>
        </w:rPr>
        <w:t>20.对个人和家庭补助：</w:t>
      </w:r>
      <w:r>
        <w:rPr>
          <w:rFonts w:hint="eastAsia" w:ascii="仿宋" w:hAnsi="仿宋" w:eastAsia="仿宋"/>
          <w:sz w:val="32"/>
          <w:szCs w:val="32"/>
        </w:rPr>
        <w:t>反映政府用于对个人和家庭的补助支出。</w:t>
      </w:r>
    </w:p>
    <w:p w14:paraId="0A824660">
      <w:pPr>
        <w:spacing w:line="540" w:lineRule="exact"/>
        <w:ind w:firstLine="643" w:firstLineChars="200"/>
        <w:jc w:val="left"/>
        <w:rPr>
          <w:rFonts w:ascii="仿宋" w:hAnsi="仿宋" w:eastAsia="仿宋"/>
          <w:sz w:val="32"/>
          <w:szCs w:val="32"/>
        </w:rPr>
      </w:pPr>
      <w:r>
        <w:rPr>
          <w:rFonts w:hint="eastAsia" w:ascii="仿宋" w:hAnsi="仿宋" w:eastAsia="仿宋"/>
          <w:b/>
          <w:bCs/>
          <w:sz w:val="32"/>
          <w:szCs w:val="32"/>
        </w:rPr>
        <w:t>21.资本性支出：</w:t>
      </w:r>
      <w:r>
        <w:rPr>
          <w:rFonts w:hint="eastAsia" w:ascii="仿宋" w:hAnsi="仿宋" w:eastAsia="仿宋"/>
          <w:sz w:val="32"/>
          <w:szCs w:val="32"/>
        </w:rPr>
        <w:t>反映各单位安排的资本性支出。切块由发展改革部门安排的基本建设支出不在此科目反映。</w:t>
      </w:r>
    </w:p>
    <w:p w14:paraId="6D7C5070">
      <w:pPr>
        <w:spacing w:line="600" w:lineRule="exact"/>
        <w:ind w:firstLine="643" w:firstLineChars="200"/>
        <w:rPr>
          <w:rFonts w:ascii="仿宋_GB2312" w:hAnsi="仿宋_GB2312" w:eastAsia="仿宋" w:cs="仿宋_GB2312"/>
          <w:bCs/>
          <w:sz w:val="32"/>
          <w:szCs w:val="32"/>
        </w:rPr>
      </w:pPr>
      <w:r>
        <w:rPr>
          <w:rFonts w:hint="eastAsia" w:ascii="仿宋" w:hAnsi="仿宋" w:eastAsia="仿宋"/>
          <w:b/>
          <w:sz w:val="32"/>
          <w:szCs w:val="32"/>
        </w:rPr>
        <w:t>22</w:t>
      </w:r>
      <w:r>
        <w:rPr>
          <w:rFonts w:hint="eastAsia" w:ascii="仿宋_GB2312" w:hAnsi="仿宋_GB2312" w:eastAsia="仿宋_GB2312" w:cs="仿宋_GB2312"/>
          <w:bCs/>
          <w:sz w:val="32"/>
          <w:szCs w:val="32"/>
        </w:rPr>
        <w:t>.</w:t>
      </w:r>
      <w:r>
        <w:rPr>
          <w:rFonts w:hint="eastAsia" w:ascii="仿宋_GB2312" w:hAnsi="仿宋_GB2312" w:eastAsia="仿宋_GB2312" w:cs="仿宋_GB2312"/>
          <w:b/>
          <w:sz w:val="32"/>
          <w:szCs w:val="32"/>
        </w:rPr>
        <w:t>一般公共服务支出</w:t>
      </w:r>
      <w:r>
        <w:rPr>
          <w:rFonts w:hint="eastAsia" w:ascii="仿宋" w:hAnsi="仿宋" w:eastAsia="仿宋"/>
          <w:b/>
          <w:sz w:val="32"/>
          <w:szCs w:val="32"/>
        </w:rPr>
        <w:t>（</w:t>
      </w:r>
      <w:r>
        <w:rPr>
          <w:rFonts w:hint="eastAsia" w:ascii="仿宋" w:hAnsi="仿宋" w:eastAsia="仿宋"/>
          <w:b/>
          <w:bCs/>
          <w:sz w:val="32"/>
          <w:szCs w:val="32"/>
        </w:rPr>
        <w:t>类）政府办公厅（室）及相关机构事务（款）信访事务（项）：</w:t>
      </w:r>
      <w:r>
        <w:rPr>
          <w:rFonts w:hint="eastAsia" w:ascii="仿宋" w:hAnsi="仿宋" w:eastAsia="仿宋"/>
          <w:sz w:val="32"/>
          <w:szCs w:val="32"/>
        </w:rPr>
        <w:t>反映各级政府用于接待群众来信来访方面的支出。</w:t>
      </w:r>
    </w:p>
    <w:p w14:paraId="302B679A">
      <w:pPr>
        <w:spacing w:line="540" w:lineRule="exact"/>
        <w:ind w:firstLine="643" w:firstLineChars="200"/>
        <w:jc w:val="left"/>
        <w:rPr>
          <w:rFonts w:ascii="仿宋" w:hAnsi="仿宋" w:eastAsia="仿宋"/>
          <w:b/>
          <w:sz w:val="32"/>
          <w:szCs w:val="32"/>
        </w:rPr>
      </w:pPr>
      <w:r>
        <w:rPr>
          <w:rFonts w:hint="eastAsia" w:ascii="仿宋" w:hAnsi="仿宋" w:eastAsia="仿宋"/>
          <w:b/>
          <w:sz w:val="32"/>
          <w:szCs w:val="32"/>
        </w:rPr>
        <w:t>23.社会保障和就业（类）行政事业单位离退休（款）行政单位离退休（项）：</w:t>
      </w:r>
      <w:r>
        <w:rPr>
          <w:rFonts w:hint="eastAsia" w:ascii="仿宋" w:hAnsi="仿宋" w:eastAsia="仿宋"/>
          <w:sz w:val="32"/>
          <w:szCs w:val="32"/>
        </w:rPr>
        <w:t>反映实行归口管理的行政单位（包括实行公务员管理的事业单位）开支的离退休经费。</w:t>
      </w:r>
    </w:p>
    <w:p w14:paraId="2C940BCD">
      <w:pPr>
        <w:spacing w:line="540" w:lineRule="exact"/>
        <w:ind w:firstLine="643" w:firstLineChars="200"/>
        <w:jc w:val="left"/>
        <w:rPr>
          <w:rFonts w:ascii="仿宋" w:hAnsi="仿宋" w:eastAsia="仿宋"/>
          <w:sz w:val="32"/>
          <w:szCs w:val="32"/>
        </w:rPr>
      </w:pPr>
      <w:r>
        <w:rPr>
          <w:rFonts w:hint="eastAsia" w:ascii="仿宋" w:hAnsi="仿宋" w:eastAsia="仿宋"/>
          <w:b/>
          <w:sz w:val="32"/>
          <w:szCs w:val="32"/>
        </w:rPr>
        <w:t>24.社会保障和就业（类）行政事业单位离退休（款）事业单位离退休（项）：</w:t>
      </w:r>
      <w:r>
        <w:rPr>
          <w:rFonts w:hint="eastAsia" w:ascii="仿宋" w:hAnsi="仿宋" w:eastAsia="仿宋"/>
          <w:sz w:val="32"/>
          <w:szCs w:val="32"/>
        </w:rPr>
        <w:t>反映实行归口管理的事业单位开支的离退休经费。</w:t>
      </w:r>
    </w:p>
    <w:p w14:paraId="0764BC01">
      <w:pPr>
        <w:spacing w:line="540" w:lineRule="exact"/>
        <w:ind w:firstLine="643" w:firstLineChars="200"/>
        <w:jc w:val="left"/>
        <w:rPr>
          <w:rFonts w:ascii="仿宋_GB2312" w:hAnsi="宋体" w:eastAsia="仿宋_GB2312"/>
          <w:sz w:val="32"/>
          <w:szCs w:val="32"/>
        </w:rPr>
      </w:pPr>
      <w:r>
        <w:rPr>
          <w:rFonts w:hint="eastAsia" w:ascii="仿宋_GB2312" w:hAnsi="宋体" w:eastAsia="仿宋_GB2312"/>
          <w:b/>
          <w:bCs/>
          <w:sz w:val="32"/>
          <w:szCs w:val="32"/>
        </w:rPr>
        <w:t>25.社会保障和就业支出（类）行政事业单位养老支出（款）机关事业单位基本养老保险缴费支出（项）</w:t>
      </w:r>
      <w:r>
        <w:rPr>
          <w:rFonts w:hint="eastAsia" w:ascii="仿宋_GB2312" w:hAnsi="宋体" w:eastAsia="仿宋_GB2312"/>
          <w:sz w:val="32"/>
          <w:szCs w:val="32"/>
        </w:rPr>
        <w:t>：反映机关事业单位实施养老保险制度由单位缴纳的基本养老保险费支出。</w:t>
      </w:r>
    </w:p>
    <w:p w14:paraId="42436155">
      <w:pPr>
        <w:spacing w:line="540" w:lineRule="exact"/>
        <w:ind w:firstLine="643" w:firstLineChars="200"/>
        <w:jc w:val="left"/>
        <w:rPr>
          <w:rFonts w:ascii="仿宋_GB2312" w:hAnsi="宋体" w:eastAsia="仿宋_GB2312"/>
          <w:sz w:val="32"/>
          <w:szCs w:val="32"/>
        </w:rPr>
      </w:pPr>
      <w:r>
        <w:rPr>
          <w:rFonts w:hint="eastAsia" w:ascii="仿宋_GB2312" w:hAnsi="宋体" w:eastAsia="仿宋_GB2312"/>
          <w:b/>
          <w:bCs/>
          <w:sz w:val="32"/>
          <w:szCs w:val="32"/>
        </w:rPr>
        <w:t>26.社会保障和就业支出（类）行政事业单位养老支出（款）机关事业单位职业年金缴费支出（项）</w:t>
      </w:r>
      <w:r>
        <w:rPr>
          <w:rFonts w:hint="eastAsia" w:ascii="仿宋_GB2312" w:hAnsi="宋体" w:eastAsia="仿宋_GB2312"/>
          <w:sz w:val="32"/>
          <w:szCs w:val="32"/>
        </w:rPr>
        <w:t>：反映机关事业单位实施养老保险制度由单位实际缴纳的职业年金支出。</w:t>
      </w:r>
    </w:p>
    <w:p w14:paraId="7A979594">
      <w:pPr>
        <w:spacing w:line="540" w:lineRule="exact"/>
        <w:ind w:firstLine="643" w:firstLineChars="200"/>
        <w:jc w:val="left"/>
        <w:rPr>
          <w:rFonts w:ascii="仿宋" w:hAnsi="仿宋" w:eastAsia="仿宋"/>
          <w:b/>
          <w:sz w:val="32"/>
          <w:szCs w:val="32"/>
        </w:rPr>
      </w:pPr>
      <w:r>
        <w:rPr>
          <w:rFonts w:hint="eastAsia" w:ascii="仿宋" w:hAnsi="仿宋" w:eastAsia="仿宋"/>
          <w:b/>
          <w:sz w:val="32"/>
          <w:szCs w:val="32"/>
        </w:rPr>
        <w:t>27.社会保障和就业（类）抚恤（款）死亡抚恤（项）：</w:t>
      </w:r>
      <w:r>
        <w:rPr>
          <w:rFonts w:hint="eastAsia" w:ascii="仿宋" w:hAnsi="仿宋" w:eastAsia="仿宋"/>
          <w:sz w:val="32"/>
          <w:szCs w:val="32"/>
        </w:rPr>
        <w:t>反映按规定用于烈士和牺牲、病故人员家属的一次性和定期抚恤金以及丧葬补助费。</w:t>
      </w:r>
    </w:p>
    <w:p w14:paraId="27D02645">
      <w:pPr>
        <w:spacing w:line="600" w:lineRule="exact"/>
        <w:ind w:firstLine="643" w:firstLineChars="200"/>
        <w:rPr>
          <w:rFonts w:ascii="仿宋_GB2312" w:hAnsi="仿宋_GB2312" w:eastAsia="仿宋_GB2312" w:cs="仿宋_GB2312"/>
          <w:bCs/>
          <w:sz w:val="32"/>
          <w:szCs w:val="32"/>
        </w:rPr>
      </w:pPr>
      <w:r>
        <w:rPr>
          <w:rFonts w:hint="eastAsia" w:ascii="仿宋" w:hAnsi="仿宋" w:eastAsia="仿宋"/>
          <w:b/>
          <w:bCs/>
          <w:sz w:val="32"/>
          <w:szCs w:val="32"/>
        </w:rPr>
        <w:t>28.社会保障和就业支出（类）其他社会保障和就业支出（款）其他社会保障和就业支出（项）</w:t>
      </w:r>
      <w:r>
        <w:rPr>
          <w:rFonts w:hint="eastAsia" w:ascii="仿宋" w:hAnsi="仿宋" w:eastAsia="仿宋"/>
          <w:sz w:val="32"/>
          <w:szCs w:val="32"/>
        </w:rPr>
        <w:t>：反映除上述项目以外其他用于社会保障和就业方面的支出。</w:t>
      </w:r>
    </w:p>
    <w:p w14:paraId="2D63729D">
      <w:pPr>
        <w:spacing w:line="540" w:lineRule="exact"/>
        <w:ind w:firstLine="643" w:firstLineChars="200"/>
        <w:jc w:val="left"/>
        <w:rPr>
          <w:rFonts w:ascii="仿宋" w:hAnsi="仿宋" w:eastAsia="仿宋"/>
          <w:sz w:val="32"/>
          <w:szCs w:val="32"/>
        </w:rPr>
      </w:pPr>
      <w:r>
        <w:rPr>
          <w:rFonts w:hint="eastAsia" w:ascii="仿宋" w:hAnsi="仿宋" w:eastAsia="仿宋"/>
          <w:b/>
          <w:sz w:val="32"/>
          <w:szCs w:val="32"/>
        </w:rPr>
        <w:t>29.医疗卫生与计划生育（类）行政事业单位医疗（款）行政单位医疗（项）：</w:t>
      </w:r>
      <w:r>
        <w:rPr>
          <w:rFonts w:hint="eastAsia" w:ascii="仿宋" w:hAnsi="仿宋" w:eastAsia="仿宋"/>
          <w:sz w:val="32"/>
          <w:szCs w:val="32"/>
        </w:rPr>
        <w:t>反映财政部门集中安排的行政单位基本医疗保险缴费经费，未参加医疗保险的行政单位的公费医疗经费，按国家规定享受离休人员、红军老战士待遇人员的医疗经费。</w:t>
      </w:r>
    </w:p>
    <w:p w14:paraId="1FE05E78">
      <w:pPr>
        <w:spacing w:line="540" w:lineRule="exact"/>
        <w:ind w:firstLine="643" w:firstLineChars="200"/>
        <w:jc w:val="left"/>
        <w:rPr>
          <w:rFonts w:ascii="仿宋" w:hAnsi="仿宋" w:eastAsia="仿宋"/>
          <w:sz w:val="32"/>
          <w:szCs w:val="32"/>
        </w:rPr>
      </w:pPr>
      <w:r>
        <w:rPr>
          <w:rFonts w:hint="eastAsia" w:ascii="仿宋" w:hAnsi="仿宋" w:eastAsia="仿宋"/>
          <w:b/>
          <w:sz w:val="32"/>
          <w:szCs w:val="32"/>
        </w:rPr>
        <w:t>30. 医疗卫生与计划生育（类）行政事业单位医疗（款）事业单位医疗（项）：</w:t>
      </w:r>
      <w:r>
        <w:rPr>
          <w:rFonts w:hint="eastAsia" w:ascii="仿宋" w:hAnsi="仿宋" w:eastAsia="仿宋"/>
          <w:sz w:val="32"/>
          <w:szCs w:val="32"/>
        </w:rPr>
        <w:t>反映财政部门集中安排的事业单位基本医疗保险缴费经费，未参加医疗保险的事业单位的公费医疗经费，按国家规定享受离休人员待遇的医疗经费。</w:t>
      </w:r>
    </w:p>
    <w:p w14:paraId="3AD0BE32">
      <w:pPr>
        <w:spacing w:line="540" w:lineRule="exact"/>
        <w:ind w:firstLine="643" w:firstLineChars="200"/>
        <w:jc w:val="left"/>
        <w:rPr>
          <w:rFonts w:ascii="仿宋" w:hAnsi="仿宋" w:eastAsia="仿宋"/>
          <w:sz w:val="32"/>
          <w:szCs w:val="32"/>
        </w:rPr>
      </w:pPr>
      <w:r>
        <w:rPr>
          <w:rFonts w:hint="eastAsia" w:ascii="仿宋_GB2312" w:hAnsi="宋体" w:eastAsia="仿宋_GB2312"/>
          <w:b/>
          <w:bCs/>
          <w:sz w:val="32"/>
          <w:szCs w:val="32"/>
        </w:rPr>
        <w:t>31.卫生健康支出（类）行政事业单位医疗（款）其他行政事业单位医疗支出（项）：</w:t>
      </w:r>
      <w:r>
        <w:rPr>
          <w:rFonts w:hint="eastAsia" w:ascii="仿宋_GB2312" w:hAnsi="宋体" w:eastAsia="仿宋_GB2312"/>
          <w:sz w:val="32"/>
          <w:szCs w:val="32"/>
        </w:rPr>
        <w:t>反映除上述项目以外的其他用于行政事业单位医疗方面的支出。</w:t>
      </w:r>
    </w:p>
    <w:p w14:paraId="4D5BB525">
      <w:pPr>
        <w:spacing w:line="540" w:lineRule="exact"/>
        <w:ind w:firstLine="643" w:firstLineChars="200"/>
        <w:jc w:val="left"/>
        <w:rPr>
          <w:rFonts w:ascii="仿宋" w:hAnsi="仿宋" w:eastAsia="仿宋"/>
          <w:b/>
          <w:sz w:val="32"/>
          <w:szCs w:val="32"/>
        </w:rPr>
      </w:pPr>
      <w:r>
        <w:rPr>
          <w:rFonts w:hint="eastAsia" w:ascii="仿宋" w:hAnsi="仿宋" w:eastAsia="仿宋"/>
          <w:b/>
          <w:sz w:val="32"/>
          <w:szCs w:val="32"/>
        </w:rPr>
        <w:t>32.住房保障（类）住房改革（款）住房公积金（项）：</w:t>
      </w:r>
      <w:r>
        <w:rPr>
          <w:rFonts w:hint="eastAsia" w:ascii="仿宋" w:hAnsi="仿宋" w:eastAsia="仿宋"/>
          <w:sz w:val="32"/>
          <w:szCs w:val="32"/>
        </w:rPr>
        <w:t>反映行政事业单位按人力资源和社会保障部、财政部规定的基本工资和津贴补贴以及规定比例为职工缴纳的住房公积金。</w:t>
      </w:r>
    </w:p>
    <w:p w14:paraId="32E8CC06">
      <w:pPr>
        <w:spacing w:line="600" w:lineRule="exact"/>
        <w:ind w:firstLine="640"/>
        <w:rPr>
          <w:rFonts w:ascii="仿宋_GB2312" w:hAnsi="仿宋_GB2312" w:eastAsia="仿宋_GB2312" w:cs="仿宋_GB2312"/>
          <w:bCs/>
          <w:sz w:val="32"/>
          <w:szCs w:val="32"/>
        </w:rPr>
      </w:pPr>
      <w:r>
        <w:rPr>
          <w:rFonts w:hint="eastAsia" w:ascii="仿宋_GB2312" w:hAnsi="仿宋_GB2312" w:eastAsia="仿宋_GB2312" w:cs="仿宋_GB2312"/>
          <w:b/>
          <w:sz w:val="32"/>
          <w:szCs w:val="32"/>
        </w:rPr>
        <w:t>33</w:t>
      </w:r>
      <w:r>
        <w:rPr>
          <w:rFonts w:hint="eastAsia" w:ascii="仿宋" w:hAnsi="仿宋" w:eastAsia="仿宋"/>
          <w:b/>
          <w:sz w:val="32"/>
          <w:szCs w:val="32"/>
        </w:rPr>
        <w:t>.自然资源海洋气象等支出（类）自然资源事务（款）：行政运行（项）：</w:t>
      </w:r>
      <w:r>
        <w:rPr>
          <w:rFonts w:hint="eastAsia" w:ascii="仿宋_GB2312" w:hAnsi="仿宋_GB2312" w:eastAsia="仿宋_GB2312" w:cs="仿宋_GB2312"/>
          <w:bCs/>
          <w:sz w:val="32"/>
          <w:szCs w:val="32"/>
        </w:rPr>
        <w:t>反映行政单位（包括实行公务员管理的事业单位）的基本支出</w:t>
      </w:r>
    </w:p>
    <w:p w14:paraId="4C4B5CD9">
      <w:pPr>
        <w:spacing w:line="600" w:lineRule="exact"/>
        <w:ind w:firstLine="640"/>
        <w:rPr>
          <w:rFonts w:ascii="仿宋_GB2312" w:hAnsi="仿宋_GB2312" w:eastAsia="仿宋_GB2312" w:cs="仿宋_GB2312"/>
          <w:bCs/>
          <w:sz w:val="32"/>
          <w:szCs w:val="32"/>
        </w:rPr>
      </w:pPr>
      <w:r>
        <w:rPr>
          <w:rFonts w:hint="eastAsia" w:ascii="仿宋" w:hAnsi="仿宋" w:eastAsia="仿宋"/>
          <w:b/>
          <w:sz w:val="32"/>
          <w:szCs w:val="32"/>
        </w:rPr>
        <w:t>34.自然资源海洋气象等支出（类）自然资源事务（款）一般行政管理事务（项）：</w:t>
      </w:r>
      <w:r>
        <w:rPr>
          <w:rFonts w:hint="eastAsia" w:ascii="仿宋_GB2312" w:hAnsi="仿宋_GB2312" w:eastAsia="仿宋_GB2312" w:cs="仿宋_GB2312"/>
          <w:bCs/>
          <w:sz w:val="32"/>
          <w:szCs w:val="32"/>
        </w:rPr>
        <w:t>反映行政单位（包括实行公务员管理的事业单位）未单独设置项级科目的其它项目支出。</w:t>
      </w:r>
    </w:p>
    <w:p w14:paraId="097A7458">
      <w:pPr>
        <w:spacing w:line="540" w:lineRule="exact"/>
        <w:jc w:val="left"/>
        <w:rPr>
          <w:rFonts w:ascii="仿宋_GB2312" w:hAnsi="仿宋_GB2312" w:eastAsia="仿宋_GB2312" w:cs="仿宋_GB2312"/>
          <w:bCs/>
          <w:sz w:val="32"/>
          <w:szCs w:val="32"/>
        </w:rPr>
      </w:pPr>
      <w:r>
        <w:rPr>
          <w:rFonts w:hint="eastAsia" w:ascii="仿宋_GB2312" w:hAnsi="仿宋_GB2312" w:eastAsia="仿宋_GB2312" w:cs="仿宋_GB2312"/>
          <w:b/>
          <w:sz w:val="32"/>
          <w:szCs w:val="32"/>
        </w:rPr>
        <w:t xml:space="preserve">    35.自然资源海洋气象等支出（类）自然资源事务（款）其他自然资源事务支出（项）：</w:t>
      </w:r>
      <w:r>
        <w:rPr>
          <w:rFonts w:hint="eastAsia" w:ascii="仿宋_GB2312" w:hAnsi="仿宋_GB2312" w:eastAsia="仿宋_GB2312" w:cs="仿宋_GB2312"/>
          <w:bCs/>
          <w:sz w:val="32"/>
          <w:szCs w:val="32"/>
        </w:rPr>
        <w:t>反映上述项目以外其他用于自然资源事务方面的支出。</w:t>
      </w:r>
    </w:p>
    <w:p w14:paraId="4B60C4EF">
      <w:pPr>
        <w:spacing w:line="540" w:lineRule="exact"/>
        <w:jc w:val="left"/>
        <w:rPr>
          <w:rFonts w:ascii="仿宋" w:hAnsi="仿宋" w:eastAsia="仿宋"/>
          <w:bCs/>
          <w:sz w:val="32"/>
          <w:szCs w:val="32"/>
        </w:rPr>
      </w:pPr>
      <w:r>
        <w:rPr>
          <w:rFonts w:hint="eastAsia" w:ascii="仿宋_GB2312" w:hAnsi="仿宋_GB2312" w:eastAsia="仿宋_GB2312" w:cs="仿宋_GB2312"/>
          <w:b/>
          <w:sz w:val="32"/>
          <w:szCs w:val="32"/>
        </w:rPr>
        <w:t xml:space="preserve">    36.自然资源海洋气象等支出（类）自然资源事务（款）事业运行（项）：</w:t>
      </w:r>
      <w:r>
        <w:rPr>
          <w:rFonts w:hint="eastAsia" w:ascii="仿宋" w:hAnsi="仿宋" w:eastAsia="仿宋"/>
          <w:bCs/>
          <w:sz w:val="32"/>
          <w:szCs w:val="32"/>
        </w:rPr>
        <w:t>反映事业单位的基本支出，不包括行政单位（包括实行公务员管理的事业单位）后勤服务中心、医务室等附属事业单位。</w:t>
      </w:r>
    </w:p>
    <w:p w14:paraId="442756B5">
      <w:pPr>
        <w:spacing w:line="540" w:lineRule="exact"/>
        <w:ind w:firstLine="643" w:firstLineChars="200"/>
        <w:rPr>
          <w:rFonts w:ascii="仿宋" w:hAnsi="仿宋" w:eastAsia="仿宋"/>
          <w:sz w:val="32"/>
          <w:szCs w:val="32"/>
        </w:rPr>
      </w:pPr>
      <w:r>
        <w:rPr>
          <w:rFonts w:hint="eastAsia" w:ascii="仿宋" w:hAnsi="仿宋" w:eastAsia="仿宋"/>
          <w:b/>
          <w:sz w:val="32"/>
          <w:szCs w:val="32"/>
        </w:rPr>
        <w:t>37</w:t>
      </w:r>
      <w:r>
        <w:rPr>
          <w:rFonts w:hint="eastAsia" w:ascii="仿宋" w:hAnsi="仿宋" w:eastAsia="仿宋"/>
          <w:sz w:val="32"/>
          <w:szCs w:val="32"/>
        </w:rPr>
        <w:t>.</w:t>
      </w:r>
      <w:r>
        <w:rPr>
          <w:rFonts w:hint="eastAsia" w:ascii="仿宋" w:hAnsi="仿宋" w:eastAsia="仿宋"/>
          <w:b/>
          <w:sz w:val="32"/>
          <w:szCs w:val="32"/>
        </w:rPr>
        <w:t>其他支出（类）其他支出（款）其他支出（项）</w:t>
      </w:r>
      <w:r>
        <w:rPr>
          <w:rFonts w:hint="eastAsia" w:ascii="仿宋" w:hAnsi="仿宋" w:eastAsia="仿宋"/>
          <w:sz w:val="32"/>
          <w:szCs w:val="32"/>
        </w:rPr>
        <w:t>反映除上述项目以外其他不能划分到具体功能科目的支出项目。</w:t>
      </w:r>
    </w:p>
    <w:p w14:paraId="539CE572">
      <w:pPr>
        <w:spacing w:line="600" w:lineRule="exact"/>
        <w:ind w:firstLine="640"/>
        <w:rPr>
          <w:rFonts w:eastAsia="仿宋_GB2312"/>
          <w:b/>
          <w:sz w:val="32"/>
          <w:szCs w:val="32"/>
        </w:rPr>
        <w:sectPr>
          <w:footerReference r:id="rId3" w:type="default"/>
          <w:footerReference r:id="rId4" w:type="even"/>
          <w:pgSz w:w="11906" w:h="16838"/>
          <w:pgMar w:top="1418" w:right="1701" w:bottom="1418" w:left="1701" w:header="851" w:footer="992" w:gutter="0"/>
          <w:cols w:space="720" w:num="1"/>
          <w:docGrid w:type="lines" w:linePitch="312" w:charSpace="0"/>
        </w:sectPr>
      </w:pPr>
    </w:p>
    <w:p w14:paraId="510A78B3">
      <w:pPr>
        <w:spacing w:line="540" w:lineRule="exact"/>
        <w:jc w:val="center"/>
        <w:rPr>
          <w:rFonts w:ascii="仿宋_GB2312" w:eastAsia="仿宋_GB2312"/>
          <w:sz w:val="52"/>
          <w:szCs w:val="52"/>
        </w:rPr>
      </w:pPr>
      <w:r>
        <w:rPr>
          <w:rFonts w:hint="eastAsia" w:ascii="宋体" w:hAnsi="宋体"/>
          <w:b/>
          <w:sz w:val="52"/>
          <w:szCs w:val="52"/>
        </w:rPr>
        <w:t>第四部分 2021年度部门决算表</w:t>
      </w:r>
    </w:p>
    <w:p w14:paraId="3966B65F">
      <w:pPr>
        <w:spacing w:line="540" w:lineRule="exact"/>
        <w:jc w:val="center"/>
        <w:rPr>
          <w:sz w:val="32"/>
          <w:szCs w:val="32"/>
        </w:rPr>
      </w:pPr>
    </w:p>
    <w:p w14:paraId="4F1A82C0">
      <w:pPr>
        <w:spacing w:line="540" w:lineRule="exact"/>
        <w:rPr>
          <w:rFonts w:ascii="仿宋_GB2312" w:eastAsia="仿宋_GB2312"/>
          <w:sz w:val="32"/>
          <w:szCs w:val="32"/>
        </w:rPr>
      </w:pPr>
      <w:r>
        <w:rPr>
          <w:rFonts w:hint="eastAsia" w:ascii="仿宋_GB2312" w:eastAsia="仿宋_GB2312"/>
          <w:sz w:val="32"/>
          <w:szCs w:val="32"/>
        </w:rPr>
        <w:t>详见：《盘锦市自然资源局2021年度部门决算公开表》</w:t>
      </w:r>
    </w:p>
    <w:p w14:paraId="2F17BA41"/>
    <w:sectPr>
      <w:footerReference r:id="rId5" w:type="default"/>
      <w:pgSz w:w="11906" w:h="16838"/>
      <w:pgMar w:top="1701" w:right="1418" w:bottom="1701"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F993CB">
    <w:pPr>
      <w:pStyle w:val="2"/>
      <w:framePr w:wrap="around" w:vAnchor="text" w:hAnchor="margin" w:xAlign="center" w:y="1"/>
      <w:rPr>
        <w:rStyle w:val="6"/>
      </w:rPr>
    </w:pPr>
    <w:r>
      <w:fldChar w:fldCharType="begin"/>
    </w:r>
    <w:r>
      <w:rPr>
        <w:rStyle w:val="6"/>
      </w:rPr>
      <w:instrText xml:space="preserve">PAGE  </w:instrText>
    </w:r>
    <w:r>
      <w:fldChar w:fldCharType="separate"/>
    </w:r>
    <w:r>
      <w:rPr>
        <w:rStyle w:val="6"/>
      </w:rPr>
      <w:t>33</w:t>
    </w:r>
    <w:r>
      <w:fldChar w:fldCharType="end"/>
    </w:r>
  </w:p>
  <w:p w14:paraId="12F01150">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10433A">
    <w:pPr>
      <w:pStyle w:val="2"/>
      <w:framePr w:wrap="around" w:vAnchor="text" w:hAnchor="margin" w:xAlign="center" w:y="1"/>
      <w:rPr>
        <w:rStyle w:val="6"/>
      </w:rPr>
    </w:pPr>
    <w:r>
      <w:fldChar w:fldCharType="begin"/>
    </w:r>
    <w:r>
      <w:rPr>
        <w:rStyle w:val="6"/>
      </w:rPr>
      <w:instrText xml:space="preserve">PAGE  </w:instrText>
    </w:r>
    <w:r>
      <w:fldChar w:fldCharType="end"/>
    </w:r>
  </w:p>
  <w:p w14:paraId="78BD2652">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578FE5">
    <w:pPr>
      <w:pStyle w:val="2"/>
      <w:framePr w:wrap="around" w:vAnchor="text" w:hAnchor="margin" w:xAlign="center" w:y="1"/>
      <w:rPr>
        <w:rStyle w:val="6"/>
      </w:rPr>
    </w:pPr>
    <w:r>
      <w:fldChar w:fldCharType="begin"/>
    </w:r>
    <w:r>
      <w:rPr>
        <w:rStyle w:val="6"/>
      </w:rPr>
      <w:instrText xml:space="preserve">PAGE  </w:instrText>
    </w:r>
    <w:r>
      <w:fldChar w:fldCharType="separate"/>
    </w:r>
    <w:r>
      <w:rPr>
        <w:rStyle w:val="6"/>
      </w:rPr>
      <w:t>42</w:t>
    </w:r>
    <w:r>
      <w:fldChar w:fldCharType="end"/>
    </w:r>
  </w:p>
  <w:p w14:paraId="58B52F7D">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06E7B1D"/>
    <w:multiLevelType w:val="multilevel"/>
    <w:tmpl w:val="406E7B1D"/>
    <w:lvl w:ilvl="0" w:tentative="0">
      <w:start w:val="1"/>
      <w:numFmt w:val="japaneseCounting"/>
      <w:lvlText w:val="%1、"/>
      <w:lvlJc w:val="left"/>
      <w:pPr>
        <w:ind w:left="1347" w:hanging="720"/>
      </w:pPr>
      <w:rPr>
        <w:rFonts w:hint="eastAsia"/>
        <w:color w:val="auto"/>
      </w:rPr>
    </w:lvl>
    <w:lvl w:ilvl="1" w:tentative="0">
      <w:start w:val="1"/>
      <w:numFmt w:val="lowerLetter"/>
      <w:lvlText w:val="%2)"/>
      <w:lvlJc w:val="left"/>
      <w:pPr>
        <w:ind w:left="1467" w:hanging="420"/>
      </w:pPr>
    </w:lvl>
    <w:lvl w:ilvl="2" w:tentative="0">
      <w:start w:val="1"/>
      <w:numFmt w:val="lowerRoman"/>
      <w:lvlText w:val="%3."/>
      <w:lvlJc w:val="right"/>
      <w:pPr>
        <w:ind w:left="1887" w:hanging="420"/>
      </w:pPr>
    </w:lvl>
    <w:lvl w:ilvl="3" w:tentative="0">
      <w:start w:val="1"/>
      <w:numFmt w:val="decimal"/>
      <w:lvlText w:val="%4."/>
      <w:lvlJc w:val="left"/>
      <w:pPr>
        <w:ind w:left="2307" w:hanging="420"/>
      </w:pPr>
    </w:lvl>
    <w:lvl w:ilvl="4" w:tentative="0">
      <w:start w:val="1"/>
      <w:numFmt w:val="lowerLetter"/>
      <w:lvlText w:val="%5)"/>
      <w:lvlJc w:val="left"/>
      <w:pPr>
        <w:ind w:left="2727" w:hanging="420"/>
      </w:pPr>
    </w:lvl>
    <w:lvl w:ilvl="5" w:tentative="0">
      <w:start w:val="1"/>
      <w:numFmt w:val="lowerRoman"/>
      <w:lvlText w:val="%6."/>
      <w:lvlJc w:val="right"/>
      <w:pPr>
        <w:ind w:left="3147" w:hanging="420"/>
      </w:pPr>
    </w:lvl>
    <w:lvl w:ilvl="6" w:tentative="0">
      <w:start w:val="1"/>
      <w:numFmt w:val="decimal"/>
      <w:lvlText w:val="%7."/>
      <w:lvlJc w:val="left"/>
      <w:pPr>
        <w:ind w:left="3567" w:hanging="420"/>
      </w:pPr>
    </w:lvl>
    <w:lvl w:ilvl="7" w:tentative="0">
      <w:start w:val="1"/>
      <w:numFmt w:val="lowerLetter"/>
      <w:lvlText w:val="%8)"/>
      <w:lvlJc w:val="left"/>
      <w:pPr>
        <w:ind w:left="3987" w:hanging="420"/>
      </w:pPr>
    </w:lvl>
    <w:lvl w:ilvl="8" w:tentative="0">
      <w:start w:val="1"/>
      <w:numFmt w:val="lowerRoman"/>
      <w:lvlText w:val="%9."/>
      <w:lvlJc w:val="right"/>
      <w:pPr>
        <w:ind w:left="4407" w:hanging="420"/>
      </w:pPr>
    </w:lvl>
  </w:abstractNum>
  <w:abstractNum w:abstractNumId="1">
    <w:nsid w:val="730B37B3"/>
    <w:multiLevelType w:val="multilevel"/>
    <w:tmpl w:val="730B37B3"/>
    <w:lvl w:ilvl="0" w:tentative="0">
      <w:start w:val="1"/>
      <w:numFmt w:val="japaneseCounting"/>
      <w:lvlText w:val="%1、"/>
      <w:lvlJc w:val="left"/>
      <w:pPr>
        <w:tabs>
          <w:tab w:val="left" w:pos="720"/>
        </w:tabs>
        <w:ind w:left="720" w:hanging="720"/>
      </w:pPr>
      <w:rPr>
        <w:rFonts w:hint="default"/>
      </w:rPr>
    </w:lvl>
    <w:lvl w:ilvl="1" w:tentative="0">
      <w:start w:val="2"/>
      <w:numFmt w:val="japaneseCounting"/>
      <w:lvlText w:val="%2、"/>
      <w:lvlJc w:val="left"/>
      <w:pPr>
        <w:tabs>
          <w:tab w:val="left" w:pos="1140"/>
        </w:tabs>
        <w:ind w:left="1140" w:hanging="72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GI1YzdiZDM2YzNlMzRlY2UxMzI2N2RkYzc0OTAxOWYifQ=="/>
  </w:docVars>
  <w:rsids>
    <w:rsidRoot w:val="00FF5E76"/>
    <w:rsid w:val="000003D8"/>
    <w:rsid w:val="00035D14"/>
    <w:rsid w:val="00160932"/>
    <w:rsid w:val="004F3C27"/>
    <w:rsid w:val="006A49D0"/>
    <w:rsid w:val="007B57C4"/>
    <w:rsid w:val="0087344B"/>
    <w:rsid w:val="00B97572"/>
    <w:rsid w:val="00BA2308"/>
    <w:rsid w:val="00BB07AC"/>
    <w:rsid w:val="00BF7800"/>
    <w:rsid w:val="00D95484"/>
    <w:rsid w:val="00FD3F92"/>
    <w:rsid w:val="00FF5E76"/>
    <w:rsid w:val="023E129E"/>
    <w:rsid w:val="05832B17"/>
    <w:rsid w:val="05D640EA"/>
    <w:rsid w:val="07B86043"/>
    <w:rsid w:val="08564759"/>
    <w:rsid w:val="0B0E177D"/>
    <w:rsid w:val="0B2571CE"/>
    <w:rsid w:val="0C1E5960"/>
    <w:rsid w:val="0E2B7968"/>
    <w:rsid w:val="0EBF792C"/>
    <w:rsid w:val="0F480F6B"/>
    <w:rsid w:val="104573AA"/>
    <w:rsid w:val="12983AF8"/>
    <w:rsid w:val="18E47115"/>
    <w:rsid w:val="1AF30C03"/>
    <w:rsid w:val="1BE125C9"/>
    <w:rsid w:val="1C52598A"/>
    <w:rsid w:val="1CC90775"/>
    <w:rsid w:val="1E25654C"/>
    <w:rsid w:val="214A3E88"/>
    <w:rsid w:val="23331B5F"/>
    <w:rsid w:val="25D37F1C"/>
    <w:rsid w:val="2758513D"/>
    <w:rsid w:val="2823195D"/>
    <w:rsid w:val="2C6F1A25"/>
    <w:rsid w:val="2CD50748"/>
    <w:rsid w:val="30C57633"/>
    <w:rsid w:val="30E46D09"/>
    <w:rsid w:val="35F121D7"/>
    <w:rsid w:val="3766521A"/>
    <w:rsid w:val="37BE182B"/>
    <w:rsid w:val="386F15DF"/>
    <w:rsid w:val="47854FE8"/>
    <w:rsid w:val="47F36BF2"/>
    <w:rsid w:val="4AE94643"/>
    <w:rsid w:val="4AFB01D4"/>
    <w:rsid w:val="4DF323EF"/>
    <w:rsid w:val="4E7F28CF"/>
    <w:rsid w:val="508107CB"/>
    <w:rsid w:val="517934AC"/>
    <w:rsid w:val="53AE6005"/>
    <w:rsid w:val="55CF70B3"/>
    <w:rsid w:val="58581E68"/>
    <w:rsid w:val="5A68700F"/>
    <w:rsid w:val="5C762A4B"/>
    <w:rsid w:val="5CD53D66"/>
    <w:rsid w:val="61BA4F40"/>
    <w:rsid w:val="62F4431C"/>
    <w:rsid w:val="63A35C06"/>
    <w:rsid w:val="672C5BA8"/>
    <w:rsid w:val="6777326C"/>
    <w:rsid w:val="69684669"/>
    <w:rsid w:val="6A773E5E"/>
    <w:rsid w:val="6B762104"/>
    <w:rsid w:val="6BC66D36"/>
    <w:rsid w:val="6D8E2F82"/>
    <w:rsid w:val="70793547"/>
    <w:rsid w:val="74A934F5"/>
    <w:rsid w:val="754A0CD1"/>
    <w:rsid w:val="791012F2"/>
    <w:rsid w:val="79ED00D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0"/>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 w:type="character" w:customStyle="1" w:styleId="7">
    <w:name w:val="页眉 Char"/>
    <w:basedOn w:val="5"/>
    <w:link w:val="3"/>
    <w:semiHidden/>
    <w:qFormat/>
    <w:uiPriority w:val="99"/>
    <w:rPr>
      <w:sz w:val="18"/>
      <w:szCs w:val="18"/>
    </w:rPr>
  </w:style>
  <w:style w:type="character" w:customStyle="1" w:styleId="8">
    <w:name w:val="页脚 Char"/>
    <w:basedOn w:val="5"/>
    <w:link w:val="2"/>
    <w:semiHidden/>
    <w:qFormat/>
    <w:uiPriority w:val="99"/>
    <w:rPr>
      <w:sz w:val="18"/>
      <w:szCs w:val="18"/>
    </w:rPr>
  </w:style>
  <w:style w:type="paragraph" w:styleId="9">
    <w:name w:val="List Paragraph"/>
    <w:basedOn w:val="1"/>
    <w:qFormat/>
    <w:uiPriority w:val="34"/>
    <w:pPr>
      <w:ind w:firstLine="420" w:firstLineChars="200"/>
    </w:pPr>
  </w:style>
  <w:style w:type="character" w:customStyle="1" w:styleId="10">
    <w:name w:val="font01"/>
    <w:basedOn w:val="5"/>
    <w:qFormat/>
    <w:uiPriority w:val="0"/>
    <w:rPr>
      <w:rFonts w:hint="eastAsia" w:ascii="宋体" w:hAnsi="宋体" w:eastAsia="宋体" w:cs="宋体"/>
      <w:color w:val="000000"/>
      <w:sz w:val="24"/>
      <w:szCs w:val="24"/>
      <w:u w:val="none"/>
    </w:rPr>
  </w:style>
  <w:style w:type="character" w:customStyle="1" w:styleId="11">
    <w:name w:val="font41"/>
    <w:basedOn w:val="5"/>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42</Pages>
  <Words>14841</Words>
  <Characters>16026</Characters>
  <Lines>124</Lines>
  <Paragraphs>35</Paragraphs>
  <TotalTime>5</TotalTime>
  <ScaleCrop>false</ScaleCrop>
  <LinksUpToDate>false</LinksUpToDate>
  <CharactersWithSpaces>16086</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2022-09-07T02:59:00Z</dcterms:created>
  <dc:creator>lenovo</dc:creator>
  <cp:lastModifiedBy>王振洋</cp:lastModifiedBy>
  <dcterms:modified xsi:type="dcterms:W3CDTF">2024-10-11T03:13:51Z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18CD7DB5C5344795A2FB5D704D68E032</vt:lpwstr>
  </property>
</Properties>
</file>