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37FFDE">
      <w:pPr>
        <w:spacing w:line="540" w:lineRule="exact"/>
        <w:jc w:val="center"/>
        <w:rPr>
          <w:b/>
          <w:sz w:val="44"/>
          <w:szCs w:val="44"/>
          <w:u w:val="single"/>
        </w:rPr>
      </w:pPr>
    </w:p>
    <w:p w14:paraId="462F43E1">
      <w:pPr>
        <w:spacing w:line="540" w:lineRule="exact"/>
        <w:jc w:val="center"/>
        <w:rPr>
          <w:rFonts w:ascii="宋体" w:hAnsi="宋体"/>
          <w:b/>
          <w:sz w:val="52"/>
          <w:szCs w:val="52"/>
        </w:rPr>
      </w:pPr>
    </w:p>
    <w:p w14:paraId="6D31FE13">
      <w:pPr>
        <w:spacing w:line="540" w:lineRule="exact"/>
        <w:jc w:val="center"/>
        <w:rPr>
          <w:rFonts w:ascii="宋体" w:hAnsi="宋体"/>
          <w:b/>
          <w:sz w:val="52"/>
          <w:szCs w:val="52"/>
        </w:rPr>
      </w:pPr>
    </w:p>
    <w:p w14:paraId="1BA0EDE5">
      <w:pPr>
        <w:spacing w:line="540" w:lineRule="exact"/>
        <w:jc w:val="center"/>
        <w:rPr>
          <w:rFonts w:ascii="宋体" w:hAnsi="宋体"/>
          <w:b/>
          <w:sz w:val="52"/>
          <w:szCs w:val="52"/>
        </w:rPr>
      </w:pPr>
    </w:p>
    <w:p w14:paraId="121AD4DF">
      <w:pPr>
        <w:spacing w:line="540" w:lineRule="exact"/>
        <w:jc w:val="center"/>
        <w:rPr>
          <w:rFonts w:ascii="宋体" w:hAnsi="宋体"/>
          <w:b/>
          <w:sz w:val="52"/>
          <w:szCs w:val="52"/>
        </w:rPr>
      </w:pPr>
    </w:p>
    <w:p w14:paraId="5127A677">
      <w:pPr>
        <w:spacing w:line="540" w:lineRule="exact"/>
        <w:jc w:val="center"/>
        <w:rPr>
          <w:rFonts w:ascii="宋体" w:hAnsi="宋体"/>
          <w:b/>
          <w:sz w:val="52"/>
          <w:szCs w:val="52"/>
        </w:rPr>
      </w:pPr>
      <w:r>
        <w:rPr>
          <w:rFonts w:hint="eastAsia" w:ascii="宋体" w:hAnsi="宋体"/>
          <w:b/>
          <w:sz w:val="52"/>
          <w:szCs w:val="52"/>
        </w:rPr>
        <w:t>盘锦市人民政府办公室2021年度部门决算公开说明</w:t>
      </w:r>
    </w:p>
    <w:p w14:paraId="532D865C">
      <w:pPr>
        <w:spacing w:line="540" w:lineRule="exact"/>
        <w:jc w:val="center"/>
        <w:rPr>
          <w:b/>
          <w:sz w:val="44"/>
          <w:szCs w:val="44"/>
          <w:u w:val="single"/>
        </w:rPr>
      </w:pPr>
    </w:p>
    <w:p w14:paraId="1EE0D077">
      <w:pPr>
        <w:spacing w:line="540" w:lineRule="exact"/>
        <w:jc w:val="center"/>
        <w:rPr>
          <w:b/>
          <w:sz w:val="44"/>
          <w:szCs w:val="44"/>
          <w:u w:val="single"/>
        </w:rPr>
      </w:pPr>
    </w:p>
    <w:p w14:paraId="2BCB04F8">
      <w:pPr>
        <w:spacing w:line="540" w:lineRule="exact"/>
        <w:jc w:val="center"/>
        <w:rPr>
          <w:b/>
          <w:sz w:val="44"/>
          <w:szCs w:val="44"/>
          <w:u w:val="single"/>
        </w:rPr>
      </w:pPr>
    </w:p>
    <w:p w14:paraId="6B2BB2A1">
      <w:pPr>
        <w:spacing w:line="540" w:lineRule="exact"/>
        <w:jc w:val="center"/>
        <w:rPr>
          <w:b/>
          <w:color w:val="FF0000"/>
          <w:sz w:val="44"/>
          <w:szCs w:val="44"/>
        </w:rPr>
      </w:pPr>
    </w:p>
    <w:p w14:paraId="037C31E2">
      <w:pPr>
        <w:spacing w:line="540" w:lineRule="exact"/>
        <w:jc w:val="center"/>
        <w:rPr>
          <w:b/>
          <w:color w:val="FF0000"/>
          <w:sz w:val="44"/>
          <w:szCs w:val="44"/>
        </w:rPr>
      </w:pPr>
    </w:p>
    <w:p w14:paraId="21ED7166">
      <w:pPr>
        <w:spacing w:line="540" w:lineRule="exact"/>
        <w:jc w:val="center"/>
        <w:rPr>
          <w:b/>
          <w:color w:val="FF0000"/>
          <w:sz w:val="44"/>
          <w:szCs w:val="44"/>
        </w:rPr>
      </w:pPr>
    </w:p>
    <w:p w14:paraId="2062ED87">
      <w:pPr>
        <w:spacing w:line="540" w:lineRule="exact"/>
        <w:jc w:val="center"/>
        <w:rPr>
          <w:b/>
          <w:sz w:val="44"/>
          <w:szCs w:val="44"/>
          <w:u w:val="single"/>
        </w:rPr>
      </w:pPr>
    </w:p>
    <w:p w14:paraId="1715A954">
      <w:pPr>
        <w:spacing w:line="540" w:lineRule="exact"/>
        <w:jc w:val="center"/>
        <w:rPr>
          <w:b/>
          <w:sz w:val="44"/>
          <w:szCs w:val="44"/>
          <w:u w:val="single"/>
        </w:rPr>
      </w:pPr>
    </w:p>
    <w:p w14:paraId="7AF64654">
      <w:pPr>
        <w:spacing w:line="540" w:lineRule="exact"/>
        <w:jc w:val="center"/>
        <w:rPr>
          <w:b/>
          <w:sz w:val="44"/>
          <w:szCs w:val="44"/>
          <w:u w:val="single"/>
        </w:rPr>
      </w:pPr>
    </w:p>
    <w:p w14:paraId="272C2C3F">
      <w:pPr>
        <w:spacing w:line="540" w:lineRule="exact"/>
        <w:jc w:val="center"/>
        <w:rPr>
          <w:b/>
          <w:sz w:val="44"/>
          <w:szCs w:val="44"/>
          <w:u w:val="single"/>
        </w:rPr>
      </w:pPr>
    </w:p>
    <w:p w14:paraId="7FF74FDC">
      <w:pPr>
        <w:spacing w:line="540" w:lineRule="exact"/>
        <w:jc w:val="center"/>
        <w:rPr>
          <w:b/>
          <w:sz w:val="44"/>
          <w:szCs w:val="44"/>
          <w:u w:val="single"/>
        </w:rPr>
      </w:pPr>
    </w:p>
    <w:p w14:paraId="67644613">
      <w:pPr>
        <w:spacing w:line="540" w:lineRule="exact"/>
        <w:jc w:val="center"/>
        <w:rPr>
          <w:b/>
          <w:sz w:val="44"/>
          <w:szCs w:val="44"/>
          <w:u w:val="single"/>
        </w:rPr>
      </w:pPr>
    </w:p>
    <w:p w14:paraId="220008A8">
      <w:pPr>
        <w:spacing w:line="540" w:lineRule="exact"/>
        <w:jc w:val="center"/>
        <w:rPr>
          <w:b/>
          <w:sz w:val="44"/>
          <w:szCs w:val="44"/>
        </w:rPr>
      </w:pPr>
    </w:p>
    <w:p w14:paraId="2011FF66">
      <w:pPr>
        <w:spacing w:line="540" w:lineRule="exact"/>
        <w:jc w:val="center"/>
        <w:rPr>
          <w:b/>
          <w:sz w:val="44"/>
          <w:szCs w:val="44"/>
        </w:rPr>
      </w:pPr>
    </w:p>
    <w:p w14:paraId="3B32768C">
      <w:pPr>
        <w:spacing w:line="540" w:lineRule="exact"/>
        <w:jc w:val="center"/>
        <w:rPr>
          <w:b/>
          <w:sz w:val="44"/>
          <w:szCs w:val="44"/>
        </w:rPr>
      </w:pPr>
    </w:p>
    <w:p w14:paraId="69FC1A2E">
      <w:pPr>
        <w:spacing w:line="540" w:lineRule="exact"/>
        <w:jc w:val="center"/>
        <w:rPr>
          <w:b/>
          <w:sz w:val="44"/>
          <w:szCs w:val="44"/>
        </w:rPr>
      </w:pPr>
    </w:p>
    <w:p w14:paraId="6B907789">
      <w:pPr>
        <w:spacing w:line="540" w:lineRule="exact"/>
        <w:jc w:val="center"/>
        <w:rPr>
          <w:b/>
          <w:sz w:val="44"/>
          <w:szCs w:val="44"/>
        </w:rPr>
      </w:pPr>
    </w:p>
    <w:p w14:paraId="3DA7D4C8">
      <w:pPr>
        <w:spacing w:line="540" w:lineRule="exact"/>
        <w:jc w:val="center"/>
        <w:rPr>
          <w:b/>
          <w:sz w:val="44"/>
          <w:szCs w:val="44"/>
        </w:rPr>
      </w:pPr>
      <w:r>
        <w:rPr>
          <w:rFonts w:hint="eastAsia"/>
          <w:b/>
          <w:sz w:val="44"/>
          <w:szCs w:val="44"/>
        </w:rPr>
        <w:t>目    录</w:t>
      </w:r>
    </w:p>
    <w:p w14:paraId="6C3F263A">
      <w:pPr>
        <w:spacing w:line="540" w:lineRule="exact"/>
        <w:rPr>
          <w:b/>
          <w:sz w:val="44"/>
          <w:szCs w:val="44"/>
          <w:u w:val="single"/>
        </w:rPr>
      </w:pPr>
    </w:p>
    <w:p w14:paraId="4F315A5E">
      <w:pPr>
        <w:spacing w:line="540" w:lineRule="exact"/>
        <w:rPr>
          <w:rFonts w:ascii="黑体" w:hAnsi="黑体" w:eastAsia="黑体"/>
          <w:sz w:val="32"/>
          <w:szCs w:val="32"/>
        </w:rPr>
      </w:pPr>
      <w:r>
        <w:rPr>
          <w:rFonts w:hint="eastAsia" w:ascii="黑体" w:hAnsi="黑体" w:eastAsia="黑体"/>
          <w:sz w:val="32"/>
          <w:szCs w:val="32"/>
        </w:rPr>
        <w:t>第一部分    部门概况</w:t>
      </w:r>
    </w:p>
    <w:p w14:paraId="6BCBDB2D">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主要职责和机构设置情况</w:t>
      </w:r>
    </w:p>
    <w:p w14:paraId="476F8E88">
      <w:pPr>
        <w:numPr>
          <w:ilvl w:val="0"/>
          <w:numId w:val="1"/>
        </w:numPr>
        <w:spacing w:line="540" w:lineRule="exact"/>
        <w:rPr>
          <w:rFonts w:ascii="仿宋_GB2312" w:hAnsi="黑体" w:eastAsia="仿宋_GB2312"/>
          <w:sz w:val="32"/>
          <w:szCs w:val="32"/>
        </w:rPr>
      </w:pPr>
      <w:r>
        <w:rPr>
          <w:rFonts w:hint="eastAsia" w:ascii="仿宋_GB2312" w:hAnsi="黑体" w:eastAsia="仿宋_GB2312"/>
          <w:sz w:val="32"/>
          <w:szCs w:val="32"/>
        </w:rPr>
        <w:t>部门决算单位构成</w:t>
      </w:r>
    </w:p>
    <w:p w14:paraId="3BFF322C">
      <w:pPr>
        <w:spacing w:line="540" w:lineRule="exact"/>
        <w:rPr>
          <w:rFonts w:ascii="黑体" w:hAnsi="黑体" w:eastAsia="黑体"/>
          <w:sz w:val="32"/>
          <w:szCs w:val="32"/>
        </w:rPr>
      </w:pPr>
      <w:r>
        <w:rPr>
          <w:rFonts w:hint="eastAsia" w:ascii="黑体" w:hAnsi="黑体" w:eastAsia="黑体"/>
          <w:sz w:val="32"/>
          <w:szCs w:val="32"/>
        </w:rPr>
        <w:t>第二部分    2021年度部门决算情况说明</w:t>
      </w:r>
    </w:p>
    <w:p w14:paraId="0D507543">
      <w:pPr>
        <w:spacing w:line="540" w:lineRule="exact"/>
        <w:rPr>
          <w:rFonts w:ascii="仿宋_GB2312" w:eastAsia="仿宋_GB2312"/>
          <w:sz w:val="32"/>
          <w:szCs w:val="32"/>
        </w:rPr>
      </w:pPr>
      <w:r>
        <w:rPr>
          <w:rFonts w:hint="eastAsia" w:ascii="仿宋_GB2312" w:eastAsia="仿宋_GB2312"/>
          <w:sz w:val="32"/>
          <w:szCs w:val="32"/>
        </w:rPr>
        <w:t>一、收入支出决算总体情况说明</w:t>
      </w:r>
    </w:p>
    <w:p w14:paraId="4E472C97">
      <w:pPr>
        <w:spacing w:line="540" w:lineRule="exact"/>
        <w:rPr>
          <w:rFonts w:ascii="仿宋_GB2312" w:eastAsia="仿宋_GB2312"/>
          <w:sz w:val="32"/>
          <w:szCs w:val="32"/>
        </w:rPr>
      </w:pPr>
      <w:r>
        <w:rPr>
          <w:rFonts w:hint="eastAsia" w:ascii="仿宋_GB2312" w:eastAsia="仿宋_GB2312"/>
          <w:sz w:val="32"/>
          <w:szCs w:val="32"/>
        </w:rPr>
        <w:t>二、财政拨款收入支出决算情况说明</w:t>
      </w:r>
    </w:p>
    <w:p w14:paraId="59606B01">
      <w:pPr>
        <w:spacing w:line="540" w:lineRule="exact"/>
        <w:rPr>
          <w:rFonts w:ascii="仿宋_GB2312" w:eastAsia="仿宋_GB2312"/>
          <w:sz w:val="32"/>
          <w:szCs w:val="32"/>
        </w:rPr>
      </w:pPr>
      <w:r>
        <w:rPr>
          <w:rFonts w:hint="eastAsia" w:ascii="仿宋_GB2312" w:eastAsia="仿宋_GB2312"/>
          <w:sz w:val="32"/>
          <w:szCs w:val="32"/>
        </w:rPr>
        <w:t>三、一般公共预算财政拨款“三公”经费支出决算情况说明</w:t>
      </w:r>
    </w:p>
    <w:p w14:paraId="5E1573C7">
      <w:pPr>
        <w:spacing w:line="540" w:lineRule="exact"/>
        <w:rPr>
          <w:rFonts w:ascii="仿宋_GB2312" w:eastAsia="仿宋_GB2312"/>
          <w:sz w:val="32"/>
          <w:szCs w:val="32"/>
        </w:rPr>
      </w:pPr>
      <w:r>
        <w:rPr>
          <w:rFonts w:hint="eastAsia" w:ascii="仿宋_GB2312" w:eastAsia="仿宋_GB2312"/>
          <w:sz w:val="32"/>
          <w:szCs w:val="32"/>
        </w:rPr>
        <w:t>四、一般公共预算财政拨款基本支出决算情况说明</w:t>
      </w:r>
    </w:p>
    <w:p w14:paraId="1189AF52">
      <w:pPr>
        <w:spacing w:line="540" w:lineRule="exact"/>
        <w:rPr>
          <w:rFonts w:ascii="仿宋_GB2312" w:eastAsia="仿宋_GB2312"/>
          <w:sz w:val="32"/>
          <w:szCs w:val="32"/>
        </w:rPr>
      </w:pPr>
      <w:r>
        <w:rPr>
          <w:rFonts w:hint="eastAsia" w:ascii="仿宋_GB2312" w:eastAsia="仿宋_GB2312"/>
          <w:sz w:val="32"/>
          <w:szCs w:val="32"/>
        </w:rPr>
        <w:t>五、其他重要事项的情况说明</w:t>
      </w:r>
    </w:p>
    <w:p w14:paraId="33E35429">
      <w:pPr>
        <w:spacing w:line="540" w:lineRule="exact"/>
        <w:rPr>
          <w:rFonts w:ascii="黑体" w:hAnsi="黑体" w:eastAsia="黑体"/>
          <w:sz w:val="32"/>
          <w:szCs w:val="32"/>
        </w:rPr>
      </w:pPr>
      <w:r>
        <w:rPr>
          <w:rFonts w:hint="eastAsia" w:ascii="黑体" w:hAnsi="黑体" w:eastAsia="黑体"/>
          <w:sz w:val="32"/>
          <w:szCs w:val="32"/>
        </w:rPr>
        <w:t>第三部分    名词解释</w:t>
      </w:r>
    </w:p>
    <w:p w14:paraId="7FC0E546">
      <w:pPr>
        <w:spacing w:line="540" w:lineRule="exact"/>
        <w:rPr>
          <w:rFonts w:ascii="黑体" w:hAnsi="黑体" w:eastAsia="黑体"/>
          <w:sz w:val="32"/>
          <w:szCs w:val="32"/>
        </w:rPr>
      </w:pPr>
      <w:r>
        <w:rPr>
          <w:rFonts w:hint="eastAsia" w:ascii="黑体" w:hAnsi="黑体" w:eastAsia="黑体"/>
          <w:sz w:val="32"/>
          <w:szCs w:val="32"/>
        </w:rPr>
        <w:t>第四部分    2021年度部门决算报表</w:t>
      </w:r>
    </w:p>
    <w:p w14:paraId="03A180B1">
      <w:pPr>
        <w:spacing w:line="540" w:lineRule="exact"/>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32ECB05A">
      <w:pPr>
        <w:spacing w:line="540" w:lineRule="exact"/>
        <w:rPr>
          <w:rFonts w:ascii="仿宋_GB2312" w:eastAsia="仿宋_GB2312"/>
          <w:sz w:val="32"/>
          <w:szCs w:val="32"/>
        </w:rPr>
      </w:pPr>
      <w:r>
        <w:rPr>
          <w:rFonts w:hint="eastAsia" w:ascii="仿宋_GB2312" w:eastAsia="仿宋_GB2312"/>
          <w:sz w:val="32"/>
          <w:szCs w:val="32"/>
        </w:rPr>
        <w:t>二、收入决算表</w:t>
      </w:r>
    </w:p>
    <w:p w14:paraId="7F5036A0">
      <w:pPr>
        <w:spacing w:line="540" w:lineRule="exact"/>
        <w:rPr>
          <w:rFonts w:ascii="仿宋_GB2312" w:eastAsia="仿宋_GB2312"/>
          <w:sz w:val="32"/>
          <w:szCs w:val="32"/>
        </w:rPr>
      </w:pPr>
      <w:r>
        <w:rPr>
          <w:rFonts w:hint="eastAsia" w:ascii="仿宋_GB2312" w:eastAsia="仿宋_GB2312"/>
          <w:sz w:val="32"/>
          <w:szCs w:val="32"/>
        </w:rPr>
        <w:t>三、支出决算表</w:t>
      </w:r>
    </w:p>
    <w:p w14:paraId="4BC4AF2A">
      <w:pPr>
        <w:spacing w:line="540" w:lineRule="exact"/>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7CFBBA1">
      <w:pPr>
        <w:spacing w:line="540" w:lineRule="exact"/>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62B9919E">
      <w:pPr>
        <w:spacing w:line="540" w:lineRule="exact"/>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4A97DF68">
      <w:pPr>
        <w:spacing w:line="540" w:lineRule="exact"/>
        <w:rPr>
          <w:rFonts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14:paraId="13D8AAD0">
      <w:pPr>
        <w:spacing w:line="540" w:lineRule="exact"/>
        <w:ind w:left="640" w:hanging="640" w:hangingChars="200"/>
        <w:rPr>
          <w:rFonts w:ascii="仿宋_GB2312" w:eastAsia="仿宋_GB2312"/>
          <w:sz w:val="32"/>
          <w:szCs w:val="32"/>
        </w:rPr>
      </w:pPr>
      <w:r>
        <w:rPr>
          <w:rFonts w:hint="eastAsia" w:ascii="仿宋_GB2312" w:eastAsia="仿宋_GB2312"/>
          <w:sz w:val="32"/>
          <w:szCs w:val="32"/>
        </w:rPr>
        <w:t>八、一般公共预算财政拨款“三公”经费支出决算表</w:t>
      </w:r>
    </w:p>
    <w:p w14:paraId="043093AF">
      <w:pPr>
        <w:spacing w:line="540" w:lineRule="exact"/>
        <w:ind w:left="640" w:hanging="640" w:hangingChars="200"/>
        <w:rPr>
          <w:rFonts w:ascii="仿宋_GB2312" w:eastAsia="仿宋_GB2312"/>
          <w:sz w:val="32"/>
          <w:szCs w:val="32"/>
        </w:rPr>
      </w:pPr>
      <w:r>
        <w:rPr>
          <w:rFonts w:hint="eastAsia" w:ascii="仿宋_GB2312" w:eastAsia="仿宋_GB2312"/>
          <w:sz w:val="32"/>
          <w:szCs w:val="32"/>
        </w:rPr>
        <w:t>九、国有资本经营预算财政拨款支出决算表</w:t>
      </w:r>
    </w:p>
    <w:p w14:paraId="5496C8BB">
      <w:pPr>
        <w:spacing w:line="540" w:lineRule="exact"/>
        <w:jc w:val="center"/>
        <w:rPr>
          <w:rFonts w:ascii="黑体" w:hAnsi="黑体" w:eastAsia="黑体"/>
          <w:b/>
          <w:sz w:val="44"/>
          <w:szCs w:val="44"/>
          <w:u w:val="single"/>
        </w:rPr>
      </w:pPr>
    </w:p>
    <w:p w14:paraId="35B73CE9">
      <w:pPr>
        <w:spacing w:line="540" w:lineRule="exact"/>
        <w:jc w:val="center"/>
        <w:rPr>
          <w:rFonts w:ascii="宋体" w:hAnsi="宋体"/>
          <w:b/>
          <w:sz w:val="36"/>
          <w:szCs w:val="36"/>
        </w:rPr>
      </w:pPr>
      <w:r>
        <w:rPr>
          <w:rFonts w:hint="eastAsia"/>
          <w:b/>
          <w:sz w:val="44"/>
          <w:szCs w:val="44"/>
          <w:u w:val="single"/>
        </w:rPr>
        <w:br w:type="page"/>
      </w:r>
      <w:r>
        <w:rPr>
          <w:rFonts w:hint="eastAsia" w:ascii="宋体" w:hAnsi="宋体"/>
          <w:b/>
          <w:sz w:val="36"/>
          <w:szCs w:val="36"/>
        </w:rPr>
        <w:t>第一部分 部门概况</w:t>
      </w:r>
    </w:p>
    <w:p w14:paraId="7C07AD3A">
      <w:pPr>
        <w:spacing w:line="540" w:lineRule="exact"/>
        <w:ind w:firstLine="640" w:firstLineChars="200"/>
        <w:jc w:val="left"/>
        <w:rPr>
          <w:rFonts w:ascii="黑体" w:eastAsia="黑体"/>
          <w:sz w:val="32"/>
          <w:szCs w:val="32"/>
        </w:rPr>
      </w:pPr>
    </w:p>
    <w:p w14:paraId="451E8040">
      <w:pPr>
        <w:spacing w:line="540" w:lineRule="exact"/>
        <w:ind w:firstLine="640" w:firstLineChars="200"/>
        <w:jc w:val="left"/>
        <w:rPr>
          <w:rFonts w:ascii="黑体" w:eastAsia="黑体"/>
          <w:sz w:val="32"/>
          <w:szCs w:val="32"/>
        </w:rPr>
      </w:pPr>
      <w:r>
        <w:rPr>
          <w:rFonts w:hint="eastAsia" w:ascii="黑体" w:eastAsia="黑体"/>
          <w:sz w:val="32"/>
          <w:szCs w:val="32"/>
        </w:rPr>
        <w:t>一、主要职责和机构设置情况</w:t>
      </w:r>
    </w:p>
    <w:p w14:paraId="030D3A45">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（一）负责市政府会议和市政府领导同志重要活动的组织安排，协助市政府领导同志组织实施会议决定事项。</w:t>
      </w:r>
    </w:p>
    <w:p w14:paraId="3869AD79">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（二）负责或参与上级党政领导、机关各部门、外市领导以及重要外宾来盘锦政务活动组织安排。</w:t>
      </w:r>
    </w:p>
    <w:p w14:paraId="7EE959EA">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（三）协助市政府领导同志组织起草或审核以市政府、市政府办公室名义发布的公文，指导全市行政机关公文处理工作。</w:t>
      </w:r>
    </w:p>
    <w:p w14:paraId="6D7354DE">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（四）审核市政府各部门和各县区政府请示、报告市政府的事项，提出办理意见，报市政府领导同志审批，办理省政府和省政府各部门及各方面的来文来电。</w:t>
      </w:r>
    </w:p>
    <w:p w14:paraId="7FBD96D2">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（五）根据市政府领导同志指示，对市政府重要工作部署组织开展调查研究和综合协调。</w:t>
      </w:r>
    </w:p>
    <w:p w14:paraId="39231FC8">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负责党中央、国务院决策部署和省委、省政府决策部署以及市委、市政府具体要求贯彻落实情况的督促检查，及时报告督查情况，指导协调和统筹规范政府系统督查考核工作，组织实施市政府绩效考核工作，负责各县区和市政府部门的业务指标考核工作。</w:t>
      </w:r>
    </w:p>
    <w:p w14:paraId="2A155405">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（七）负责组织协调、指导督促市政府系统承办的人大建议、政协提案办理工作。</w:t>
      </w:r>
    </w:p>
    <w:p w14:paraId="7A04E8E8">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（八）负责市政府值班工作，及时报告重要情况，传达和督促落实党中央、国务院和省委、省政府以及市委、市政府领导同志的指示。</w:t>
      </w:r>
    </w:p>
    <w:p w14:paraId="10B1D563">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（九）负责全市政务信息搜集、整理、报送工作，指导政府系统信息工作。</w:t>
      </w:r>
    </w:p>
    <w:p w14:paraId="75655E17">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（十）负责规划协调、指导监督全市政府系统电子政务建设工作。</w:t>
      </w:r>
    </w:p>
    <w:p w14:paraId="4C68DB85">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（十一）负责推进、指导、协调、监督全市政府信息与政务公开工作，组织协调市政府系统政务舆情应对工作。</w:t>
      </w:r>
    </w:p>
    <w:p w14:paraId="5C12E63B">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（十二）负责协调组织市政府重点工作的宣传报道，对市政府各部门宣传工作进行督促检查。</w:t>
      </w:r>
    </w:p>
    <w:p w14:paraId="308ACB32">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（十三）组织指导、督促和检查地方志工作。</w:t>
      </w:r>
    </w:p>
    <w:p w14:paraId="414F9121">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（十四）承担市政府绩效管理工作领导小组日常工作。</w:t>
      </w:r>
    </w:p>
    <w:p w14:paraId="42B15FD7">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（十五）负责全市油地工作的统筹协调、油地信息交流与反馈，推动油地经济融合、城市共建和社会事业发展以及辽河油区企业生产经营和勘探开发等方面的协调服务工作。</w:t>
      </w:r>
    </w:p>
    <w:p w14:paraId="2ABFD18F">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（十六）负责全市经济社会发展有关重大问题的调查研究，收集和分析全市经济社会发展的信息、动态，为市政府决策提供建议。</w:t>
      </w:r>
    </w:p>
    <w:p w14:paraId="43FB63BF">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（十七）完成市委市政府和领导同志交办的其他任务。</w:t>
      </w:r>
    </w:p>
    <w:p w14:paraId="68C81378">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八）职能转变。市政府办公室应加强督查督办工作，加强政府绩效管理工作，实现督考合一，推动党和政府重大决策部署的贯彻落实。加强和改进市政府宣传工作，为推动市政府重点工作和政策措施的落实营造良好环境。加强政务公开，指导各单位主动回应社会关切，接受群众监督。</w:t>
      </w:r>
    </w:p>
    <w:p w14:paraId="53B7C10C">
      <w:pPr>
        <w:spacing w:line="600" w:lineRule="exact"/>
        <w:ind w:firstLine="640" w:firstLineChars="200"/>
        <w:rPr>
          <w:rFonts w:ascii="方正黑体_GBK" w:hAnsi="方正黑体_GBK" w:eastAsia="方正黑体_GBK" w:cs="方正黑体_GBK"/>
          <w:sz w:val="32"/>
          <w:szCs w:val="32"/>
        </w:rPr>
      </w:pPr>
      <w:r>
        <w:rPr>
          <w:rFonts w:hint="eastAsia" w:ascii="仿宋_GB2312" w:hAnsi="仿宋_GB2312" w:eastAsia="仿宋_GB2312" w:cs="仿宋_GB2312"/>
          <w:sz w:val="32"/>
          <w:szCs w:val="32"/>
        </w:rPr>
        <w:t>盘锦市人民政府办公室设下列内设机构：</w:t>
      </w:r>
    </w:p>
    <w:p w14:paraId="489B8B24">
      <w:pPr>
        <w:spacing w:line="60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秘书科、文电科、综合一科、综合二科、综合三科、综合四科、综合五科、综合六科、信息科、政务公开办公室、油地协调科、机关党委办公室（人事科）、行政财务科、综合研究室、宏观经济发展科、产业发展科、社会管理科、督查考核一科、督查考核二科、督查考核三科、督查考核四科、督查考核五科。</w:t>
      </w:r>
    </w:p>
    <w:p w14:paraId="25E4368B">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下属二级单位设置情况如下：</w:t>
      </w:r>
    </w:p>
    <w:p w14:paraId="641B9AAB">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盘锦市人民政府驻北京联络处</w:t>
      </w:r>
    </w:p>
    <w:p w14:paraId="19AE20BE">
      <w:pPr>
        <w:spacing w:line="540" w:lineRule="exact"/>
        <w:ind w:firstLine="640" w:firstLineChars="200"/>
        <w:jc w:val="left"/>
        <w:rPr>
          <w:rFonts w:ascii="黑体" w:eastAsia="黑体"/>
          <w:sz w:val="32"/>
          <w:szCs w:val="32"/>
        </w:rPr>
      </w:pPr>
      <w:r>
        <w:rPr>
          <w:rFonts w:hint="eastAsia" w:ascii="黑体" w:eastAsia="黑体"/>
          <w:sz w:val="32"/>
          <w:szCs w:val="32"/>
        </w:rPr>
        <w:t>二、部门决算单位构成</w:t>
      </w:r>
    </w:p>
    <w:p w14:paraId="4D9060DC">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纳入盘锦市人民政府办公室2021年度部门决算编制范围的二级预算单位包括：</w:t>
      </w:r>
    </w:p>
    <w:p w14:paraId="5B1205A8">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1.盘锦市人民政府办公室本级</w:t>
      </w:r>
    </w:p>
    <w:p w14:paraId="082D3ABC">
      <w:pPr>
        <w:spacing w:line="540" w:lineRule="exact"/>
        <w:ind w:firstLine="640" w:firstLineChars="200"/>
        <w:jc w:val="left"/>
        <w:rPr>
          <w:rFonts w:ascii="仿宋_GB2312" w:eastAsia="仿宋_GB2312"/>
          <w:sz w:val="32"/>
          <w:szCs w:val="32"/>
        </w:rPr>
      </w:pPr>
      <w:r>
        <w:rPr>
          <w:rFonts w:hint="eastAsia" w:ascii="仿宋_GB2312" w:eastAsia="仿宋_GB2312"/>
          <w:sz w:val="32"/>
          <w:szCs w:val="32"/>
        </w:rPr>
        <w:t>2. 盘锦市人民政府驻北京联络处</w:t>
      </w:r>
    </w:p>
    <w:p w14:paraId="120851D7">
      <w:pPr>
        <w:spacing w:line="540" w:lineRule="exact"/>
        <w:ind w:firstLine="640" w:firstLineChars="200"/>
        <w:jc w:val="left"/>
        <w:rPr>
          <w:rFonts w:ascii="仿宋_GB2312" w:eastAsia="仿宋_GB2312"/>
          <w:sz w:val="32"/>
          <w:szCs w:val="32"/>
        </w:rPr>
      </w:pPr>
    </w:p>
    <w:p w14:paraId="60FEBF0F">
      <w:pPr>
        <w:spacing w:line="540" w:lineRule="exact"/>
        <w:ind w:firstLine="640" w:firstLineChars="200"/>
        <w:jc w:val="left"/>
        <w:rPr>
          <w:rFonts w:ascii="仿宋_GB2312" w:eastAsia="仿宋_GB2312"/>
          <w:sz w:val="32"/>
          <w:szCs w:val="32"/>
        </w:rPr>
      </w:pPr>
    </w:p>
    <w:p w14:paraId="3B5ED6C7">
      <w:pPr>
        <w:spacing w:line="540" w:lineRule="exact"/>
        <w:ind w:firstLine="640" w:firstLineChars="200"/>
        <w:jc w:val="left"/>
        <w:rPr>
          <w:rFonts w:ascii="仿宋_GB2312" w:eastAsia="仿宋_GB2312"/>
          <w:sz w:val="32"/>
          <w:szCs w:val="32"/>
        </w:rPr>
      </w:pPr>
    </w:p>
    <w:p w14:paraId="7EEDCDED">
      <w:pPr>
        <w:spacing w:line="540" w:lineRule="exact"/>
        <w:ind w:firstLine="640" w:firstLineChars="200"/>
        <w:jc w:val="left"/>
        <w:rPr>
          <w:rFonts w:ascii="仿宋_GB2312" w:eastAsia="仿宋_GB2312"/>
          <w:sz w:val="32"/>
          <w:szCs w:val="32"/>
        </w:rPr>
      </w:pPr>
    </w:p>
    <w:p w14:paraId="48AAB729">
      <w:pPr>
        <w:spacing w:line="540" w:lineRule="exact"/>
        <w:ind w:firstLine="640" w:firstLineChars="200"/>
        <w:jc w:val="left"/>
        <w:rPr>
          <w:rFonts w:ascii="仿宋_GB2312" w:eastAsia="仿宋_GB2312"/>
          <w:sz w:val="32"/>
          <w:szCs w:val="32"/>
        </w:rPr>
      </w:pPr>
    </w:p>
    <w:p w14:paraId="3E3D13D9">
      <w:pPr>
        <w:spacing w:line="540" w:lineRule="exact"/>
        <w:ind w:firstLine="640" w:firstLineChars="200"/>
        <w:jc w:val="left"/>
        <w:rPr>
          <w:rFonts w:ascii="仿宋_GB2312" w:eastAsia="仿宋_GB2312"/>
          <w:sz w:val="32"/>
          <w:szCs w:val="32"/>
        </w:rPr>
      </w:pPr>
    </w:p>
    <w:p w14:paraId="072F71BB">
      <w:pPr>
        <w:spacing w:line="540" w:lineRule="exact"/>
        <w:ind w:firstLine="640" w:firstLineChars="200"/>
        <w:jc w:val="left"/>
        <w:rPr>
          <w:rFonts w:ascii="仿宋_GB2312" w:eastAsia="仿宋_GB2312"/>
          <w:sz w:val="32"/>
          <w:szCs w:val="32"/>
        </w:rPr>
      </w:pPr>
    </w:p>
    <w:p w14:paraId="1404F742">
      <w:pPr>
        <w:spacing w:line="540" w:lineRule="exact"/>
        <w:jc w:val="left"/>
        <w:rPr>
          <w:rFonts w:ascii="仿宋_GB2312" w:eastAsia="仿宋_GB2312"/>
          <w:sz w:val="32"/>
          <w:szCs w:val="32"/>
        </w:rPr>
      </w:pPr>
    </w:p>
    <w:p w14:paraId="1F9F728D">
      <w:pPr>
        <w:spacing w:line="540" w:lineRule="exact"/>
        <w:ind w:left="319" w:leftChars="152" w:firstLine="361" w:firstLineChars="100"/>
        <w:jc w:val="center"/>
        <w:rPr>
          <w:rFonts w:ascii="宋体" w:hAnsi="宋体"/>
          <w:b/>
          <w:sz w:val="36"/>
          <w:szCs w:val="36"/>
        </w:rPr>
      </w:pPr>
      <w:r>
        <w:rPr>
          <w:rFonts w:hint="eastAsia" w:ascii="宋体" w:hAnsi="宋体"/>
          <w:b/>
          <w:sz w:val="36"/>
          <w:szCs w:val="36"/>
        </w:rPr>
        <w:t>第二部分 2021年度部门决算情况说明</w:t>
      </w:r>
    </w:p>
    <w:p w14:paraId="4B4395EB">
      <w:pPr>
        <w:spacing w:line="540" w:lineRule="exact"/>
        <w:rPr>
          <w:rFonts w:ascii="宋体" w:hAnsi="宋体"/>
          <w:b/>
          <w:sz w:val="36"/>
          <w:szCs w:val="36"/>
        </w:rPr>
      </w:pPr>
    </w:p>
    <w:p w14:paraId="62FF6D1E">
      <w:pPr>
        <w:pStyle w:val="10"/>
        <w:numPr>
          <w:ilvl w:val="0"/>
          <w:numId w:val="2"/>
        </w:numPr>
        <w:spacing w:line="540" w:lineRule="exact"/>
        <w:ind w:firstLineChars="0"/>
        <w:rPr>
          <w:rFonts w:ascii="黑体" w:hAnsi="黑体" w:eastAsia="黑体"/>
          <w:sz w:val="32"/>
          <w:szCs w:val="32"/>
        </w:rPr>
      </w:pPr>
      <w:r>
        <w:rPr>
          <w:rFonts w:hint="eastAsia" w:ascii="黑体" w:hAnsi="黑体" w:eastAsia="黑体"/>
          <w:sz w:val="32"/>
          <w:szCs w:val="32"/>
        </w:rPr>
        <w:t>收入支出决算总体情况说明</w:t>
      </w:r>
    </w:p>
    <w:p w14:paraId="073318F8">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（一）收入总计2390.81万元，包括：</w:t>
      </w:r>
    </w:p>
    <w:p w14:paraId="35B43D0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1.财政拨款收入2315.05万元，占</w:t>
      </w:r>
      <w:r>
        <w:rPr>
          <w:rFonts w:ascii="仿宋_GB2312" w:hAnsi="宋体" w:eastAsia="仿宋_GB2312"/>
          <w:sz w:val="32"/>
          <w:szCs w:val="32"/>
        </w:rPr>
        <w:t>收入总计的</w:t>
      </w:r>
      <w:r>
        <w:rPr>
          <w:rFonts w:hint="eastAsia" w:ascii="仿宋_GB2312" w:hAnsi="宋体" w:eastAsia="仿宋_GB2312"/>
          <w:sz w:val="32"/>
          <w:szCs w:val="32"/>
        </w:rPr>
        <w:t>96.83</w:t>
      </w:r>
      <w:r>
        <w:rPr>
          <w:rFonts w:ascii="仿宋_GB2312" w:hAnsi="宋体" w:eastAsia="仿宋_GB2312"/>
          <w:sz w:val="32"/>
          <w:szCs w:val="32"/>
        </w:rPr>
        <w:t>%</w:t>
      </w:r>
      <w:r>
        <w:rPr>
          <w:rFonts w:hint="eastAsia" w:ascii="仿宋_GB2312" w:hAnsi="宋体" w:eastAsia="仿宋_GB2312"/>
          <w:sz w:val="32"/>
          <w:szCs w:val="32"/>
        </w:rPr>
        <w:t>。其中：一般公共预算财政拨款收入2315.05万元，政府性基金收入0万元，国有资本经营预算财政拨款收入0万元。</w:t>
      </w:r>
    </w:p>
    <w:p w14:paraId="6C360DC3">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2.上级补助收入0万元，占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2F31D48B">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3.事业收入0万元，占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3C46EF7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07D3B172">
      <w:pPr>
        <w:spacing w:line="540" w:lineRule="exact"/>
        <w:ind w:firstLine="660"/>
        <w:rPr>
          <w:rFonts w:ascii="仿宋_GB2312" w:hAnsi="宋体" w:eastAsia="仿宋_GB2312"/>
          <w:sz w:val="32"/>
          <w:szCs w:val="32"/>
        </w:rPr>
      </w:pPr>
      <w:r>
        <w:rPr>
          <w:rFonts w:hint="eastAsia" w:ascii="仿宋_GB2312" w:hAnsi="宋体" w:eastAsia="仿宋_GB2312"/>
          <w:sz w:val="32"/>
          <w:szCs w:val="32"/>
        </w:rPr>
        <w:t>5.附属单位上缴收入0万元，占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130A425B">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020560A0">
      <w:pPr>
        <w:spacing w:line="540" w:lineRule="exact"/>
        <w:ind w:firstLine="660"/>
        <w:rPr>
          <w:rFonts w:ascii="仿宋_GB2312" w:hAnsi="宋体" w:eastAsia="仿宋_GB2312"/>
          <w:sz w:val="32"/>
          <w:szCs w:val="32"/>
        </w:rPr>
      </w:pPr>
      <w:r>
        <w:rPr>
          <w:rFonts w:hint="eastAsia" w:ascii="仿宋_GB2312" w:hAnsi="宋体" w:eastAsia="仿宋_GB2312"/>
          <w:sz w:val="32"/>
          <w:szCs w:val="32"/>
        </w:rPr>
        <w:t>7.使用非财政拨款结余0万元，占</w:t>
      </w:r>
      <w:r>
        <w:rPr>
          <w:rFonts w:ascii="仿宋_GB2312" w:hAnsi="宋体" w:eastAsia="仿宋_GB2312"/>
          <w:sz w:val="32"/>
          <w:szCs w:val="32"/>
        </w:rPr>
        <w:t>收入总计的</w:t>
      </w:r>
      <w:r>
        <w:rPr>
          <w:rFonts w:hint="eastAsia" w:ascii="仿宋_GB2312" w:hAnsi="宋体" w:eastAsia="仿宋_GB2312"/>
          <w:sz w:val="32"/>
          <w:szCs w:val="32"/>
        </w:rPr>
        <w:t>0</w:t>
      </w:r>
      <w:r>
        <w:rPr>
          <w:rFonts w:ascii="仿宋_GB2312" w:hAnsi="宋体" w:eastAsia="仿宋_GB2312"/>
          <w:sz w:val="32"/>
          <w:szCs w:val="32"/>
        </w:rPr>
        <w:t>%</w:t>
      </w:r>
      <w:r>
        <w:rPr>
          <w:rFonts w:hint="eastAsia" w:ascii="仿宋_GB2312" w:hAnsi="宋体" w:eastAsia="仿宋_GB2312"/>
          <w:sz w:val="32"/>
          <w:szCs w:val="32"/>
        </w:rPr>
        <w:t>。</w:t>
      </w:r>
    </w:p>
    <w:p w14:paraId="06001AD1">
      <w:pPr>
        <w:spacing w:line="540" w:lineRule="exact"/>
        <w:ind w:firstLine="660"/>
        <w:rPr>
          <w:rFonts w:ascii="仿宋_GB2312" w:hAnsi="宋体" w:eastAsia="仿宋_GB2312"/>
          <w:sz w:val="32"/>
          <w:szCs w:val="32"/>
        </w:rPr>
      </w:pPr>
      <w:r>
        <w:rPr>
          <w:rFonts w:hint="eastAsia" w:ascii="仿宋_GB2312" w:hAnsi="宋体" w:eastAsia="仿宋_GB2312"/>
          <w:sz w:val="32"/>
          <w:szCs w:val="32"/>
        </w:rPr>
        <w:t>8.上年结转和结余75.76万元，占收入总计的3.17%。主要是驻京业务经费等。</w:t>
      </w:r>
    </w:p>
    <w:p w14:paraId="7A8D8A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与上年相比，今年收入减少13.23万元，降低0.55%，主要原因是人员调整。</w:t>
      </w:r>
    </w:p>
    <w:p w14:paraId="3A2D53B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（二）支出总计2296.26万元，包括：</w:t>
      </w:r>
    </w:p>
    <w:p w14:paraId="687417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1.基本支出2011.09万元，占支出总计的87.58%。主要是为保障机构正常运转、完成日常工作任务而发生的各项支出，其中：工资福利支出1747.95万元，对个人和家庭的补助支出59.35万元，商品和服务支出203.79万元。</w:t>
      </w:r>
    </w:p>
    <w:p w14:paraId="191C35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2.项目支出285.17万元，占支出总计的12.42%。主要包括政府办公室支出、驻京业务经费等业务支出。</w:t>
      </w:r>
    </w:p>
    <w:p w14:paraId="1D0DB01B">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3.上缴上级支出0万元，占支出总计的0%。</w:t>
      </w:r>
    </w:p>
    <w:p w14:paraId="175B8801">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4.经营支出0万元，占支出总计的0%。</w:t>
      </w:r>
    </w:p>
    <w:p w14:paraId="72901FAB">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5.对附属单位补助支出0万元，占支出总计的0%。</w:t>
      </w:r>
    </w:p>
    <w:p w14:paraId="2EEDA1D3">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与上年相比，今年支出增加67.19万元，增长3.01%，主要原因是人员调整。</w:t>
      </w:r>
    </w:p>
    <w:p w14:paraId="6BA14EA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（三）年末结转和结余94.55万元。</w:t>
      </w:r>
    </w:p>
    <w:p w14:paraId="0D582194">
      <w:pPr>
        <w:spacing w:line="540" w:lineRule="exact"/>
        <w:ind w:firstLine="660"/>
        <w:rPr>
          <w:rFonts w:ascii="仿宋_GB2312" w:hAnsi="宋体" w:eastAsia="仿宋_GB2312"/>
          <w:sz w:val="32"/>
          <w:szCs w:val="32"/>
        </w:rPr>
      </w:pPr>
      <w:r>
        <w:rPr>
          <w:rFonts w:hint="eastAsia" w:ascii="仿宋_GB2312" w:hAnsi="宋体" w:eastAsia="仿宋_GB2312"/>
          <w:sz w:val="32"/>
          <w:szCs w:val="32"/>
        </w:rPr>
        <w:t>主要是驻京业务经费未支付完成等原因形成的结余。与上年相比，今年结转结余减少80.42万元，降低45.96%，主要原因是财政一体化无财政拨款结转。</w:t>
      </w:r>
    </w:p>
    <w:p w14:paraId="1AEDC435">
      <w:pPr>
        <w:spacing w:line="540" w:lineRule="exact"/>
        <w:ind w:firstLine="660"/>
        <w:rPr>
          <w:rFonts w:ascii="黑体" w:hAnsi="黑体" w:eastAsia="黑体"/>
          <w:sz w:val="32"/>
          <w:szCs w:val="32"/>
        </w:rPr>
      </w:pPr>
      <w:r>
        <w:rPr>
          <w:rFonts w:hint="eastAsia" w:ascii="黑体" w:hAnsi="黑体" w:eastAsia="黑体"/>
          <w:sz w:val="32"/>
          <w:szCs w:val="32"/>
        </w:rPr>
        <w:t>二、财政拨款支出决算情况说明</w:t>
      </w:r>
    </w:p>
    <w:p w14:paraId="135EE647">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609580A0">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2021年度财政拨款支出2296.26万元，其中：基本支出2011.09万元，项目支出285.17万元。与</w:t>
      </w:r>
      <w:r>
        <w:rPr>
          <w:rFonts w:ascii="仿宋_GB2312" w:hAnsi="宋体" w:eastAsia="仿宋_GB2312"/>
          <w:sz w:val="32"/>
          <w:szCs w:val="32"/>
        </w:rPr>
        <w:t>上年相比，</w:t>
      </w:r>
      <w:r>
        <w:rPr>
          <w:rFonts w:hint="eastAsia" w:ascii="仿宋_GB2312" w:hAnsi="宋体" w:eastAsia="仿宋_GB2312"/>
          <w:sz w:val="32"/>
          <w:szCs w:val="32"/>
        </w:rPr>
        <w:t>财政拨款支出增加67.19万元，增长3.01%，主要原因是人员调整。与年初预算相比，2021年度财政拨款支出完成年初预算的134.10%，其中：基本支出完成年初预算的140.08%，项目完成年初预算的103.07%。</w:t>
      </w:r>
    </w:p>
    <w:p w14:paraId="31C99EAE">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（二）一般公共预算财政拨款支出情况。</w:t>
      </w:r>
    </w:p>
    <w:p w14:paraId="50C550B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2021年度一般公共预算财政拨款支出2296.26万元，按支出功能分类科目分，包括：一般公共服务支出1895.40万元，占82.54</w:t>
      </w:r>
      <w:r>
        <w:rPr>
          <w:rFonts w:ascii="仿宋_GB2312" w:hAnsi="宋体" w:eastAsia="仿宋_GB2312"/>
          <w:sz w:val="32"/>
          <w:szCs w:val="32"/>
        </w:rPr>
        <w:t>%</w:t>
      </w:r>
      <w:r>
        <w:rPr>
          <w:rFonts w:hint="eastAsia" w:ascii="仿宋_GB2312" w:hAnsi="宋体" w:eastAsia="仿宋_GB2312"/>
          <w:sz w:val="32"/>
          <w:szCs w:val="32"/>
        </w:rPr>
        <w:t>；社会保障和就业支出213.16万元，占9.28</w:t>
      </w:r>
      <w:r>
        <w:rPr>
          <w:rFonts w:ascii="仿宋_GB2312" w:hAnsi="宋体" w:eastAsia="仿宋_GB2312"/>
          <w:sz w:val="32"/>
          <w:szCs w:val="32"/>
        </w:rPr>
        <w:t>%</w:t>
      </w:r>
      <w:r>
        <w:rPr>
          <w:rFonts w:hint="eastAsia" w:ascii="仿宋_GB2312" w:hAnsi="宋体" w:eastAsia="仿宋_GB2312"/>
          <w:sz w:val="32"/>
          <w:szCs w:val="32"/>
        </w:rPr>
        <w:t>；卫生健康支出59.83万元，占2.61</w:t>
      </w:r>
      <w:r>
        <w:rPr>
          <w:rFonts w:ascii="仿宋_GB2312" w:hAnsi="宋体" w:eastAsia="仿宋_GB2312"/>
          <w:sz w:val="32"/>
          <w:szCs w:val="32"/>
        </w:rPr>
        <w:t>%</w:t>
      </w:r>
      <w:r>
        <w:rPr>
          <w:rFonts w:hint="eastAsia" w:ascii="仿宋_GB2312" w:hAnsi="宋体" w:eastAsia="仿宋_GB2312"/>
          <w:sz w:val="32"/>
          <w:szCs w:val="32"/>
        </w:rPr>
        <w:t>；住房保障支出100.03万元，占4.36</w:t>
      </w:r>
      <w:r>
        <w:rPr>
          <w:rFonts w:ascii="仿宋_GB2312" w:hAnsi="宋体" w:eastAsia="仿宋_GB2312"/>
          <w:sz w:val="32"/>
          <w:szCs w:val="32"/>
        </w:rPr>
        <w:t>%</w:t>
      </w:r>
      <w:r>
        <w:rPr>
          <w:rFonts w:hint="eastAsia" w:ascii="仿宋_GB2312" w:hAnsi="宋体" w:eastAsia="仿宋_GB2312"/>
          <w:sz w:val="32"/>
          <w:szCs w:val="32"/>
        </w:rPr>
        <w:t>；其他支出27.84万元，占1.21</w:t>
      </w:r>
      <w:r>
        <w:rPr>
          <w:rFonts w:ascii="仿宋_GB2312" w:hAnsi="宋体" w:eastAsia="仿宋_GB2312"/>
          <w:sz w:val="32"/>
          <w:szCs w:val="32"/>
        </w:rPr>
        <w:t>%</w:t>
      </w:r>
      <w:r>
        <w:rPr>
          <w:rFonts w:hint="eastAsia" w:ascii="仿宋_GB2312" w:hAnsi="宋体" w:eastAsia="仿宋_GB2312"/>
          <w:sz w:val="32"/>
          <w:szCs w:val="32"/>
        </w:rPr>
        <w:t>。</w:t>
      </w:r>
    </w:p>
    <w:p w14:paraId="797D2BCC">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1.一般公共服务支出1895.40万元，具体包括：</w:t>
      </w:r>
    </w:p>
    <w:p w14:paraId="383C86BF">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一般公共服务支出（类）政府办公厅（室）及相关机构事务（款）行政运行（项）1568.95万元，主要是人员工资、公用经费等支出，完成年初预算的149.31%，决算数大于年初预算数的原因主要是人员调整及绩效工资发放。</w:t>
      </w:r>
    </w:p>
    <w:p w14:paraId="1C33C23A">
      <w:pPr>
        <w:spacing w:line="540" w:lineRule="exact"/>
        <w:ind w:firstLine="660"/>
        <w:rPr>
          <w:rFonts w:ascii="仿宋_GB2312" w:hAnsi="宋体" w:eastAsia="仿宋_GB2312"/>
          <w:sz w:val="32"/>
          <w:szCs w:val="32"/>
        </w:rPr>
      </w:pPr>
      <w:r>
        <w:rPr>
          <w:rFonts w:hint="eastAsia" w:ascii="仿宋_GB2312" w:hAnsi="宋体" w:eastAsia="仿宋_GB2312"/>
          <w:sz w:val="32"/>
          <w:szCs w:val="32"/>
        </w:rPr>
        <w:t>（2）一般公共服务支出（类）政府办公厅（室）及相关机构事务（款）一般行政管理事务（项）147.72万元，主要是项目支出，完成年初预算的88.62%，决算数小于年初预算数的原因主要是节约开支。</w:t>
      </w:r>
    </w:p>
    <w:p w14:paraId="74D0B7E6">
      <w:pPr>
        <w:spacing w:line="540" w:lineRule="exact"/>
        <w:ind w:firstLine="660"/>
        <w:rPr>
          <w:rFonts w:ascii="仿宋_GB2312" w:hAnsi="宋体" w:eastAsia="仿宋_GB2312"/>
          <w:sz w:val="32"/>
          <w:szCs w:val="32"/>
        </w:rPr>
      </w:pPr>
      <w:r>
        <w:rPr>
          <w:rFonts w:hint="eastAsia" w:ascii="仿宋_GB2312" w:hAnsi="宋体" w:eastAsia="仿宋_GB2312"/>
          <w:sz w:val="32"/>
          <w:szCs w:val="32"/>
        </w:rPr>
        <w:t>（3）一般公共服务支出（类）政府办公厅（室）及相关机构事务（款）事业运行（项）69.12万元，主要是人员工资、公用经费等支出，完成年初预算的129.24%，决算数大于年初预算数的原因主要是人员调整及绩效工资发放。</w:t>
      </w:r>
    </w:p>
    <w:p w14:paraId="449749A6">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一般公共服务支出（类）政府办公厅（室）及相关机构事务（款）其他政府办公厅（室）及相关机构事务支出（项）109.35万元，主要是项目支出，完成年初预算的99.41%，决算数小于年初预算数的原因主要是节约开支。</w:t>
      </w:r>
    </w:p>
    <w:p w14:paraId="2D1E285A">
      <w:pPr>
        <w:spacing w:line="540" w:lineRule="exact"/>
        <w:ind w:firstLine="660"/>
        <w:rPr>
          <w:rFonts w:ascii="仿宋_GB2312" w:hAnsi="宋体" w:eastAsia="仿宋_GB2312"/>
          <w:sz w:val="32"/>
          <w:szCs w:val="32"/>
        </w:rPr>
      </w:pPr>
      <w:r>
        <w:rPr>
          <w:rFonts w:hint="eastAsia" w:ascii="仿宋_GB2312" w:hAnsi="宋体" w:eastAsia="仿宋_GB2312"/>
          <w:sz w:val="32"/>
          <w:szCs w:val="32"/>
        </w:rPr>
        <w:t>（5）一般公共服务支出（类）纪检监察事务（款）派驻派出机构（项）0.26万元，主要是派驻纪检组项目支出，决算数大于年初预算数的原因主要是年初未列预算。</w:t>
      </w:r>
    </w:p>
    <w:p w14:paraId="6A2C4BB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 社会保障和就业支出213.16万元，具体包括：</w:t>
      </w:r>
    </w:p>
    <w:p w14:paraId="701BF93B">
      <w:pPr>
        <w:spacing w:line="540" w:lineRule="exact"/>
        <w:ind w:firstLine="660"/>
        <w:rPr>
          <w:rFonts w:ascii="仿宋_GB2312" w:hAnsi="宋体" w:eastAsia="仿宋_GB2312"/>
          <w:sz w:val="32"/>
          <w:szCs w:val="32"/>
        </w:rPr>
      </w:pPr>
      <w:r>
        <w:rPr>
          <w:rFonts w:hint="eastAsia" w:ascii="仿宋_GB2312" w:hAnsi="宋体" w:eastAsia="仿宋_GB2312"/>
          <w:sz w:val="32"/>
          <w:szCs w:val="32"/>
        </w:rPr>
        <w:t>（1）社会保障和就业支出（类）行政事业单位养老支出（款）行政单位离退休（项）36.33万元，主要是退休人员取暖费及公用经费等支出，完成年初预算的100.47%，决算数大于年初预算数的原因主要是人员变动。</w:t>
      </w:r>
    </w:p>
    <w:p w14:paraId="7BD18674">
      <w:pPr>
        <w:spacing w:line="540" w:lineRule="exact"/>
        <w:ind w:firstLine="660"/>
        <w:rPr>
          <w:rFonts w:ascii="仿宋_GB2312" w:hAnsi="宋体" w:eastAsia="仿宋_GB2312"/>
          <w:sz w:val="32"/>
          <w:szCs w:val="32"/>
        </w:rPr>
      </w:pPr>
      <w:r>
        <w:rPr>
          <w:rFonts w:hint="eastAsia" w:ascii="仿宋_GB2312" w:hAnsi="宋体" w:eastAsia="仿宋_GB2312"/>
          <w:sz w:val="32"/>
          <w:szCs w:val="32"/>
        </w:rPr>
        <w:t>（2）社会保障和就业支出（类）行政事业单位养老支出（款）事业单位离退休（项）0.26万元，主要是退休人员取暖费及公用经费等支出，完成年初预算的100%，决算数等于年初预算数。</w:t>
      </w:r>
    </w:p>
    <w:p w14:paraId="03BDA6C5">
      <w:pPr>
        <w:spacing w:line="540" w:lineRule="exact"/>
        <w:ind w:firstLine="660"/>
        <w:rPr>
          <w:rFonts w:ascii="仿宋_GB2312" w:hAnsi="宋体" w:eastAsia="仿宋_GB2312"/>
          <w:sz w:val="32"/>
          <w:szCs w:val="32"/>
        </w:rPr>
      </w:pPr>
      <w:r>
        <w:rPr>
          <w:rFonts w:hint="eastAsia" w:ascii="仿宋_GB2312" w:hAnsi="宋体" w:eastAsia="仿宋_GB2312"/>
          <w:sz w:val="32"/>
          <w:szCs w:val="32"/>
        </w:rPr>
        <w:t>（3）社会保障和就业支出（类）行政事业单位养老支出（款）机关事业单位基本养老保险缴费支出（项）135.86万元，主要是机关事业单位基本养老保险缴费支出，完成年初预算的100.97%，决算数大于年初预算数的原因主要是人员调整。</w:t>
      </w:r>
    </w:p>
    <w:p w14:paraId="6F4156DB">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（4）社会保障和就业支出（类）行政事业单位养老支出（款）机关事业单位职业年金缴费支出（项）16.75万元，主要是机关事业单位职业年金缴费支出，年初未列预算。</w:t>
      </w:r>
    </w:p>
    <w:p w14:paraId="6D432F1E">
      <w:pPr>
        <w:spacing w:line="540" w:lineRule="exact"/>
        <w:ind w:firstLine="660"/>
        <w:rPr>
          <w:rFonts w:ascii="仿宋_GB2312" w:hAnsi="宋体" w:eastAsia="仿宋_GB2312"/>
          <w:sz w:val="32"/>
          <w:szCs w:val="32"/>
        </w:rPr>
      </w:pPr>
      <w:r>
        <w:rPr>
          <w:rFonts w:hint="eastAsia" w:ascii="仿宋_GB2312" w:hAnsi="宋体" w:eastAsia="仿宋_GB2312"/>
          <w:sz w:val="32"/>
          <w:szCs w:val="32"/>
        </w:rPr>
        <w:t>（5）社会保障和就业支出（类）抚恤（款）死亡抚恤（项）23.83万元，主要是抚恤金支出，年初未列预算。</w:t>
      </w:r>
    </w:p>
    <w:p w14:paraId="6855465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（6）社会保障和就业支出（类）其他社会保障和就业支出（款）其他社会保障和就业支出（项）0.13万元，主要是事业单位失业保险缴费支出，完成年初预算的100%，决算数等于年初预算数。</w:t>
      </w:r>
    </w:p>
    <w:p w14:paraId="3C4541C2">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3.卫生健康支出59.83万元，具体包括：</w:t>
      </w:r>
    </w:p>
    <w:p w14:paraId="57C7ADF2">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（1）卫生健康支出（类）行政事业单位医疗（款）行政单位医疗（项）57.39万元，主要是机关事业单位医疗保险缴费支出，完成年初预算的100.53%，决算数大于年初预算数的原因主要是人员调整。</w:t>
      </w:r>
    </w:p>
    <w:p w14:paraId="15E94C62">
      <w:pPr>
        <w:spacing w:line="540" w:lineRule="exact"/>
        <w:ind w:firstLine="660"/>
        <w:rPr>
          <w:rFonts w:ascii="仿宋_GB2312" w:hAnsi="宋体" w:eastAsia="仿宋_GB2312"/>
          <w:sz w:val="32"/>
          <w:szCs w:val="32"/>
        </w:rPr>
      </w:pPr>
      <w:r>
        <w:rPr>
          <w:rFonts w:hint="eastAsia" w:ascii="仿宋_GB2312" w:hAnsi="宋体" w:eastAsia="仿宋_GB2312"/>
          <w:sz w:val="32"/>
          <w:szCs w:val="32"/>
        </w:rPr>
        <w:t>（2）卫生健康支出（类）行政事业单位医疗（款）事业单位医疗（项）1.79万元，主要是机关事业单位医疗保险缴费支出，完成年初预算的100%，决算数等于年初预算数。</w:t>
      </w:r>
    </w:p>
    <w:p w14:paraId="6F2D0631">
      <w:pPr>
        <w:spacing w:line="540" w:lineRule="exact"/>
        <w:ind w:firstLine="660"/>
        <w:rPr>
          <w:rFonts w:ascii="仿宋_GB2312" w:hAnsi="宋体" w:eastAsia="仿宋_GB2312"/>
          <w:sz w:val="32"/>
          <w:szCs w:val="32"/>
        </w:rPr>
      </w:pPr>
      <w:r>
        <w:rPr>
          <w:rFonts w:hint="eastAsia" w:ascii="仿宋_GB2312" w:hAnsi="宋体" w:eastAsia="仿宋_GB2312"/>
          <w:sz w:val="32"/>
          <w:szCs w:val="32"/>
        </w:rPr>
        <w:t>（3）卫生健康支出（类）行政事业单位医疗（款）其他行政事业单位医疗支出（项）0.65万元，主要是机关事业单位大额医疗保险缴费支出，完成年初预算的101.56%，决算数大于年初预算数的原因主要是人员调整。</w:t>
      </w:r>
    </w:p>
    <w:p w14:paraId="13E9354F">
      <w:pPr>
        <w:spacing w:line="540" w:lineRule="exact"/>
        <w:ind w:firstLine="660"/>
        <w:rPr>
          <w:rFonts w:ascii="仿宋_GB2312" w:hAnsi="宋体" w:eastAsia="仿宋_GB2312"/>
          <w:sz w:val="32"/>
          <w:szCs w:val="32"/>
        </w:rPr>
      </w:pPr>
      <w:r>
        <w:rPr>
          <w:rFonts w:hint="eastAsia" w:ascii="仿宋_GB2312" w:hAnsi="宋体" w:eastAsia="仿宋_GB2312"/>
          <w:sz w:val="32"/>
          <w:szCs w:val="32"/>
        </w:rPr>
        <w:t>4.住房保障支出100.03万元，具体包括：</w:t>
      </w:r>
    </w:p>
    <w:p w14:paraId="735953C3">
      <w:pPr>
        <w:spacing w:line="540" w:lineRule="exact"/>
        <w:ind w:firstLine="660"/>
        <w:rPr>
          <w:rFonts w:ascii="仿宋_GB2312" w:hAnsi="宋体" w:eastAsia="仿宋_GB2312"/>
          <w:sz w:val="32"/>
          <w:szCs w:val="32"/>
        </w:rPr>
      </w:pPr>
      <w:r>
        <w:rPr>
          <w:rFonts w:hint="eastAsia" w:ascii="仿宋_GB2312" w:hAnsi="宋体" w:eastAsia="仿宋_GB2312"/>
          <w:sz w:val="32"/>
          <w:szCs w:val="32"/>
        </w:rPr>
        <w:t>（1）住房保障支出（类）住房改革支出（款）住房公积金（项）100.03万元，主要是机关事业单位住房公积金缴费支出，完成年初预算的99.25%，决算数小于年初预算数的原因主要是人员调整。</w:t>
      </w:r>
    </w:p>
    <w:p w14:paraId="4AEE02A3">
      <w:pPr>
        <w:spacing w:line="540" w:lineRule="exact"/>
        <w:ind w:firstLine="660"/>
        <w:rPr>
          <w:rFonts w:ascii="仿宋_GB2312" w:hAnsi="宋体" w:eastAsia="仿宋_GB2312"/>
          <w:sz w:val="32"/>
          <w:szCs w:val="32"/>
        </w:rPr>
      </w:pPr>
      <w:r>
        <w:rPr>
          <w:rFonts w:hint="eastAsia" w:ascii="仿宋_GB2312" w:hAnsi="宋体" w:eastAsia="仿宋_GB2312"/>
          <w:sz w:val="32"/>
          <w:szCs w:val="32"/>
        </w:rPr>
        <w:t>5.其他支出27.84万元（涉密）</w:t>
      </w:r>
    </w:p>
    <w:p w14:paraId="74D82BEF">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69938EB7">
      <w:pPr>
        <w:spacing w:line="540" w:lineRule="exact"/>
        <w:ind w:firstLine="660"/>
        <w:rPr>
          <w:rFonts w:ascii="仿宋" w:hAnsi="仿宋" w:eastAsia="仿宋"/>
          <w:sz w:val="32"/>
          <w:szCs w:val="32"/>
        </w:rPr>
      </w:pPr>
      <w:r>
        <w:rPr>
          <w:rFonts w:hint="eastAsia" w:ascii="仿宋" w:hAnsi="仿宋" w:eastAsia="仿宋"/>
          <w:sz w:val="32"/>
          <w:szCs w:val="32"/>
        </w:rPr>
        <w:t>2021年度政府性基金预算财政拨款支出0万元，盘锦市人民政府办公室2021年度无政府性基金预算财政拨款支出，无此类资金收支余。</w:t>
      </w:r>
    </w:p>
    <w:p w14:paraId="5153CF2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18226F5D">
      <w:pPr>
        <w:spacing w:line="540" w:lineRule="exact"/>
        <w:ind w:firstLine="660"/>
        <w:rPr>
          <w:rFonts w:ascii="仿宋" w:hAnsi="仿宋" w:eastAsia="仿宋"/>
          <w:sz w:val="32"/>
          <w:szCs w:val="32"/>
        </w:rPr>
      </w:pPr>
      <w:r>
        <w:rPr>
          <w:rFonts w:hint="eastAsia" w:ascii="仿宋" w:hAnsi="仿宋" w:eastAsia="仿宋"/>
          <w:sz w:val="32"/>
          <w:szCs w:val="32"/>
        </w:rPr>
        <w:t>2021年度国有资本经营预算财政拨款支出0万元，盘锦市人民政府办公室2021年度无国有资本经营预算财政拨款支出，无此类资金收支余。</w:t>
      </w:r>
    </w:p>
    <w:p w14:paraId="259714F0">
      <w:pPr>
        <w:spacing w:line="540" w:lineRule="exact"/>
        <w:ind w:firstLine="660"/>
        <w:rPr>
          <w:rFonts w:ascii="黑体" w:hAnsi="黑体" w:eastAsia="黑体"/>
          <w:sz w:val="32"/>
          <w:szCs w:val="32"/>
        </w:rPr>
      </w:pPr>
      <w:r>
        <w:rPr>
          <w:rFonts w:hint="eastAsia" w:ascii="黑体" w:hAnsi="黑体" w:eastAsia="黑体"/>
          <w:sz w:val="32"/>
          <w:szCs w:val="32"/>
        </w:rPr>
        <w:t>三、一般公共预算财政拨款“三公”经费支出决算情况说明</w:t>
      </w:r>
    </w:p>
    <w:p w14:paraId="509307A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安排的“三公”经费支出52.59万元，完成年初预算的98.30%，决算数小于年初预算数的主要原因是严格控制公车使用。较上年比增加30.14万元，增长134.25%,主要原因是本年购置公务用车。其中：因公出国（境）费0万元，公务接待费0万元，公务用车购置及运行维护费52.59万元。</w:t>
      </w:r>
    </w:p>
    <w:p w14:paraId="260BEC5A">
      <w:pPr>
        <w:spacing w:line="540" w:lineRule="exact"/>
        <w:ind w:firstLine="645"/>
        <w:rPr>
          <w:rFonts w:ascii="仿宋" w:hAnsi="仿宋" w:eastAsia="仿宋"/>
          <w:sz w:val="32"/>
          <w:szCs w:val="32"/>
        </w:rPr>
      </w:pPr>
      <w:r>
        <w:rPr>
          <w:rFonts w:hint="eastAsia" w:ascii="仿宋_GB2312" w:hAnsi="宋体" w:eastAsia="仿宋_GB2312"/>
          <w:sz w:val="32"/>
          <w:szCs w:val="32"/>
        </w:rPr>
        <w:t>1.因公出国（境）费0万元，占“三公”经费支出的0%。完成年初预算的0%，</w:t>
      </w:r>
      <w:r>
        <w:rPr>
          <w:rFonts w:hint="eastAsia" w:ascii="仿宋" w:hAnsi="仿宋" w:eastAsia="仿宋"/>
          <w:sz w:val="32"/>
          <w:szCs w:val="32"/>
        </w:rPr>
        <w:t>决算数与年初预算数相等，均为0万元。</w:t>
      </w:r>
      <w:r>
        <w:rPr>
          <w:rFonts w:hint="eastAsia" w:ascii="仿宋_GB2312" w:hAnsi="宋体" w:eastAsia="仿宋_GB2312"/>
          <w:sz w:val="32"/>
          <w:szCs w:val="32"/>
        </w:rPr>
        <w:t>主要原因是年初未做预算，本年没有支出。2021年参加出国（境）团组0个，累计0人次。</w:t>
      </w:r>
      <w:r>
        <w:rPr>
          <w:rFonts w:hint="eastAsia" w:ascii="仿宋" w:hAnsi="仿宋" w:eastAsia="仿宋"/>
          <w:sz w:val="32"/>
          <w:szCs w:val="32"/>
        </w:rPr>
        <w:t>主要原因是2021年本单位均未发生因公出国事项，无因公出国（境）支出。和上年相比无任何增减变动，均为零，主要是2020、2021年无因公出国（境）事项。</w:t>
      </w:r>
    </w:p>
    <w:p w14:paraId="71A0883B">
      <w:pPr>
        <w:spacing w:line="540" w:lineRule="exact"/>
        <w:ind w:firstLine="645"/>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公务接待费</w:t>
      </w:r>
      <w:r>
        <w:rPr>
          <w:rFonts w:ascii="仿宋_GB2312" w:hAnsi="宋体" w:eastAsia="仿宋_GB2312"/>
          <w:sz w:val="32"/>
          <w:szCs w:val="32"/>
        </w:rPr>
        <w:t>0</w:t>
      </w:r>
      <w:r>
        <w:rPr>
          <w:rFonts w:hint="eastAsia" w:ascii="仿宋_GB2312" w:hAnsi="宋体" w:eastAsia="仿宋_GB2312"/>
          <w:sz w:val="32"/>
          <w:szCs w:val="32"/>
        </w:rPr>
        <w:t>万元，占“三公”经费支出的</w:t>
      </w:r>
      <w:r>
        <w:rPr>
          <w:rFonts w:ascii="仿宋_GB2312" w:hAnsi="宋体" w:eastAsia="仿宋_GB2312"/>
          <w:sz w:val="32"/>
          <w:szCs w:val="32"/>
        </w:rPr>
        <w:t>0%</w:t>
      </w:r>
      <w:r>
        <w:rPr>
          <w:rFonts w:hint="eastAsia" w:ascii="仿宋_GB2312" w:hAnsi="宋体" w:eastAsia="仿宋_GB2312"/>
          <w:sz w:val="32"/>
          <w:szCs w:val="32"/>
        </w:rPr>
        <w:t>。完成年初预算的</w:t>
      </w:r>
      <w:r>
        <w:rPr>
          <w:rFonts w:ascii="仿宋_GB2312" w:hAnsi="宋体" w:eastAsia="仿宋_GB2312"/>
          <w:sz w:val="32"/>
          <w:szCs w:val="32"/>
        </w:rPr>
        <w:t>0%</w:t>
      </w:r>
      <w:r>
        <w:rPr>
          <w:rFonts w:hint="eastAsia" w:ascii="仿宋_GB2312" w:hAnsi="宋体" w:eastAsia="仿宋_GB2312"/>
          <w:sz w:val="32"/>
          <w:szCs w:val="32"/>
        </w:rPr>
        <w:t>，决算数与年初预算数相等，均为</w:t>
      </w:r>
      <w:r>
        <w:rPr>
          <w:rFonts w:ascii="仿宋_GB2312" w:hAnsi="宋体" w:eastAsia="仿宋_GB2312"/>
          <w:sz w:val="32"/>
          <w:szCs w:val="32"/>
        </w:rPr>
        <w:t>0</w:t>
      </w:r>
      <w:r>
        <w:rPr>
          <w:rFonts w:hint="eastAsia" w:ascii="仿宋_GB2312" w:hAnsi="宋体" w:eastAsia="仿宋_GB2312"/>
          <w:sz w:val="32"/>
          <w:szCs w:val="32"/>
        </w:rPr>
        <w:t>万元，主要原因是年初未做预算，本年未发生公务接待事项。</w:t>
      </w:r>
      <w:r>
        <w:rPr>
          <w:rFonts w:ascii="仿宋_GB2312" w:hAnsi="宋体" w:eastAsia="仿宋_GB2312"/>
          <w:sz w:val="32"/>
          <w:szCs w:val="32"/>
        </w:rPr>
        <w:t>2021</w:t>
      </w:r>
      <w:r>
        <w:rPr>
          <w:rFonts w:hint="eastAsia" w:ascii="仿宋_GB2312" w:hAnsi="宋体" w:eastAsia="仿宋_GB2312"/>
          <w:sz w:val="32"/>
          <w:szCs w:val="32"/>
        </w:rPr>
        <w:t>年国内公务接待累计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万元，无国内公务接待支出事项和用途；其中外事接待累计</w:t>
      </w:r>
      <w:r>
        <w:rPr>
          <w:rFonts w:ascii="仿宋_GB2312" w:hAnsi="宋体" w:eastAsia="仿宋_GB2312"/>
          <w:sz w:val="32"/>
          <w:szCs w:val="32"/>
        </w:rPr>
        <w:t>0</w:t>
      </w:r>
      <w:r>
        <w:rPr>
          <w:rFonts w:hint="eastAsia" w:ascii="仿宋_GB2312" w:hAnsi="宋体" w:eastAsia="仿宋_GB2312"/>
          <w:sz w:val="32"/>
          <w:szCs w:val="32"/>
        </w:rPr>
        <w:t>批次、</w:t>
      </w:r>
      <w:r>
        <w:rPr>
          <w:rFonts w:ascii="仿宋_GB2312" w:hAnsi="宋体" w:eastAsia="仿宋_GB2312"/>
          <w:sz w:val="32"/>
          <w:szCs w:val="32"/>
        </w:rPr>
        <w:t>0</w:t>
      </w:r>
      <w:r>
        <w:rPr>
          <w:rFonts w:hint="eastAsia" w:ascii="仿宋_GB2312" w:hAnsi="宋体" w:eastAsia="仿宋_GB2312"/>
          <w:sz w:val="32"/>
          <w:szCs w:val="32"/>
        </w:rPr>
        <w:t>人、</w:t>
      </w:r>
      <w:r>
        <w:rPr>
          <w:rFonts w:ascii="仿宋_GB2312" w:hAnsi="宋体" w:eastAsia="仿宋_GB2312"/>
          <w:sz w:val="32"/>
          <w:szCs w:val="32"/>
        </w:rPr>
        <w:t>0</w:t>
      </w:r>
      <w:r>
        <w:rPr>
          <w:rFonts w:hint="eastAsia" w:ascii="仿宋_GB2312" w:hAnsi="宋体" w:eastAsia="仿宋_GB2312"/>
          <w:sz w:val="32"/>
          <w:szCs w:val="32"/>
        </w:rPr>
        <w:t>万元，无外事接待支出事项和用途。</w:t>
      </w:r>
      <w:r>
        <w:rPr>
          <w:rFonts w:ascii="仿宋_GB2312" w:hAnsi="宋体" w:eastAsia="仿宋_GB2312"/>
          <w:sz w:val="32"/>
          <w:szCs w:val="32"/>
        </w:rPr>
        <w:t>2021</w:t>
      </w:r>
      <w:r>
        <w:rPr>
          <w:rFonts w:hint="eastAsia" w:ascii="仿宋_GB2312" w:hAnsi="宋体" w:eastAsia="仿宋_GB2312"/>
          <w:sz w:val="32"/>
          <w:szCs w:val="32"/>
        </w:rPr>
        <w:t>年公务接待费比上年增加</w:t>
      </w:r>
      <w:r>
        <w:rPr>
          <w:rFonts w:ascii="仿宋_GB2312" w:hAnsi="宋体" w:eastAsia="仿宋_GB2312"/>
          <w:sz w:val="32"/>
          <w:szCs w:val="32"/>
        </w:rPr>
        <w:t>0</w:t>
      </w:r>
      <w:r>
        <w:rPr>
          <w:rFonts w:hint="eastAsia" w:ascii="仿宋_GB2312" w:hAnsi="宋体" w:eastAsia="仿宋_GB2312"/>
          <w:sz w:val="32"/>
          <w:szCs w:val="32"/>
        </w:rPr>
        <w:t>万元，增长</w:t>
      </w:r>
      <w:r>
        <w:rPr>
          <w:rFonts w:ascii="仿宋_GB2312" w:hAnsi="宋体" w:eastAsia="仿宋_GB2312"/>
          <w:sz w:val="32"/>
          <w:szCs w:val="32"/>
        </w:rPr>
        <w:t>0%</w:t>
      </w:r>
      <w:r>
        <w:rPr>
          <w:rFonts w:hint="eastAsia" w:ascii="仿宋_GB2312" w:hAnsi="宋体" w:eastAsia="仿宋_GB2312"/>
          <w:sz w:val="32"/>
          <w:szCs w:val="32"/>
        </w:rPr>
        <w:t>，均为</w:t>
      </w:r>
      <w:r>
        <w:rPr>
          <w:rFonts w:ascii="仿宋_GB2312" w:hAnsi="宋体" w:eastAsia="仿宋_GB2312"/>
          <w:sz w:val="32"/>
          <w:szCs w:val="32"/>
        </w:rPr>
        <w:t>0</w:t>
      </w:r>
      <w:r>
        <w:rPr>
          <w:rFonts w:hint="eastAsia" w:ascii="仿宋_GB2312" w:hAnsi="宋体" w:eastAsia="仿宋_GB2312"/>
          <w:sz w:val="32"/>
          <w:szCs w:val="32"/>
        </w:rPr>
        <w:t>，无任何变动，主要是</w:t>
      </w:r>
      <w:r>
        <w:rPr>
          <w:rFonts w:ascii="仿宋_GB2312" w:hAnsi="宋体" w:eastAsia="仿宋_GB2312"/>
          <w:sz w:val="32"/>
          <w:szCs w:val="32"/>
        </w:rPr>
        <w:t>2021</w:t>
      </w:r>
      <w:r>
        <w:rPr>
          <w:rFonts w:hint="eastAsia" w:ascii="仿宋_GB2312" w:hAnsi="宋体" w:eastAsia="仿宋_GB2312"/>
          <w:sz w:val="32"/>
          <w:szCs w:val="32"/>
        </w:rPr>
        <w:t>、</w:t>
      </w:r>
      <w:r>
        <w:rPr>
          <w:rFonts w:ascii="仿宋_GB2312" w:hAnsi="宋体" w:eastAsia="仿宋_GB2312"/>
          <w:sz w:val="32"/>
          <w:szCs w:val="32"/>
        </w:rPr>
        <w:t>2020</w:t>
      </w:r>
      <w:r>
        <w:rPr>
          <w:rFonts w:hint="eastAsia" w:ascii="仿宋_GB2312" w:hAnsi="宋体" w:eastAsia="仿宋_GB2312"/>
          <w:sz w:val="32"/>
          <w:szCs w:val="32"/>
        </w:rPr>
        <w:t>两年无公务接待事宜支出。</w:t>
      </w:r>
    </w:p>
    <w:p w14:paraId="51264566">
      <w:pPr>
        <w:spacing w:line="540" w:lineRule="exact"/>
        <w:ind w:firstLine="645"/>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52.59万元，占“三公”经费支出的100%。完成年初预算的98.30%，决算数小于年初预算数的主要原因是严格控制公车使用。比上年增加30.14万元，增长134.25%，主要是本年购置公务用车等原因。</w:t>
      </w:r>
    </w:p>
    <w:p w14:paraId="05182D10">
      <w:pPr>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其中：公务用车购置费26.10万元，主要用于公务活动等,当年购置公务用车1辆。公务用车运行维护费26.49万元，主要用于公务车加油维修等，截至年末使用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公务用车保有量5辆。</w:t>
      </w:r>
    </w:p>
    <w:p w14:paraId="53F7B36C">
      <w:pPr>
        <w:spacing w:line="540" w:lineRule="exact"/>
        <w:ind w:firstLine="645"/>
        <w:rPr>
          <w:rFonts w:ascii="黑体" w:hAnsi="黑体" w:eastAsia="黑体"/>
          <w:sz w:val="32"/>
          <w:szCs w:val="32"/>
        </w:rPr>
      </w:pPr>
      <w:r>
        <w:rPr>
          <w:rFonts w:hint="eastAsia" w:ascii="黑体" w:hAnsi="黑体" w:eastAsia="黑体"/>
          <w:sz w:val="32"/>
          <w:szCs w:val="32"/>
        </w:rPr>
        <w:t>四、一般公共预算财政拨款基本支出决算情况说明</w:t>
      </w:r>
    </w:p>
    <w:p w14:paraId="38F06F13">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2021年度一般公共预算财政拨款基本支出2011.09万元，其中：人员经费1807.30万元，主要包括基本工资、津贴补贴、奖金、绩效工资、机关事业单位基本养老保险缴费、职业年金缴费、职工基本医疗保险缴费、其他社会保障缴费、住房公积金、其他工资福利支出、离休费、退休费、抚恤金、生活补助；日常公用经费203.79万元，主要包括办公费、印刷费、手续费、水费、电费、邮电费、差旅费、工会经费、福利费、公务用车运行维护费、其他交通费用、其他商品和服务支出。</w:t>
      </w:r>
    </w:p>
    <w:p w14:paraId="2A7126B3">
      <w:pPr>
        <w:spacing w:line="540" w:lineRule="exact"/>
        <w:ind w:firstLine="640" w:firstLineChars="200"/>
        <w:rPr>
          <w:rFonts w:ascii="黑体" w:hAnsi="黑体" w:eastAsia="黑体"/>
          <w:sz w:val="32"/>
          <w:szCs w:val="32"/>
        </w:rPr>
      </w:pPr>
      <w:r>
        <w:rPr>
          <w:rFonts w:hint="eastAsia" w:ascii="黑体" w:hAnsi="黑体" w:eastAsia="黑体"/>
          <w:sz w:val="32"/>
          <w:szCs w:val="32"/>
        </w:rPr>
        <w:t>五、其他重要事项的情况说明</w:t>
      </w:r>
    </w:p>
    <w:p w14:paraId="27573F88">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05565D10">
      <w:pPr>
        <w:spacing w:line="540" w:lineRule="exact"/>
        <w:ind w:firstLine="640" w:firstLineChars="200"/>
        <w:rPr>
          <w:rFonts w:ascii="仿宋_GB2312" w:hAnsi="宋体" w:eastAsia="仿宋_GB2312"/>
          <w:sz w:val="32"/>
          <w:szCs w:val="32"/>
        </w:rPr>
      </w:pPr>
      <w:r>
        <w:rPr>
          <w:rFonts w:hint="eastAsia" w:ascii="仿宋_GB2312" w:hAnsi="黑体" w:eastAsia="仿宋_GB2312"/>
          <w:sz w:val="32"/>
          <w:szCs w:val="32"/>
        </w:rPr>
        <w:t>2021年机关运行经费支出168.24万元，比上年减少16.51万元，降低8.94%，主要原因是节约开支。</w:t>
      </w:r>
      <w:r>
        <w:rPr>
          <w:rFonts w:hint="eastAsia" w:ascii="仿宋_GB2312" w:hAnsi="宋体" w:eastAsia="仿宋_GB2312"/>
          <w:sz w:val="32"/>
          <w:szCs w:val="32"/>
        </w:rPr>
        <w:t>主要包括办公费17.04万元、印刷费36.12万元、手续费0.03万元、邮电费4.21万元、差旅费2.24万元、工会经费16.32万元、福利费1.14万元、其他交通费用89.15万元、其他商品和服务支出1.97万元。</w:t>
      </w:r>
    </w:p>
    <w:p w14:paraId="5EDD48F7">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5241C236">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2021年政府采购支出总额0万元，其中：政府采购货物支出0万元，政府采购工程支出0万元，政府采购服务支出0万元。</w:t>
      </w:r>
      <w:r>
        <w:rPr>
          <w:rFonts w:hint="eastAsia" w:ascii="仿宋_GB2312" w:eastAsia="仿宋_GB2312"/>
          <w:sz w:val="32"/>
          <w:szCs w:val="32"/>
        </w:rPr>
        <w:t>授予中小企业合同金额0万元，占政府采购支出总额的0%，其中：授予小微企业合同金额0万元，占政府采购支出总额的0%；货物采购授予中小企业合同金额占货物支出金额的0%；工程采购授予中小企业合同金额占货物支出金额的0%；服务采购授予中小企业合同金额占货物支出金额的0%。</w:t>
      </w:r>
    </w:p>
    <w:p w14:paraId="10C1D42F">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0363AC90">
      <w:pPr>
        <w:spacing w:line="540" w:lineRule="exact"/>
        <w:ind w:firstLine="640" w:firstLineChars="200"/>
        <w:rPr>
          <w:rFonts w:ascii="仿宋" w:hAnsi="仿宋" w:eastAsia="仿宋"/>
          <w:sz w:val="32"/>
          <w:szCs w:val="32"/>
        </w:rPr>
      </w:pPr>
      <w:r>
        <w:rPr>
          <w:rFonts w:hint="eastAsia" w:ascii="仿宋" w:hAnsi="仿宋" w:eastAsia="仿宋"/>
          <w:sz w:val="32"/>
          <w:szCs w:val="32"/>
        </w:rPr>
        <w:t>截至2021年12月31日，</w:t>
      </w:r>
    </w:p>
    <w:p w14:paraId="3DEC26D8">
      <w:pPr>
        <w:spacing w:line="540" w:lineRule="exact"/>
        <w:ind w:firstLine="640" w:firstLineChars="200"/>
        <w:rPr>
          <w:rFonts w:ascii="仿宋" w:hAnsi="仿宋" w:eastAsia="仿宋"/>
          <w:sz w:val="32"/>
          <w:szCs w:val="32"/>
        </w:rPr>
      </w:pPr>
      <w:r>
        <w:rPr>
          <w:rFonts w:hint="eastAsia" w:ascii="仿宋" w:hAnsi="仿宋" w:eastAsia="仿宋"/>
          <w:sz w:val="32"/>
          <w:szCs w:val="32"/>
        </w:rPr>
        <w:t>1.房屋情况：部门房屋面积193.26平方米，价值263.19万元，其中：办公用房面积120平方米，价值163.42万元；业务用房面积73.26平方米，价值99.77万元；其他（不含构筑物）面积0平方米，价值0万元。</w:t>
      </w:r>
    </w:p>
    <w:p w14:paraId="64C60EA5">
      <w:pPr>
        <w:spacing w:line="540" w:lineRule="exact"/>
        <w:ind w:firstLine="640" w:firstLineChars="200"/>
        <w:rPr>
          <w:rFonts w:ascii="楷体_GB2312" w:hAnsi="黑体" w:eastAsia="楷体_GB2312"/>
          <w:b/>
          <w:sz w:val="32"/>
          <w:szCs w:val="32"/>
        </w:rPr>
      </w:pPr>
      <w:r>
        <w:rPr>
          <w:rFonts w:hint="eastAsia" w:ascii="仿宋" w:hAnsi="仿宋" w:eastAsia="仿宋"/>
          <w:sz w:val="32"/>
          <w:szCs w:val="32"/>
        </w:rPr>
        <w:t>2.车辆情况：共有车辆5辆，价值182.69万元，其中：</w:t>
      </w:r>
      <w:r>
        <w:rPr>
          <w:rFonts w:hint="eastAsia" w:ascii="仿宋_GB2312" w:hAnsi="黑体" w:eastAsia="仿宋_GB2312"/>
          <w:sz w:val="32"/>
          <w:szCs w:val="32"/>
        </w:rPr>
        <w:t>副省级以上领导干部用车0辆，主要</w:t>
      </w:r>
      <w:r>
        <w:rPr>
          <w:rFonts w:ascii="仿宋_GB2312" w:hAnsi="黑体" w:eastAsia="仿宋_GB2312"/>
          <w:sz w:val="32"/>
          <w:szCs w:val="32"/>
        </w:rPr>
        <w:t>领导干部</w:t>
      </w:r>
      <w:r>
        <w:rPr>
          <w:rFonts w:hint="eastAsia" w:ascii="仿宋_GB2312" w:hAnsi="黑体" w:eastAsia="仿宋_GB2312"/>
          <w:sz w:val="32"/>
          <w:szCs w:val="32"/>
        </w:rPr>
        <w:t>用车0辆，机要通讯用车1辆，应急</w:t>
      </w:r>
      <w:r>
        <w:rPr>
          <w:rFonts w:ascii="仿宋_GB2312" w:hAnsi="黑体" w:eastAsia="仿宋_GB2312"/>
          <w:sz w:val="32"/>
          <w:szCs w:val="32"/>
        </w:rPr>
        <w:t>保障用车</w:t>
      </w:r>
      <w:r>
        <w:rPr>
          <w:rFonts w:hint="eastAsia" w:ascii="仿宋_GB2312" w:hAnsi="黑体" w:eastAsia="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特种专业技术用车0辆，离退休</w:t>
      </w:r>
      <w:r>
        <w:rPr>
          <w:rFonts w:ascii="仿宋_GB2312" w:hAnsi="黑体" w:eastAsia="仿宋_GB2312"/>
          <w:sz w:val="32"/>
          <w:szCs w:val="32"/>
        </w:rPr>
        <w:t>干部用车</w:t>
      </w:r>
      <w:r>
        <w:rPr>
          <w:rFonts w:hint="eastAsia" w:ascii="仿宋_GB2312" w:hAnsi="黑体" w:eastAsia="仿宋_GB2312"/>
          <w:sz w:val="32"/>
          <w:szCs w:val="32"/>
        </w:rPr>
        <w:t>0辆</w:t>
      </w:r>
      <w:r>
        <w:rPr>
          <w:rFonts w:ascii="仿宋_GB2312" w:hAnsi="黑体" w:eastAsia="仿宋_GB2312"/>
          <w:sz w:val="32"/>
          <w:szCs w:val="32"/>
        </w:rPr>
        <w:t>，</w:t>
      </w:r>
      <w:r>
        <w:rPr>
          <w:rFonts w:hint="eastAsia" w:ascii="仿宋_GB2312" w:hAnsi="黑体" w:eastAsia="仿宋_GB2312"/>
          <w:sz w:val="32"/>
          <w:szCs w:val="32"/>
        </w:rPr>
        <w:t>其他用车4辆，其他用车主要是驻北京联络处业务用车。</w:t>
      </w:r>
    </w:p>
    <w:p w14:paraId="088DA70B">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3.设备情况：单位价值50万元以上通用设备0台（套），单价100万元以上专用设备0台（套）。</w:t>
      </w:r>
    </w:p>
    <w:p w14:paraId="4002F8F1">
      <w:pPr>
        <w:widowControl/>
        <w:spacing w:line="540" w:lineRule="exact"/>
        <w:ind w:firstLine="643" w:firstLineChars="200"/>
        <w:jc w:val="left"/>
      </w:pPr>
      <w:r>
        <w:rPr>
          <w:rFonts w:ascii="楷体_GB2312" w:hAnsi="宋体" w:eastAsia="楷体_GB2312" w:cs="楷体_GB2312"/>
          <w:b/>
          <w:sz w:val="32"/>
          <w:szCs w:val="32"/>
        </w:rPr>
        <w:t>（四）预算绩效情况。</w:t>
      </w:r>
    </w:p>
    <w:p w14:paraId="774CAAA5">
      <w:pPr>
        <w:widowControl/>
        <w:spacing w:line="520" w:lineRule="exact"/>
        <w:ind w:firstLine="643" w:firstLineChars="200"/>
        <w:jc w:val="left"/>
        <w:rPr>
          <w:rFonts w:ascii="仿宋_GB2312" w:hAnsi="仿宋_GB2312" w:eastAsia="仿宋_GB2312" w:cs="仿宋_GB2312"/>
        </w:rPr>
      </w:pPr>
      <w:r>
        <w:rPr>
          <w:rFonts w:hint="eastAsia" w:ascii="仿宋_GB2312" w:hAnsi="仿宋_GB2312" w:eastAsia="仿宋_GB2312" w:cs="仿宋_GB2312"/>
          <w:b/>
          <w:sz w:val="32"/>
          <w:szCs w:val="32"/>
        </w:rPr>
        <w:t>1.预算绩效管理工作开展情况。</w:t>
      </w:r>
    </w:p>
    <w:p w14:paraId="0EF97C36">
      <w:pPr>
        <w:widowControl/>
        <w:spacing w:line="520" w:lineRule="exact"/>
        <w:ind w:firstLine="643" w:firstLineChars="200"/>
        <w:jc w:val="left"/>
        <w:rPr>
          <w:rFonts w:ascii="仿宋_GB2312" w:hAnsi="宋体" w:eastAsia="仿宋_GB2312" w:cs="仿宋_GB2312"/>
          <w:sz w:val="32"/>
          <w:szCs w:val="32"/>
        </w:rPr>
      </w:pPr>
      <w:r>
        <w:rPr>
          <w:rFonts w:hint="eastAsia" w:hAnsi="宋体" w:eastAsia="仿宋_GB2312" w:cs="仿宋_GB2312"/>
          <w:b/>
          <w:bCs/>
          <w:sz w:val="32"/>
          <w:szCs w:val="32"/>
        </w:rPr>
        <w:t>（1）绩效自评情况。</w:t>
      </w:r>
      <w:r>
        <w:rPr>
          <w:rFonts w:ascii="仿宋_GB2312" w:hAnsi="宋体" w:eastAsia="仿宋_GB2312" w:cs="仿宋_GB2312"/>
          <w:sz w:val="32"/>
          <w:szCs w:val="32"/>
        </w:rPr>
        <w:t>根据预算</w:t>
      </w:r>
      <w:r>
        <w:rPr>
          <w:rFonts w:hint="eastAsia" w:hAnsi="宋体" w:eastAsia="仿宋_GB2312" w:cs="仿宋_GB2312"/>
          <w:sz w:val="32"/>
          <w:szCs w:val="32"/>
        </w:rPr>
        <w:t>绩效</w:t>
      </w:r>
      <w:r>
        <w:rPr>
          <w:rFonts w:ascii="仿宋_GB2312" w:hAnsi="宋体" w:eastAsia="仿宋_GB2312" w:cs="仿宋_GB2312"/>
          <w:sz w:val="32"/>
          <w:szCs w:val="32"/>
        </w:rPr>
        <w:t>管理要求，我</w:t>
      </w:r>
      <w:r>
        <w:rPr>
          <w:rFonts w:hint="eastAsia" w:ascii="仿宋_GB2312" w:hAnsi="宋体" w:eastAsia="仿宋_GB2312" w:cs="仿宋_GB2312"/>
          <w:sz w:val="32"/>
          <w:szCs w:val="32"/>
        </w:rPr>
        <w:t>部门（单位）</w:t>
      </w:r>
      <w:r>
        <w:rPr>
          <w:rFonts w:ascii="仿宋_GB2312" w:hAnsi="宋体" w:eastAsia="仿宋_GB2312" w:cs="仿宋_GB2312"/>
          <w:sz w:val="32"/>
          <w:szCs w:val="32"/>
        </w:rPr>
        <w:t>组织对</w:t>
      </w:r>
      <w:r>
        <w:rPr>
          <w:rFonts w:hint="eastAsia" w:ascii="仿宋_GB2312" w:hAnsi="宋体" w:eastAsia="仿宋_GB2312" w:cs="宋体"/>
          <w:sz w:val="32"/>
          <w:szCs w:val="32"/>
        </w:rPr>
        <w:t>2021</w:t>
      </w:r>
      <w:r>
        <w:rPr>
          <w:rFonts w:hint="eastAsia" w:ascii="仿宋_GB2312" w:hAnsi="宋体" w:eastAsia="仿宋_GB2312" w:cs="仿宋_GB2312"/>
          <w:sz w:val="32"/>
          <w:szCs w:val="32"/>
        </w:rPr>
        <w:t>年度预算</w:t>
      </w:r>
      <w:r>
        <w:rPr>
          <w:rFonts w:hint="eastAsia" w:hAnsi="宋体" w:eastAsia="仿宋_GB2312" w:cs="仿宋_GB2312"/>
          <w:sz w:val="32"/>
          <w:szCs w:val="32"/>
        </w:rPr>
        <w:t>开展整体绩效自评，涉及资金</w:t>
      </w:r>
      <w:r>
        <w:rPr>
          <w:rFonts w:hint="eastAsia" w:ascii="仿宋_GB2312" w:hAnsi="宋体" w:eastAsia="仿宋_GB2312" w:cs="仿宋_GB2312"/>
          <w:sz w:val="32"/>
          <w:szCs w:val="32"/>
        </w:rPr>
        <w:t>1599.67</w:t>
      </w:r>
      <w:r>
        <w:rPr>
          <w:rFonts w:hint="eastAsia" w:hAnsi="宋体" w:eastAsia="仿宋_GB2312" w:cs="仿宋_GB2312"/>
          <w:sz w:val="32"/>
          <w:szCs w:val="32"/>
        </w:rPr>
        <w:t>万元，自评得分</w:t>
      </w:r>
      <w:r>
        <w:rPr>
          <w:rFonts w:hint="eastAsia" w:ascii="仿宋_GB2312" w:hAnsi="宋体" w:eastAsia="仿宋_GB2312" w:cs="仿宋_GB2312"/>
          <w:sz w:val="32"/>
          <w:szCs w:val="32"/>
        </w:rPr>
        <w:t>93.40</w:t>
      </w:r>
      <w:r>
        <w:rPr>
          <w:rFonts w:hint="eastAsia" w:hAnsi="宋体" w:eastAsia="仿宋_GB2312" w:cs="仿宋_GB2312"/>
          <w:sz w:val="32"/>
          <w:szCs w:val="32"/>
        </w:rPr>
        <w:t>分；对2021年度特定目标类项目开展自评，</w:t>
      </w:r>
      <w:r>
        <w:rPr>
          <w:rFonts w:hint="eastAsia" w:ascii="仿宋" w:hAnsi="仿宋" w:eastAsia="仿宋" w:cs="仿宋_GB2312"/>
          <w:sz w:val="32"/>
          <w:szCs w:val="32"/>
        </w:rPr>
        <w:t>共涉及预算支出项目0个，</w:t>
      </w:r>
      <w:r>
        <w:rPr>
          <w:rFonts w:hint="eastAsia" w:hAnsi="宋体" w:eastAsia="仿宋_GB2312" w:cs="仿宋_GB2312"/>
          <w:sz w:val="32"/>
          <w:szCs w:val="32"/>
        </w:rPr>
        <w:t>涉及资金</w:t>
      </w:r>
      <w:r>
        <w:rPr>
          <w:rFonts w:hint="eastAsia" w:ascii="仿宋_GB2312" w:hAnsi="宋体" w:eastAsia="仿宋_GB2312" w:cs="仿宋_GB2312"/>
          <w:sz w:val="32"/>
          <w:szCs w:val="32"/>
        </w:rPr>
        <w:t>0万元，自评平均得分0分。</w:t>
      </w:r>
    </w:p>
    <w:p w14:paraId="4656F5BC">
      <w:pPr>
        <w:widowControl/>
        <w:spacing w:line="540" w:lineRule="exact"/>
        <w:ind w:firstLine="640" w:firstLineChars="200"/>
        <w:jc w:val="left"/>
        <w:rPr>
          <w:rFonts w:ascii="仿宋_GB2312" w:hAnsi="宋体" w:eastAsia="仿宋_GB2312" w:cs="仿宋_GB2312"/>
          <w:sz w:val="32"/>
          <w:szCs w:val="32"/>
        </w:rPr>
      </w:pPr>
      <w:r>
        <w:rPr>
          <w:rFonts w:hint="eastAsia" w:ascii="仿宋" w:hAnsi="仿宋" w:eastAsia="仿宋" w:cs="仿宋_GB2312"/>
          <w:sz w:val="32"/>
          <w:szCs w:val="32"/>
        </w:rPr>
        <w:t>通过绩效自评发现主要存在以下问题：</w:t>
      </w:r>
      <w:r>
        <w:rPr>
          <w:rFonts w:ascii="仿宋" w:hAnsi="仿宋" w:eastAsia="仿宋" w:cs="黑体"/>
          <w:sz w:val="32"/>
          <w:szCs w:val="32"/>
        </w:rPr>
        <w:t>一是</w:t>
      </w:r>
      <w:r>
        <w:rPr>
          <w:rFonts w:hint="eastAsia" w:ascii="仿宋" w:hAnsi="仿宋" w:eastAsia="仿宋" w:cs="仿宋_GB2312"/>
          <w:sz w:val="32"/>
          <w:szCs w:val="32"/>
        </w:rPr>
        <w:t>预算执行进度和效率有待加强</w:t>
      </w:r>
      <w:r>
        <w:rPr>
          <w:rFonts w:hint="eastAsia" w:ascii="仿宋" w:hAnsi="仿宋" w:eastAsia="仿宋" w:cs="宋体"/>
          <w:sz w:val="32"/>
          <w:szCs w:val="32"/>
        </w:rPr>
        <w:t>;</w:t>
      </w:r>
      <w:r>
        <w:rPr>
          <w:rFonts w:hint="eastAsia" w:ascii="仿宋" w:hAnsi="仿宋" w:eastAsia="仿宋" w:cs="黑体"/>
          <w:sz w:val="32"/>
          <w:szCs w:val="32"/>
        </w:rPr>
        <w:t>二是</w:t>
      </w:r>
      <w:r>
        <w:rPr>
          <w:rFonts w:hint="eastAsia" w:ascii="仿宋" w:hAnsi="仿宋" w:eastAsia="仿宋" w:cs="仿宋_GB2312"/>
          <w:sz w:val="32"/>
          <w:szCs w:val="32"/>
        </w:rPr>
        <w:t>绩效目标和管理有待完善。下一步将采取以下措施加以改进：</w:t>
      </w:r>
      <w:r>
        <w:rPr>
          <w:rFonts w:hint="eastAsia" w:ascii="仿宋" w:hAnsi="仿宋" w:eastAsia="仿宋" w:cs="黑体"/>
          <w:sz w:val="32"/>
          <w:szCs w:val="32"/>
        </w:rPr>
        <w:t>一是</w:t>
      </w:r>
      <w:r>
        <w:rPr>
          <w:rFonts w:hint="eastAsia" w:ascii="仿宋" w:hAnsi="仿宋" w:eastAsia="仿宋" w:cs="仿宋_GB2312"/>
          <w:sz w:val="32"/>
          <w:szCs w:val="32"/>
        </w:rPr>
        <w:t>加快预算执行进度</w:t>
      </w:r>
      <w:r>
        <w:rPr>
          <w:rFonts w:hint="eastAsia" w:ascii="仿宋" w:hAnsi="仿宋" w:eastAsia="仿宋" w:cs="宋体"/>
          <w:sz w:val="32"/>
          <w:szCs w:val="32"/>
        </w:rPr>
        <w:t>;</w:t>
      </w:r>
      <w:r>
        <w:rPr>
          <w:rFonts w:hint="eastAsia" w:ascii="仿宋" w:hAnsi="仿宋" w:eastAsia="仿宋" w:cs="黑体"/>
          <w:sz w:val="32"/>
          <w:szCs w:val="32"/>
        </w:rPr>
        <w:t>二是</w:t>
      </w:r>
      <w:r>
        <w:rPr>
          <w:rFonts w:hint="eastAsia" w:ascii="仿宋" w:hAnsi="仿宋" w:eastAsia="仿宋" w:cs="仿宋_GB2312"/>
          <w:sz w:val="32"/>
          <w:szCs w:val="32"/>
        </w:rPr>
        <w:t>提升资金使用效率。</w:t>
      </w:r>
    </w:p>
    <w:p w14:paraId="56DB5519">
      <w:pPr>
        <w:widowControl/>
        <w:spacing w:line="520" w:lineRule="exact"/>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（2）重点项目评价情况。</w:t>
      </w:r>
      <w:r>
        <w:rPr>
          <w:rFonts w:hint="eastAsia" w:ascii="仿宋" w:hAnsi="仿宋" w:eastAsia="仿宋" w:cs="仿宋_GB2312"/>
          <w:sz w:val="32"/>
          <w:szCs w:val="32"/>
        </w:rPr>
        <w:t>我部门2021年</w:t>
      </w:r>
      <w:r>
        <w:rPr>
          <w:rFonts w:hint="eastAsia" w:ascii="仿宋" w:hAnsi="仿宋" w:eastAsia="仿宋"/>
          <w:sz w:val="32"/>
        </w:rPr>
        <w:t>无重点项目绩效评价。</w:t>
      </w:r>
    </w:p>
    <w:p w14:paraId="5B68D3FF">
      <w:pPr>
        <w:widowControl/>
        <w:spacing w:line="520" w:lineRule="exact"/>
        <w:ind w:firstLine="643" w:firstLineChars="200"/>
        <w:jc w:val="left"/>
        <w:rPr>
          <w:rFonts w:ascii="仿宋" w:hAnsi="仿宋" w:eastAsia="仿宋" w:cs="仿宋_GB2312"/>
          <w:sz w:val="32"/>
          <w:szCs w:val="32"/>
        </w:rPr>
      </w:pPr>
      <w:r>
        <w:rPr>
          <w:rFonts w:hint="eastAsia" w:ascii="仿宋" w:hAnsi="仿宋" w:eastAsia="仿宋" w:cs="仿宋_GB2312"/>
          <w:b/>
          <w:bCs/>
          <w:sz w:val="32"/>
          <w:szCs w:val="32"/>
        </w:rPr>
        <w:t>2.部门决算中特定目标类项目绩效自评结果。</w:t>
      </w:r>
      <w:r>
        <w:rPr>
          <w:rFonts w:hint="eastAsia" w:ascii="仿宋" w:hAnsi="仿宋" w:eastAsia="仿宋" w:cs="仿宋_GB2312"/>
          <w:sz w:val="32"/>
          <w:szCs w:val="32"/>
        </w:rPr>
        <w:t>2021年度本部门没有对部门决算中特定目标类项目开展绩效自评工作。</w:t>
      </w:r>
    </w:p>
    <w:p w14:paraId="5CE06EED">
      <w:pPr>
        <w:widowControl/>
        <w:rPr>
          <w:rFonts w:ascii="宋体" w:hAnsi="宋体"/>
          <w:b/>
          <w:sz w:val="36"/>
          <w:szCs w:val="36"/>
        </w:rPr>
      </w:pPr>
    </w:p>
    <w:tbl>
      <w:tblPr>
        <w:tblStyle w:val="5"/>
        <w:tblW w:w="0" w:type="auto"/>
        <w:tblInd w:w="93" w:type="dxa"/>
        <w:tblLayout w:type="autofit"/>
        <w:tblCellMar>
          <w:top w:w="0" w:type="dxa"/>
          <w:left w:w="108" w:type="dxa"/>
          <w:bottom w:w="0" w:type="dxa"/>
          <w:right w:w="108" w:type="dxa"/>
        </w:tblCellMar>
      </w:tblPr>
      <w:tblGrid>
        <w:gridCol w:w="406"/>
        <w:gridCol w:w="406"/>
        <w:gridCol w:w="406"/>
        <w:gridCol w:w="406"/>
        <w:gridCol w:w="406"/>
        <w:gridCol w:w="500"/>
        <w:gridCol w:w="406"/>
        <w:gridCol w:w="973"/>
        <w:gridCol w:w="406"/>
        <w:gridCol w:w="500"/>
        <w:gridCol w:w="596"/>
        <w:gridCol w:w="672"/>
        <w:gridCol w:w="454"/>
        <w:gridCol w:w="436"/>
        <w:gridCol w:w="406"/>
        <w:gridCol w:w="406"/>
        <w:gridCol w:w="500"/>
        <w:gridCol w:w="501"/>
        <w:gridCol w:w="407"/>
      </w:tblGrid>
      <w:tr w14:paraId="4718A98F">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000000" w:fill="FFFFFF"/>
            <w:vAlign w:val="center"/>
          </w:tcPr>
          <w:p w14:paraId="52317D54">
            <w:pPr>
              <w:widowControl/>
              <w:jc w:val="center"/>
              <w:rPr>
                <w:rFonts w:ascii="宋体" w:hAnsi="宋体" w:cs="宋体"/>
                <w:b/>
                <w:bCs/>
                <w:color w:val="000000"/>
                <w:kern w:val="0"/>
                <w:sz w:val="32"/>
                <w:szCs w:val="32"/>
              </w:rPr>
            </w:pPr>
            <w:bookmarkStart w:id="0" w:name="RANGE!A1:T79"/>
          </w:p>
          <w:p w14:paraId="1FDAA17D">
            <w:pPr>
              <w:widowControl/>
              <w:jc w:val="center"/>
              <w:rPr>
                <w:rFonts w:ascii="宋体" w:hAnsi="宋体" w:cs="宋体"/>
                <w:b/>
                <w:bCs/>
                <w:color w:val="000000"/>
                <w:kern w:val="0"/>
                <w:sz w:val="32"/>
                <w:szCs w:val="32"/>
              </w:rPr>
            </w:pPr>
          </w:p>
          <w:p w14:paraId="67A08296">
            <w:pPr>
              <w:widowControl/>
              <w:jc w:val="center"/>
              <w:rPr>
                <w:rFonts w:ascii="宋体" w:hAnsi="宋体" w:cs="宋体"/>
                <w:b/>
                <w:bCs/>
                <w:color w:val="000000"/>
                <w:kern w:val="0"/>
                <w:sz w:val="32"/>
                <w:szCs w:val="32"/>
              </w:rPr>
            </w:pPr>
          </w:p>
          <w:p w14:paraId="302E7AE3">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（2021年度）</w:t>
            </w:r>
            <w:bookmarkEnd w:id="0"/>
          </w:p>
        </w:tc>
      </w:tr>
      <w:tr w14:paraId="2D3C7980">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26FB0EB6">
            <w:pPr>
              <w:widowControl/>
              <w:jc w:val="left"/>
              <w:rPr>
                <w:rFonts w:ascii="宋体" w:hAnsi="宋体" w:cs="宋体"/>
                <w:b/>
                <w:bCs/>
                <w:color w:val="000000"/>
                <w:kern w:val="0"/>
                <w:sz w:val="32"/>
                <w:szCs w:val="32"/>
              </w:rPr>
            </w:pPr>
          </w:p>
        </w:tc>
      </w:tr>
      <w:tr w14:paraId="66461621">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1F2DCA24">
            <w:pPr>
              <w:widowControl/>
              <w:jc w:val="left"/>
              <w:rPr>
                <w:rFonts w:ascii="宋体" w:hAnsi="宋体" w:cs="宋体"/>
                <w:b/>
                <w:bCs/>
                <w:color w:val="000000"/>
                <w:kern w:val="0"/>
                <w:sz w:val="32"/>
                <w:szCs w:val="32"/>
              </w:rPr>
            </w:pPr>
          </w:p>
        </w:tc>
      </w:tr>
      <w:tr w14:paraId="7C63506A">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3B695C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6256104A">
            <w:pPr>
              <w:widowControl/>
              <w:jc w:val="center"/>
              <w:rPr>
                <w:rFonts w:ascii="宋体" w:hAnsi="宋体" w:cs="宋体"/>
                <w:color w:val="000000"/>
                <w:kern w:val="0"/>
                <w:sz w:val="20"/>
                <w:szCs w:val="20"/>
              </w:rPr>
            </w:pPr>
            <w:r>
              <w:rPr>
                <w:rFonts w:hint="eastAsia" w:ascii="宋体" w:hAnsi="宋体" w:cs="宋体"/>
                <w:color w:val="000000"/>
                <w:kern w:val="0"/>
                <w:sz w:val="20"/>
                <w:szCs w:val="20"/>
              </w:rPr>
              <w:t>102011盘锦市人民政府办公室-211100000</w:t>
            </w:r>
          </w:p>
        </w:tc>
      </w:tr>
      <w:tr w14:paraId="44D6992D">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6AC559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7991EC37">
            <w:pPr>
              <w:widowControl/>
              <w:jc w:val="center"/>
              <w:rPr>
                <w:rFonts w:ascii="宋体" w:hAnsi="宋体" w:cs="宋体"/>
                <w:color w:val="000000"/>
                <w:kern w:val="0"/>
                <w:sz w:val="20"/>
                <w:szCs w:val="20"/>
              </w:rPr>
            </w:pPr>
            <w:r>
              <w:rPr>
                <w:rFonts w:hint="eastAsia" w:ascii="宋体" w:hAnsi="宋体" w:cs="宋体"/>
                <w:color w:val="000000"/>
                <w:kern w:val="0"/>
                <w:sz w:val="20"/>
                <w:szCs w:val="20"/>
              </w:rPr>
              <w:t>1599.67</w:t>
            </w:r>
          </w:p>
        </w:tc>
      </w:tr>
      <w:tr w14:paraId="011151FD">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2737D13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AA8435E">
            <w:pPr>
              <w:widowControl/>
              <w:jc w:val="center"/>
              <w:rPr>
                <w:rFonts w:ascii="宋体" w:hAnsi="宋体" w:cs="宋体"/>
                <w:color w:val="000000"/>
                <w:kern w:val="0"/>
                <w:sz w:val="20"/>
                <w:szCs w:val="20"/>
              </w:rPr>
            </w:pPr>
            <w:r>
              <w:rPr>
                <w:rFonts w:hint="eastAsia" w:ascii="宋体" w:hAnsi="宋体" w:cs="宋体"/>
                <w:color w:val="000000"/>
                <w:kern w:val="0"/>
                <w:sz w:val="20"/>
                <w:szCs w:val="20"/>
              </w:rPr>
              <w:t>1599.67</w:t>
            </w:r>
          </w:p>
        </w:tc>
      </w:tr>
      <w:tr w14:paraId="3467005D">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98CCB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051126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工作名称</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7DA404A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A157F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FC2482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B54851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nil"/>
              <w:left w:val="nil"/>
              <w:bottom w:val="single" w:color="auto" w:sz="4" w:space="0"/>
              <w:right w:val="single" w:color="auto" w:sz="4" w:space="0"/>
            </w:tcBorders>
            <w:shd w:val="clear" w:color="000000" w:fill="FFFFFF"/>
            <w:vAlign w:val="center"/>
          </w:tcPr>
          <w:p w14:paraId="0457C8F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nil"/>
              <w:left w:val="nil"/>
              <w:bottom w:val="single" w:color="auto" w:sz="4" w:space="0"/>
              <w:right w:val="single" w:color="auto" w:sz="4" w:space="0"/>
            </w:tcBorders>
            <w:shd w:val="clear" w:color="000000" w:fill="FFFFFF"/>
            <w:vAlign w:val="center"/>
          </w:tcPr>
          <w:p w14:paraId="4B21ADB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3BFFD8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完成情况</w:t>
            </w:r>
          </w:p>
        </w:tc>
      </w:tr>
      <w:tr w14:paraId="639FC1A4">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5EE5BDE">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23731C1E">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市纪委驻市政府办纪检组工作经费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5FBADEB5">
            <w:pPr>
              <w:widowControl/>
              <w:jc w:val="center"/>
              <w:rPr>
                <w:rFonts w:ascii="宋体" w:hAnsi="宋体" w:cs="宋体"/>
                <w:color w:val="000000"/>
                <w:kern w:val="0"/>
                <w:sz w:val="20"/>
                <w:szCs w:val="20"/>
              </w:rPr>
            </w:pPr>
            <w:r>
              <w:rPr>
                <w:rFonts w:hint="eastAsia" w:ascii="宋体" w:hAnsi="宋体" w:cs="宋体"/>
                <w:color w:val="000000"/>
                <w:kern w:val="0"/>
                <w:sz w:val="20"/>
                <w:szCs w:val="20"/>
              </w:rPr>
              <w:t>市纪委驻政府办纪检组经费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44A946F">
            <w:pPr>
              <w:widowControl/>
              <w:jc w:val="center"/>
              <w:rPr>
                <w:rFonts w:ascii="宋体" w:hAnsi="宋体" w:cs="宋体"/>
                <w:color w:val="000000"/>
                <w:kern w:val="0"/>
                <w:sz w:val="20"/>
                <w:szCs w:val="20"/>
              </w:rPr>
            </w:pPr>
            <w:r>
              <w:rPr>
                <w:rFonts w:hint="eastAsia" w:ascii="宋体" w:hAnsi="宋体" w:cs="宋体"/>
                <w:color w:val="000000"/>
                <w:kern w:val="0"/>
                <w:sz w:val="20"/>
                <w:szCs w:val="20"/>
              </w:rPr>
              <w:t>0.2554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8FBAFCB">
            <w:pPr>
              <w:widowControl/>
              <w:jc w:val="center"/>
              <w:rPr>
                <w:rFonts w:ascii="宋体" w:hAnsi="宋体" w:cs="宋体"/>
                <w:color w:val="000000"/>
                <w:kern w:val="0"/>
                <w:sz w:val="20"/>
                <w:szCs w:val="20"/>
              </w:rPr>
            </w:pPr>
            <w:r>
              <w:rPr>
                <w:rFonts w:hint="eastAsia" w:ascii="宋体" w:hAnsi="宋体" w:cs="宋体"/>
                <w:color w:val="000000"/>
                <w:kern w:val="0"/>
                <w:sz w:val="20"/>
                <w:szCs w:val="20"/>
              </w:rPr>
              <w:t>0.25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CC7BCF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5FD312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3307B00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0F071AE3">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15C1E71B">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16827AC">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3E44DA88">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市政府办各类文件资料印刷费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522CB531">
            <w:pPr>
              <w:widowControl/>
              <w:jc w:val="center"/>
              <w:rPr>
                <w:rFonts w:ascii="宋体" w:hAnsi="宋体" w:cs="宋体"/>
                <w:color w:val="000000"/>
                <w:kern w:val="0"/>
                <w:sz w:val="20"/>
                <w:szCs w:val="20"/>
              </w:rPr>
            </w:pPr>
            <w:r>
              <w:rPr>
                <w:rFonts w:hint="eastAsia" w:ascii="宋体" w:hAnsi="宋体" w:cs="宋体"/>
                <w:color w:val="000000"/>
                <w:kern w:val="0"/>
                <w:sz w:val="20"/>
                <w:szCs w:val="20"/>
              </w:rPr>
              <w:t>各类文件资料印刷费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3063C62">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F71F470">
            <w:pPr>
              <w:widowControl/>
              <w:jc w:val="center"/>
              <w:rPr>
                <w:rFonts w:ascii="宋体" w:hAnsi="宋体" w:cs="宋体"/>
                <w:color w:val="000000"/>
                <w:kern w:val="0"/>
                <w:sz w:val="20"/>
                <w:szCs w:val="20"/>
              </w:rPr>
            </w:pPr>
            <w:r>
              <w:rPr>
                <w:rFonts w:hint="eastAsia" w:ascii="宋体" w:hAnsi="宋体" w:cs="宋体"/>
                <w:color w:val="000000"/>
                <w:kern w:val="0"/>
                <w:sz w:val="20"/>
                <w:szCs w:val="20"/>
              </w:rPr>
              <w:t>60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D393FA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DC562F2">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7B61A430">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77B1762B">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35608ACF">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826869A">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677A963F">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市政府办学习考察调研费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35F33B7B">
            <w:pPr>
              <w:widowControl/>
              <w:jc w:val="center"/>
              <w:rPr>
                <w:rFonts w:ascii="宋体" w:hAnsi="宋体" w:cs="宋体"/>
                <w:color w:val="000000"/>
                <w:kern w:val="0"/>
                <w:sz w:val="20"/>
                <w:szCs w:val="20"/>
              </w:rPr>
            </w:pPr>
            <w:r>
              <w:rPr>
                <w:rFonts w:hint="eastAsia" w:ascii="宋体" w:hAnsi="宋体" w:cs="宋体"/>
                <w:color w:val="000000"/>
                <w:kern w:val="0"/>
                <w:sz w:val="20"/>
                <w:szCs w:val="20"/>
              </w:rPr>
              <w:t>学习考察调研费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063A351">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CA7500F">
            <w:pPr>
              <w:widowControl/>
              <w:jc w:val="center"/>
              <w:rPr>
                <w:rFonts w:ascii="宋体" w:hAnsi="宋体" w:cs="宋体"/>
                <w:color w:val="000000"/>
                <w:kern w:val="0"/>
                <w:sz w:val="20"/>
                <w:szCs w:val="20"/>
              </w:rPr>
            </w:pPr>
            <w:r>
              <w:rPr>
                <w:rFonts w:hint="eastAsia" w:ascii="宋体" w:hAnsi="宋体" w:cs="宋体"/>
                <w:color w:val="000000"/>
                <w:kern w:val="0"/>
                <w:sz w:val="20"/>
                <w:szCs w:val="20"/>
              </w:rPr>
              <w:t>6.5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CABCD5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F1BA887">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03182EB8">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372AB55">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19597A4F">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1E4AE7D9">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6B312988">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市政府办活动室维修（护）费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31C4BA84">
            <w:pPr>
              <w:widowControl/>
              <w:jc w:val="center"/>
              <w:rPr>
                <w:rFonts w:ascii="宋体" w:hAnsi="宋体" w:cs="宋体"/>
                <w:color w:val="000000"/>
                <w:kern w:val="0"/>
                <w:sz w:val="20"/>
                <w:szCs w:val="20"/>
              </w:rPr>
            </w:pPr>
            <w:r>
              <w:rPr>
                <w:rFonts w:hint="eastAsia" w:ascii="宋体" w:hAnsi="宋体" w:cs="宋体"/>
                <w:color w:val="000000"/>
                <w:kern w:val="0"/>
                <w:sz w:val="20"/>
                <w:szCs w:val="20"/>
              </w:rPr>
              <w:t>活动室维修（护）费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2E86782">
            <w:pPr>
              <w:widowControl/>
              <w:jc w:val="center"/>
              <w:rPr>
                <w:rFonts w:ascii="宋体" w:hAnsi="宋体" w:cs="宋体"/>
                <w:color w:val="000000"/>
                <w:kern w:val="0"/>
                <w:sz w:val="20"/>
                <w:szCs w:val="20"/>
              </w:rPr>
            </w:pPr>
            <w:r>
              <w:rPr>
                <w:rFonts w:hint="eastAsia" w:ascii="宋体" w:hAnsi="宋体" w:cs="宋体"/>
                <w:color w:val="000000"/>
                <w:kern w:val="0"/>
                <w:sz w:val="20"/>
                <w:szCs w:val="20"/>
              </w:rPr>
              <w:t>0.7641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4C0B477">
            <w:pPr>
              <w:widowControl/>
              <w:jc w:val="center"/>
              <w:rPr>
                <w:rFonts w:ascii="宋体" w:hAnsi="宋体" w:cs="宋体"/>
                <w:color w:val="000000"/>
                <w:kern w:val="0"/>
                <w:sz w:val="20"/>
                <w:szCs w:val="20"/>
              </w:rPr>
            </w:pPr>
            <w:r>
              <w:rPr>
                <w:rFonts w:hint="eastAsia" w:ascii="宋体" w:hAnsi="宋体" w:cs="宋体"/>
                <w:color w:val="000000"/>
                <w:kern w:val="0"/>
                <w:sz w:val="20"/>
                <w:szCs w:val="20"/>
              </w:rPr>
              <w:t>0.76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F0F662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EDFE7C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6A1E69F9">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57A2A019">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0DBEEE44">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1C4982F7">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716001A6">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市政府办会议费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05E7167C">
            <w:pPr>
              <w:widowControl/>
              <w:jc w:val="center"/>
              <w:rPr>
                <w:rFonts w:ascii="宋体" w:hAnsi="宋体" w:cs="宋体"/>
                <w:color w:val="000000"/>
                <w:kern w:val="0"/>
                <w:sz w:val="20"/>
                <w:szCs w:val="20"/>
              </w:rPr>
            </w:pPr>
            <w:r>
              <w:rPr>
                <w:rFonts w:hint="eastAsia" w:ascii="宋体" w:hAnsi="宋体" w:cs="宋体"/>
                <w:color w:val="000000"/>
                <w:kern w:val="0"/>
                <w:sz w:val="20"/>
                <w:szCs w:val="20"/>
              </w:rPr>
              <w:t>会议费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EEBA762">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0C4936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D3DBD5A">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14:paraId="44B3B52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188806E6">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020B86D5">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384BC41E">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66B5B12">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4C5FDD20">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市政府办培训费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388D2103">
            <w:pPr>
              <w:widowControl/>
              <w:jc w:val="center"/>
              <w:rPr>
                <w:rFonts w:ascii="宋体" w:hAnsi="宋体" w:cs="宋体"/>
                <w:color w:val="000000"/>
                <w:kern w:val="0"/>
                <w:sz w:val="20"/>
                <w:szCs w:val="20"/>
              </w:rPr>
            </w:pPr>
            <w:r>
              <w:rPr>
                <w:rFonts w:hint="eastAsia" w:ascii="宋体" w:hAnsi="宋体" w:cs="宋体"/>
                <w:color w:val="000000"/>
                <w:kern w:val="0"/>
                <w:sz w:val="20"/>
                <w:szCs w:val="20"/>
              </w:rPr>
              <w:t>培训费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3762F14">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035824B">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96281A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14:paraId="2A843466">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5BEEAF41">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42A71B91">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43875F45">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CD94F67">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68F7E866">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市政府办车辆租赁费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4C291EDA">
            <w:pPr>
              <w:widowControl/>
              <w:jc w:val="center"/>
              <w:rPr>
                <w:rFonts w:ascii="宋体" w:hAnsi="宋体" w:cs="宋体"/>
                <w:color w:val="000000"/>
                <w:kern w:val="0"/>
                <w:sz w:val="20"/>
                <w:szCs w:val="20"/>
              </w:rPr>
            </w:pPr>
            <w:r>
              <w:rPr>
                <w:rFonts w:hint="eastAsia" w:ascii="宋体" w:hAnsi="宋体" w:cs="宋体"/>
                <w:color w:val="000000"/>
                <w:kern w:val="0"/>
                <w:sz w:val="20"/>
                <w:szCs w:val="20"/>
              </w:rPr>
              <w:t>车辆租赁费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85735C0">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58EA80E">
            <w:pPr>
              <w:widowControl/>
              <w:jc w:val="center"/>
              <w:rPr>
                <w:rFonts w:ascii="宋体" w:hAnsi="宋体" w:cs="宋体"/>
                <w:color w:val="000000"/>
                <w:kern w:val="0"/>
                <w:sz w:val="20"/>
                <w:szCs w:val="20"/>
              </w:rPr>
            </w:pPr>
            <w:r>
              <w:rPr>
                <w:rFonts w:hint="eastAsia" w:ascii="宋体" w:hAnsi="宋体" w:cs="宋体"/>
                <w:color w:val="000000"/>
                <w:kern w:val="0"/>
                <w:sz w:val="20"/>
                <w:szCs w:val="20"/>
              </w:rPr>
              <w:t>2.03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0B5963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39322B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2C376E95">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7E074D89">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609386DB">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48D25F68">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4634D71C">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市政府办日常业务经费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6DDD67E7">
            <w:pPr>
              <w:widowControl/>
              <w:jc w:val="center"/>
              <w:rPr>
                <w:rFonts w:ascii="宋体" w:hAnsi="宋体" w:cs="宋体"/>
                <w:color w:val="000000"/>
                <w:kern w:val="0"/>
                <w:sz w:val="20"/>
                <w:szCs w:val="20"/>
              </w:rPr>
            </w:pPr>
            <w:r>
              <w:rPr>
                <w:rFonts w:hint="eastAsia" w:ascii="宋体" w:hAnsi="宋体" w:cs="宋体"/>
                <w:color w:val="000000"/>
                <w:kern w:val="0"/>
                <w:sz w:val="20"/>
                <w:szCs w:val="20"/>
              </w:rPr>
              <w:t>日常业务经费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8504060">
            <w:pPr>
              <w:widowControl/>
              <w:jc w:val="center"/>
              <w:rPr>
                <w:rFonts w:ascii="宋体" w:hAnsi="宋体" w:cs="宋体"/>
                <w:color w:val="000000"/>
                <w:kern w:val="0"/>
                <w:sz w:val="20"/>
                <w:szCs w:val="20"/>
              </w:rPr>
            </w:pPr>
            <w:r>
              <w:rPr>
                <w:rFonts w:hint="eastAsia" w:ascii="宋体" w:hAnsi="宋体" w:cs="宋体"/>
                <w:color w:val="000000"/>
                <w:kern w:val="0"/>
                <w:sz w:val="20"/>
                <w:szCs w:val="20"/>
              </w:rPr>
              <w:t>44.776184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A761942">
            <w:pPr>
              <w:widowControl/>
              <w:jc w:val="center"/>
              <w:rPr>
                <w:rFonts w:ascii="宋体" w:hAnsi="宋体" w:cs="宋体"/>
                <w:color w:val="000000"/>
                <w:kern w:val="0"/>
                <w:sz w:val="20"/>
                <w:szCs w:val="20"/>
              </w:rPr>
            </w:pPr>
            <w:r>
              <w:rPr>
                <w:rFonts w:hint="eastAsia" w:ascii="宋体" w:hAnsi="宋体" w:cs="宋体"/>
                <w:color w:val="000000"/>
                <w:kern w:val="0"/>
                <w:sz w:val="20"/>
                <w:szCs w:val="20"/>
              </w:rPr>
              <w:t>44.77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066CDD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577F3EC">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68D1CBEF">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62D87BE">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258052A2">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140F6E1B">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5681CB62">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市政府办网络通讯信函邮寄等经费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602D328">
            <w:pPr>
              <w:widowControl/>
              <w:jc w:val="center"/>
              <w:rPr>
                <w:rFonts w:ascii="宋体" w:hAnsi="宋体" w:cs="宋体"/>
                <w:color w:val="000000"/>
                <w:kern w:val="0"/>
                <w:sz w:val="20"/>
                <w:szCs w:val="20"/>
              </w:rPr>
            </w:pPr>
            <w:r>
              <w:rPr>
                <w:rFonts w:hint="eastAsia" w:ascii="宋体" w:hAnsi="宋体" w:cs="宋体"/>
                <w:color w:val="000000"/>
                <w:kern w:val="0"/>
                <w:sz w:val="20"/>
                <w:szCs w:val="20"/>
              </w:rPr>
              <w:t>网络通讯信函邮寄等经费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4B9DC16">
            <w:pPr>
              <w:widowControl/>
              <w:jc w:val="center"/>
              <w:rPr>
                <w:rFonts w:ascii="宋体" w:hAnsi="宋体" w:cs="宋体"/>
                <w:color w:val="000000"/>
                <w:kern w:val="0"/>
                <w:sz w:val="20"/>
                <w:szCs w:val="20"/>
              </w:rPr>
            </w:pPr>
            <w:r>
              <w:rPr>
                <w:rFonts w:hint="eastAsia" w:ascii="宋体" w:hAnsi="宋体" w:cs="宋体"/>
                <w:color w:val="000000"/>
                <w:kern w:val="0"/>
                <w:sz w:val="20"/>
                <w:szCs w:val="20"/>
              </w:rPr>
              <w:t>13.295526</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E97BC16">
            <w:pPr>
              <w:widowControl/>
              <w:jc w:val="center"/>
              <w:rPr>
                <w:rFonts w:ascii="宋体" w:hAnsi="宋体" w:cs="宋体"/>
                <w:color w:val="000000"/>
                <w:kern w:val="0"/>
                <w:sz w:val="20"/>
                <w:szCs w:val="20"/>
              </w:rPr>
            </w:pPr>
            <w:r>
              <w:rPr>
                <w:rFonts w:hint="eastAsia" w:ascii="宋体" w:hAnsi="宋体" w:cs="宋体"/>
                <w:color w:val="000000"/>
                <w:kern w:val="0"/>
                <w:sz w:val="20"/>
                <w:szCs w:val="20"/>
              </w:rPr>
              <w:t>13.29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F2B21FE">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AE1B30E">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30D71B31">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2C200A6">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0E0C80EC">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3116A6E">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114BE577">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市政府办公室、市政府研究室、市政府督查考核办公室工作经费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14CBAC62">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市政府办公室、市政府研究室、市政府督查考核办公室工作经费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92BE5C9">
            <w:pPr>
              <w:widowControl/>
              <w:jc w:val="center"/>
              <w:rPr>
                <w:rFonts w:ascii="宋体" w:hAnsi="宋体" w:cs="宋体"/>
                <w:color w:val="000000"/>
                <w:kern w:val="0"/>
                <w:sz w:val="20"/>
                <w:szCs w:val="20"/>
              </w:rPr>
            </w:pPr>
            <w:r>
              <w:rPr>
                <w:rFonts w:hint="eastAsia" w:ascii="宋体" w:hAnsi="宋体" w:cs="宋体"/>
                <w:color w:val="000000"/>
                <w:kern w:val="0"/>
                <w:sz w:val="20"/>
                <w:szCs w:val="20"/>
              </w:rPr>
              <w:t>20.352275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B8381E6">
            <w:pPr>
              <w:widowControl/>
              <w:jc w:val="center"/>
              <w:rPr>
                <w:rFonts w:ascii="宋体" w:hAnsi="宋体" w:cs="宋体"/>
                <w:color w:val="000000"/>
                <w:kern w:val="0"/>
                <w:sz w:val="20"/>
                <w:szCs w:val="20"/>
              </w:rPr>
            </w:pPr>
            <w:r>
              <w:rPr>
                <w:rFonts w:hint="eastAsia" w:ascii="宋体" w:hAnsi="宋体" w:cs="宋体"/>
                <w:color w:val="000000"/>
                <w:kern w:val="0"/>
                <w:sz w:val="20"/>
                <w:szCs w:val="20"/>
              </w:rPr>
              <w:t>20.35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ED5553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773AFE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240ECA4D">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3EB18300">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5DE36170">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0CBFCA3">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0C804E27">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市政府办人员工资</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0A7724C9">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人员类项目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A599BE0">
            <w:pPr>
              <w:widowControl/>
              <w:jc w:val="center"/>
              <w:rPr>
                <w:rFonts w:ascii="宋体" w:hAnsi="宋体" w:cs="宋体"/>
                <w:color w:val="000000"/>
                <w:kern w:val="0"/>
                <w:sz w:val="20"/>
                <w:szCs w:val="20"/>
              </w:rPr>
            </w:pPr>
            <w:r>
              <w:rPr>
                <w:rFonts w:hint="eastAsia" w:ascii="宋体" w:hAnsi="宋体" w:cs="宋体"/>
                <w:color w:val="000000"/>
                <w:kern w:val="0"/>
                <w:sz w:val="20"/>
                <w:szCs w:val="20"/>
              </w:rPr>
              <w:t>1770.541703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5DACA2D">
            <w:pPr>
              <w:widowControl/>
              <w:jc w:val="center"/>
              <w:rPr>
                <w:rFonts w:ascii="宋体" w:hAnsi="宋体" w:cs="宋体"/>
                <w:color w:val="000000"/>
                <w:kern w:val="0"/>
                <w:sz w:val="20"/>
                <w:szCs w:val="20"/>
              </w:rPr>
            </w:pPr>
            <w:r>
              <w:rPr>
                <w:rFonts w:hint="eastAsia" w:ascii="宋体" w:hAnsi="宋体" w:cs="宋体"/>
                <w:color w:val="000000"/>
                <w:kern w:val="0"/>
                <w:sz w:val="20"/>
                <w:szCs w:val="20"/>
              </w:rPr>
              <w:t>1770.54</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BC0068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89E1F7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nil"/>
              <w:left w:val="nil"/>
              <w:bottom w:val="single" w:color="auto" w:sz="4" w:space="0"/>
              <w:right w:val="single" w:color="auto" w:sz="4" w:space="0"/>
            </w:tcBorders>
            <w:shd w:val="clear" w:color="000000" w:fill="FFFFFF"/>
            <w:vAlign w:val="center"/>
          </w:tcPr>
          <w:p w14:paraId="4417BD84">
            <w:pPr>
              <w:widowControl/>
              <w:jc w:val="center"/>
              <w:rPr>
                <w:rFonts w:ascii="宋体" w:hAnsi="宋体" w:cs="宋体"/>
                <w:color w:val="000000"/>
                <w:kern w:val="0"/>
                <w:sz w:val="20"/>
                <w:szCs w:val="20"/>
              </w:rPr>
            </w:pPr>
            <w:r>
              <w:rPr>
                <w:rFonts w:hint="eastAsia" w:ascii="宋体" w:hAnsi="宋体" w:cs="宋体"/>
                <w:color w:val="000000"/>
                <w:kern w:val="0"/>
                <w:sz w:val="20"/>
                <w:szCs w:val="20"/>
              </w:rPr>
              <w:t>3.3</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4C94294A">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581714F4">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2C93FE3">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1B2A2ADA">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市政府办人员公务经费和车辆等费用</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307DFEF4">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0CD966D">
            <w:pPr>
              <w:widowControl/>
              <w:jc w:val="center"/>
              <w:rPr>
                <w:rFonts w:ascii="宋体" w:hAnsi="宋体" w:cs="宋体"/>
                <w:color w:val="000000"/>
                <w:kern w:val="0"/>
                <w:sz w:val="20"/>
                <w:szCs w:val="20"/>
              </w:rPr>
            </w:pPr>
            <w:r>
              <w:rPr>
                <w:rFonts w:hint="eastAsia" w:ascii="宋体" w:hAnsi="宋体" w:cs="宋体"/>
                <w:color w:val="000000"/>
                <w:kern w:val="0"/>
                <w:sz w:val="20"/>
                <w:szCs w:val="20"/>
              </w:rPr>
              <w:t>162.174172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0BB8E4A5">
            <w:pPr>
              <w:widowControl/>
              <w:jc w:val="center"/>
              <w:rPr>
                <w:rFonts w:ascii="宋体" w:hAnsi="宋体" w:cs="宋体"/>
                <w:color w:val="000000"/>
                <w:kern w:val="0"/>
                <w:sz w:val="20"/>
                <w:szCs w:val="20"/>
              </w:rPr>
            </w:pPr>
            <w:r>
              <w:rPr>
                <w:rFonts w:hint="eastAsia" w:ascii="宋体" w:hAnsi="宋体" w:cs="宋体"/>
                <w:color w:val="000000"/>
                <w:kern w:val="0"/>
                <w:sz w:val="20"/>
                <w:szCs w:val="20"/>
              </w:rPr>
              <w:t>162.17</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3279CB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C4D3FB4">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0" w:type="auto"/>
            <w:tcBorders>
              <w:top w:val="nil"/>
              <w:left w:val="nil"/>
              <w:bottom w:val="single" w:color="auto" w:sz="4" w:space="0"/>
              <w:right w:val="single" w:color="auto" w:sz="4" w:space="0"/>
            </w:tcBorders>
            <w:shd w:val="clear" w:color="000000" w:fill="FFFFFF"/>
            <w:vAlign w:val="center"/>
          </w:tcPr>
          <w:p w14:paraId="539901F9">
            <w:pPr>
              <w:widowControl/>
              <w:jc w:val="center"/>
              <w:rPr>
                <w:rFonts w:ascii="宋体" w:hAnsi="宋体" w:cs="宋体"/>
                <w:color w:val="000000"/>
                <w:kern w:val="0"/>
                <w:sz w:val="20"/>
                <w:szCs w:val="20"/>
              </w:rPr>
            </w:pPr>
            <w:r>
              <w:rPr>
                <w:rFonts w:hint="eastAsia" w:ascii="宋体" w:hAnsi="宋体" w:cs="宋体"/>
                <w:color w:val="000000"/>
                <w:kern w:val="0"/>
                <w:sz w:val="20"/>
                <w:szCs w:val="20"/>
              </w:rPr>
              <w:t>3.7</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D9F72B7">
            <w:pPr>
              <w:widowControl/>
              <w:jc w:val="center"/>
              <w:rPr>
                <w:rFonts w:ascii="宋体" w:hAnsi="宋体" w:cs="宋体"/>
                <w:color w:val="000000"/>
                <w:kern w:val="0"/>
                <w:sz w:val="20"/>
                <w:szCs w:val="20"/>
              </w:rPr>
            </w:pPr>
            <w:r>
              <w:rPr>
                <w:rFonts w:hint="eastAsia" w:ascii="宋体" w:hAnsi="宋体" w:cs="宋体"/>
                <w:color w:val="000000"/>
                <w:kern w:val="0"/>
                <w:sz w:val="20"/>
                <w:szCs w:val="20"/>
              </w:rPr>
              <w:t>已完成</w:t>
            </w:r>
          </w:p>
        </w:tc>
      </w:tr>
      <w:tr w14:paraId="665E1168">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3788A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26C92D5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4FDBA8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558EBEA6">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CD32D6B">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3DB31C89">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市政府文件印刷等顺利开展.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市政府办调研会议等顺利开展。</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E888CD5">
            <w:pPr>
              <w:widowControl/>
              <w:jc w:val="center"/>
              <w:rPr>
                <w:rFonts w:ascii="宋体" w:hAnsi="宋体" w:cs="宋体"/>
                <w:color w:val="000000"/>
                <w:kern w:val="0"/>
                <w:sz w:val="20"/>
                <w:szCs w:val="20"/>
              </w:rPr>
            </w:pPr>
            <w:r>
              <w:rPr>
                <w:rFonts w:hint="eastAsia" w:ascii="宋体" w:hAnsi="宋体" w:cs="宋体"/>
                <w:color w:val="000000"/>
                <w:kern w:val="0"/>
                <w:sz w:val="20"/>
                <w:szCs w:val="20"/>
              </w:rPr>
              <w:t>市政府文件印刷等顺利开展.</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市政府办调研会议等顺利开展。</w:t>
            </w:r>
          </w:p>
        </w:tc>
      </w:tr>
      <w:tr w14:paraId="6715AC3C">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14:paraId="591D86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4F9599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4F85B3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C251BB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51D8FC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7293DC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DA888D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3B0B3F3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65E482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09FD4CF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033B93E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14:paraId="208A2F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5D72F12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7AAB3580">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6C34A16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677AE2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32E17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8B7A5F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3ED1FB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79D6D4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4EAFDF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2E65043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589792F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70917EF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7B9475E8">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462846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14:paraId="4CFA3DF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14:paraId="6CBCD83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14:paraId="2125C8A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14:paraId="21817B0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nil"/>
              <w:left w:val="nil"/>
              <w:bottom w:val="single" w:color="auto" w:sz="4" w:space="0"/>
              <w:right w:val="single" w:color="auto" w:sz="4" w:space="0"/>
            </w:tcBorders>
            <w:vAlign w:val="center"/>
          </w:tcPr>
          <w:p w14:paraId="7BBAACB6">
            <w:pPr>
              <w:widowControl/>
              <w:jc w:val="left"/>
              <w:rPr>
                <w:rFonts w:ascii="宋体" w:hAnsi="宋体" w:cs="宋体"/>
                <w:b/>
                <w:bCs/>
                <w:color w:val="000000"/>
                <w:kern w:val="0"/>
                <w:sz w:val="20"/>
                <w:szCs w:val="20"/>
              </w:rPr>
            </w:pPr>
          </w:p>
        </w:tc>
      </w:tr>
      <w:tr w14:paraId="230E4CB5">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2F65525F">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F26741B">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14:paraId="45A9590A">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14:paraId="436A16E4">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14:paraId="064E8114">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79C9FB00">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7C86D428">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384544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1CD6C8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24D311D">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14:paraId="1F3671AF">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14:paraId="24ACD9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8360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20438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F47F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E264D7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8C875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26B867A">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119D47D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E0ED775">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B9D4BFB">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14:paraId="2A629578">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14:paraId="6C4B25F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0FBF5AA">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5DE2646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B009920">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7D6DC9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8270851">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43BD3A1C">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7677B6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2412B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BDDB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8BE63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9A7662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937B8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AAF990">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55DDF6A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6AF0440">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BB552A2">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14:paraId="1D45F608">
            <w:pPr>
              <w:widowControl/>
              <w:jc w:val="center"/>
              <w:rPr>
                <w:rFonts w:ascii="宋体" w:hAnsi="宋体" w:cs="宋体"/>
                <w:color w:val="000000"/>
                <w:kern w:val="0"/>
                <w:sz w:val="20"/>
                <w:szCs w:val="20"/>
              </w:rPr>
            </w:pPr>
            <w:r>
              <w:rPr>
                <w:rFonts w:hint="eastAsia" w:ascii="宋体" w:hAnsi="宋体" w:cs="宋体"/>
                <w:color w:val="000000"/>
                <w:kern w:val="0"/>
                <w:sz w:val="20"/>
                <w:szCs w:val="20"/>
              </w:rPr>
              <w:t>依法行政能力</w:t>
            </w:r>
          </w:p>
        </w:tc>
        <w:tc>
          <w:tcPr>
            <w:tcW w:w="0" w:type="auto"/>
            <w:tcBorders>
              <w:top w:val="nil"/>
              <w:left w:val="nil"/>
              <w:bottom w:val="single" w:color="auto" w:sz="4" w:space="0"/>
              <w:right w:val="single" w:color="auto" w:sz="4" w:space="0"/>
            </w:tcBorders>
            <w:shd w:val="clear" w:color="000000" w:fill="FFFFFF"/>
            <w:vAlign w:val="center"/>
          </w:tcPr>
          <w:p w14:paraId="6A7CF4B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C51C20">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3C5E626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B58C9F0">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3981E9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5ADD69A">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3C991B6C">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2D7041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F5A9D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4D876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44BB3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00AF31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01485CA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0C349A6">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14:paraId="1CAA6174">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4A4599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tcBorders>
              <w:top w:val="nil"/>
              <w:left w:val="nil"/>
              <w:bottom w:val="single" w:color="auto" w:sz="4" w:space="0"/>
              <w:right w:val="single" w:color="auto" w:sz="4" w:space="0"/>
            </w:tcBorders>
            <w:shd w:val="clear" w:color="000000" w:fill="FFFFFF"/>
            <w:vAlign w:val="center"/>
          </w:tcPr>
          <w:p w14:paraId="38FDBF1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14:paraId="49C4F222">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0" w:type="auto"/>
            <w:tcBorders>
              <w:top w:val="nil"/>
              <w:left w:val="nil"/>
              <w:bottom w:val="single" w:color="auto" w:sz="4" w:space="0"/>
              <w:right w:val="single" w:color="auto" w:sz="4" w:space="0"/>
            </w:tcBorders>
            <w:shd w:val="clear" w:color="000000" w:fill="FFFFFF"/>
            <w:vAlign w:val="center"/>
          </w:tcPr>
          <w:p w14:paraId="117962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29FE652">
            <w:pPr>
              <w:widowControl/>
              <w:jc w:val="center"/>
              <w:rPr>
                <w:rFonts w:ascii="宋体" w:hAnsi="宋体" w:cs="宋体"/>
                <w:color w:val="000000"/>
                <w:kern w:val="0"/>
                <w:sz w:val="20"/>
                <w:szCs w:val="20"/>
              </w:rPr>
            </w:pPr>
            <w:r>
              <w:rPr>
                <w:rFonts w:hint="eastAsia" w:ascii="宋体" w:hAnsi="宋体" w:cs="宋体"/>
                <w:color w:val="000000"/>
                <w:kern w:val="0"/>
                <w:sz w:val="20"/>
                <w:szCs w:val="20"/>
              </w:rPr>
              <w:t>97</w:t>
            </w:r>
          </w:p>
        </w:tc>
        <w:tc>
          <w:tcPr>
            <w:tcW w:w="0" w:type="auto"/>
            <w:tcBorders>
              <w:top w:val="nil"/>
              <w:left w:val="nil"/>
              <w:bottom w:val="single" w:color="auto" w:sz="4" w:space="0"/>
              <w:right w:val="single" w:color="auto" w:sz="4" w:space="0"/>
            </w:tcBorders>
            <w:shd w:val="clear" w:color="000000" w:fill="FFFFFF"/>
            <w:vAlign w:val="center"/>
          </w:tcPr>
          <w:p w14:paraId="5E5034D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60F7B0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C28675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9F06C2D">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F41205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5C33831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E419B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938F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8C105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E3B88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831FF8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5A18F5">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14:paraId="1267F905">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2724F37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14:paraId="006752E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14:paraId="3003F2F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14:paraId="17B9DCA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3C943819">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1AB4458B">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ED75466">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3C23ED2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E78B7C5">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107DE9C4">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3CA8C4C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A41F8A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C0B8A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73E40C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119A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CF658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572C7C6">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05D7A6E5">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BA56AE7">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C9DFCB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14:paraId="115A713C">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14:paraId="634ECFD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07D944">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14:paraId="0CCD825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715472">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2A1056D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E7857CC">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70F779F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2183093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D279B5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8CB18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254186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E8282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AACD4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C2304AA">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0C7034A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450F6A4">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CAAFF5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14:paraId="530F006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14:paraId="60DAAD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727707">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61FF72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78B56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734751AB">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CBF7CE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09B7E26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4382523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6C1D3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AA81B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67DA6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3B995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39C63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866C27C">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296A9DA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CAC6C74">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7A1F5D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C2EB003">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0" w:type="auto"/>
            <w:tcBorders>
              <w:top w:val="nil"/>
              <w:left w:val="nil"/>
              <w:bottom w:val="single" w:color="auto" w:sz="4" w:space="0"/>
              <w:right w:val="single" w:color="auto" w:sz="4" w:space="0"/>
            </w:tcBorders>
            <w:shd w:val="clear" w:color="000000" w:fill="FFFFFF"/>
            <w:vAlign w:val="center"/>
          </w:tcPr>
          <w:p w14:paraId="45DD455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3545AC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25A8AFA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862DAA7">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6D4D0076">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BA6BD5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480590CB">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07DCB9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9B68B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1F1B5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FE830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2106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DAC55C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173225">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16B9FD62">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12B7EBF">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91F0F3A">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14:paraId="3F2569CB">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14:paraId="596BA78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E92667">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14:paraId="178CE6A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9BF71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480746B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F81D90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5678C5F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1CE344E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1847C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1025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7901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CB00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012D5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1DBF5D9">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6149179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AD27B91">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899C444">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14:paraId="0395A8CC">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14:paraId="356478C3">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35A181A">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7125E50">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4D5B8EBF">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F5EF81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2E9E8D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0696D2E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613048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B4FEE3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B47704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30324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D421E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53844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C2DB877">
        <w:tblPrEx>
          <w:tblCellMar>
            <w:top w:w="0" w:type="dxa"/>
            <w:left w:w="108" w:type="dxa"/>
            <w:bottom w:w="0" w:type="dxa"/>
            <w:right w:w="108" w:type="dxa"/>
          </w:tblCellMar>
        </w:tblPrEx>
        <w:trPr>
          <w:trHeight w:val="1920" w:hRule="atLeast"/>
        </w:trPr>
        <w:tc>
          <w:tcPr>
            <w:tcW w:w="0" w:type="auto"/>
            <w:vMerge w:val="continue"/>
            <w:tcBorders>
              <w:top w:val="nil"/>
              <w:left w:val="single" w:color="auto" w:sz="4" w:space="0"/>
              <w:bottom w:val="nil"/>
              <w:right w:val="single" w:color="auto" w:sz="4" w:space="0"/>
            </w:tcBorders>
            <w:vAlign w:val="center"/>
          </w:tcPr>
          <w:p w14:paraId="0FDA2C4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4F25A2">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E52428D">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14:paraId="261E3838">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14:paraId="00A628E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B2EC11F">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5DAE8F35">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6EA6C3C4">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2A530D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88FF283">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40DE0577">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07ED6BF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6043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0D8B8C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A538F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C7DC2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86CB55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D9DBDD5">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2A9EA652">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FA07192">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tcBorders>
              <w:top w:val="nil"/>
              <w:left w:val="nil"/>
              <w:bottom w:val="single" w:color="auto" w:sz="4" w:space="0"/>
              <w:right w:val="single" w:color="auto" w:sz="4" w:space="0"/>
            </w:tcBorders>
            <w:shd w:val="clear" w:color="000000" w:fill="FFFFFF"/>
            <w:vAlign w:val="center"/>
          </w:tcPr>
          <w:p w14:paraId="58CD9FFA">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14:paraId="4095295B">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14:paraId="35CE4A03">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14:paraId="2B944BA9">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3F5CC5E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5321003">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2DBBC00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B333A1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21B4DBEC">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6F0C03A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97C7C1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B2229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F4845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6708E9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9B363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250CE6D">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5F7B85DC">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5219B1D">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14:paraId="08CE3CD2">
            <w:pPr>
              <w:widowControl/>
              <w:jc w:val="center"/>
              <w:rPr>
                <w:rFonts w:ascii="宋体" w:hAnsi="宋体" w:cs="宋体"/>
                <w:color w:val="000000"/>
                <w:kern w:val="0"/>
                <w:sz w:val="20"/>
                <w:szCs w:val="20"/>
              </w:rPr>
            </w:pPr>
            <w:r>
              <w:rPr>
                <w:rFonts w:hint="eastAsia" w:ascii="宋体" w:hAnsi="宋体" w:cs="宋体"/>
                <w:color w:val="000000"/>
                <w:kern w:val="0"/>
                <w:sz w:val="20"/>
                <w:szCs w:val="20"/>
              </w:rPr>
              <w:t>经济效益</w:t>
            </w:r>
          </w:p>
        </w:tc>
        <w:tc>
          <w:tcPr>
            <w:tcW w:w="0" w:type="auto"/>
            <w:tcBorders>
              <w:top w:val="nil"/>
              <w:left w:val="nil"/>
              <w:bottom w:val="single" w:color="auto" w:sz="4" w:space="0"/>
              <w:right w:val="single" w:color="auto" w:sz="4" w:space="0"/>
            </w:tcBorders>
            <w:shd w:val="clear" w:color="000000" w:fill="FFFFFF"/>
            <w:vAlign w:val="center"/>
          </w:tcPr>
          <w:p w14:paraId="31EB399B">
            <w:pPr>
              <w:widowControl/>
              <w:jc w:val="center"/>
              <w:rPr>
                <w:rFonts w:ascii="宋体" w:hAnsi="宋体" w:cs="宋体"/>
                <w:color w:val="000000"/>
                <w:kern w:val="0"/>
                <w:sz w:val="20"/>
                <w:szCs w:val="20"/>
              </w:rPr>
            </w:pPr>
            <w:r>
              <w:rPr>
                <w:rFonts w:hint="eastAsia" w:ascii="宋体" w:hAnsi="宋体" w:cs="宋体"/>
                <w:color w:val="000000"/>
                <w:kern w:val="0"/>
                <w:sz w:val="20"/>
                <w:szCs w:val="20"/>
              </w:rPr>
              <w:t>完工验收通过率</w:t>
            </w:r>
          </w:p>
        </w:tc>
        <w:tc>
          <w:tcPr>
            <w:tcW w:w="0" w:type="auto"/>
            <w:tcBorders>
              <w:top w:val="nil"/>
              <w:left w:val="nil"/>
              <w:bottom w:val="single" w:color="auto" w:sz="4" w:space="0"/>
              <w:right w:val="single" w:color="auto" w:sz="4" w:space="0"/>
            </w:tcBorders>
            <w:shd w:val="clear" w:color="000000" w:fill="FFFFFF"/>
            <w:vAlign w:val="center"/>
          </w:tcPr>
          <w:p w14:paraId="350BD1CA">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E103109">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tcBorders>
              <w:top w:val="nil"/>
              <w:left w:val="nil"/>
              <w:bottom w:val="single" w:color="auto" w:sz="4" w:space="0"/>
              <w:right w:val="single" w:color="auto" w:sz="4" w:space="0"/>
            </w:tcBorders>
            <w:shd w:val="clear" w:color="000000" w:fill="FFFFFF"/>
            <w:vAlign w:val="center"/>
          </w:tcPr>
          <w:p w14:paraId="6D15C311">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A6378B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68B6D6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3A4E24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74EDFA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E6626D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DA05F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35211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6B26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1A82BE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A9C88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71445A">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7F4FAEC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7CADB0E">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358BDCF">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14:paraId="7128FF46">
            <w:pPr>
              <w:widowControl/>
              <w:jc w:val="center"/>
              <w:rPr>
                <w:rFonts w:ascii="宋体" w:hAnsi="宋体" w:cs="宋体"/>
                <w:color w:val="000000"/>
                <w:kern w:val="0"/>
                <w:sz w:val="20"/>
                <w:szCs w:val="20"/>
              </w:rPr>
            </w:pPr>
            <w:r>
              <w:rPr>
                <w:rFonts w:hint="eastAsia" w:ascii="宋体" w:hAnsi="宋体" w:cs="宋体"/>
                <w:color w:val="000000"/>
                <w:kern w:val="0"/>
                <w:sz w:val="20"/>
                <w:szCs w:val="20"/>
              </w:rPr>
              <w:t>客户满意度</w:t>
            </w:r>
          </w:p>
        </w:tc>
        <w:tc>
          <w:tcPr>
            <w:tcW w:w="0" w:type="auto"/>
            <w:tcBorders>
              <w:top w:val="nil"/>
              <w:left w:val="nil"/>
              <w:bottom w:val="single" w:color="auto" w:sz="4" w:space="0"/>
              <w:right w:val="single" w:color="auto" w:sz="4" w:space="0"/>
            </w:tcBorders>
            <w:shd w:val="clear" w:color="000000" w:fill="FFFFFF"/>
            <w:vAlign w:val="center"/>
          </w:tcPr>
          <w:p w14:paraId="6A17D929">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33E28EB2">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0" w:type="auto"/>
            <w:tcBorders>
              <w:top w:val="nil"/>
              <w:left w:val="nil"/>
              <w:bottom w:val="single" w:color="auto" w:sz="4" w:space="0"/>
              <w:right w:val="single" w:color="auto" w:sz="4" w:space="0"/>
            </w:tcBorders>
            <w:shd w:val="clear" w:color="000000" w:fill="FFFFFF"/>
            <w:vAlign w:val="center"/>
          </w:tcPr>
          <w:p w14:paraId="5DC30D9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31E7B1E">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9E69F4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70438CC">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63A1A75">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21AFEB8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3A1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ECEF0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9EF512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E46032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8197F3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B088B3">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5705DCEB">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1E695F5">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14:paraId="28E38262">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14:paraId="3C43961E">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建立预算绩效管理机制</w:t>
            </w:r>
          </w:p>
        </w:tc>
        <w:tc>
          <w:tcPr>
            <w:tcW w:w="0" w:type="auto"/>
            <w:tcBorders>
              <w:top w:val="nil"/>
              <w:left w:val="nil"/>
              <w:bottom w:val="single" w:color="auto" w:sz="4" w:space="0"/>
              <w:right w:val="single" w:color="auto" w:sz="4" w:space="0"/>
            </w:tcBorders>
            <w:shd w:val="clear" w:color="000000" w:fill="FFFFFF"/>
            <w:vAlign w:val="center"/>
          </w:tcPr>
          <w:p w14:paraId="485D14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104C8C">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14:paraId="4896F19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347FCA2">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579762E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6269C9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6CA90725">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293260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DA1962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523B5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349C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0572D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FD1941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34A5A0">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bottom"/>
          </w:tcPr>
          <w:p w14:paraId="0AA6D639">
            <w:pPr>
              <w:widowControl/>
              <w:jc w:val="center"/>
              <w:rPr>
                <w:rFonts w:ascii="宋体" w:hAnsi="宋体" w:cs="宋体"/>
                <w:color w:val="000000"/>
                <w:kern w:val="0"/>
                <w:sz w:val="22"/>
                <w:szCs w:val="22"/>
              </w:rPr>
            </w:pPr>
            <w:r>
              <w:rPr>
                <w:rFonts w:hint="eastAsia" w:ascii="宋体" w:hAnsi="宋体" w:cs="宋体"/>
                <w:color w:val="000000"/>
                <w:kern w:val="0"/>
                <w:sz w:val="22"/>
                <w:szCs w:val="22"/>
              </w:rPr>
              <w:t>总评价得分</w:t>
            </w:r>
          </w:p>
        </w:tc>
        <w:tc>
          <w:tcPr>
            <w:tcW w:w="0" w:type="auto"/>
            <w:gridSpan w:val="8"/>
            <w:tcBorders>
              <w:top w:val="single" w:color="auto" w:sz="4" w:space="0"/>
              <w:left w:val="nil"/>
              <w:bottom w:val="single" w:color="auto" w:sz="4" w:space="0"/>
              <w:right w:val="single" w:color="000000" w:sz="4" w:space="0"/>
            </w:tcBorders>
            <w:shd w:val="clear" w:color="auto" w:fill="auto"/>
            <w:noWrap/>
            <w:vAlign w:val="bottom"/>
          </w:tcPr>
          <w:p w14:paraId="13FBBC63">
            <w:pPr>
              <w:widowControl/>
              <w:jc w:val="center"/>
              <w:rPr>
                <w:rFonts w:ascii="宋体" w:hAnsi="宋体" w:cs="宋体"/>
                <w:color w:val="000000"/>
                <w:kern w:val="0"/>
                <w:sz w:val="22"/>
                <w:szCs w:val="22"/>
              </w:rPr>
            </w:pPr>
            <w:r>
              <w:rPr>
                <w:rFonts w:hint="eastAsia" w:ascii="宋体" w:hAnsi="宋体" w:cs="宋体"/>
                <w:color w:val="000000"/>
                <w:kern w:val="0"/>
                <w:sz w:val="22"/>
                <w:szCs w:val="22"/>
              </w:rPr>
              <w:t>93.4</w:t>
            </w:r>
          </w:p>
        </w:tc>
      </w:tr>
      <w:tr w14:paraId="2DE2D742">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692B25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00394B3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D461B7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58EA890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3089AD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34A2F4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建议进一步规范预算管理</w:t>
            </w:r>
          </w:p>
        </w:tc>
        <w:tc>
          <w:tcPr>
            <w:tcW w:w="0" w:type="auto"/>
            <w:tcBorders>
              <w:top w:val="nil"/>
              <w:left w:val="nil"/>
              <w:bottom w:val="single" w:color="auto" w:sz="4" w:space="0"/>
              <w:right w:val="single" w:color="auto" w:sz="4" w:space="0"/>
            </w:tcBorders>
            <w:shd w:val="clear" w:color="000000" w:fill="FFFFFF"/>
            <w:vAlign w:val="center"/>
          </w:tcPr>
          <w:p w14:paraId="07ECF9A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29E9AA36">
            <w:pPr>
              <w:widowControl/>
              <w:jc w:val="center"/>
              <w:rPr>
                <w:rFonts w:ascii="宋体" w:hAnsi="宋体" w:cs="宋体"/>
                <w:color w:val="000000"/>
                <w:kern w:val="0"/>
                <w:sz w:val="20"/>
                <w:szCs w:val="20"/>
              </w:rPr>
            </w:pPr>
            <w:r>
              <w:rPr>
                <w:rFonts w:hint="eastAsia" w:ascii="宋体" w:hAnsi="宋体" w:cs="宋体"/>
                <w:color w:val="000000"/>
                <w:kern w:val="0"/>
                <w:sz w:val="20"/>
                <w:szCs w:val="20"/>
              </w:rPr>
              <w:t>增强法</w:t>
            </w:r>
            <w:r>
              <w:rPr>
                <w:rFonts w:hint="eastAsia" w:ascii="宋体" w:hAnsi="宋体" w:cs="宋体"/>
                <w:color w:val="000000"/>
                <w:kern w:val="0"/>
                <w:sz w:val="20"/>
                <w:szCs w:val="20"/>
                <w:lang w:val="en-US" w:eastAsia="zh-CN"/>
              </w:rPr>
              <w:t>治</w:t>
            </w:r>
            <w:bookmarkStart w:id="2" w:name="_GoBack"/>
            <w:bookmarkEnd w:id="2"/>
            <w:r>
              <w:rPr>
                <w:rFonts w:hint="eastAsia" w:ascii="宋体" w:hAnsi="宋体" w:cs="宋体"/>
                <w:color w:val="000000"/>
                <w:kern w:val="0"/>
                <w:sz w:val="20"/>
                <w:szCs w:val="20"/>
              </w:rPr>
              <w:t>意识，强化预算执行的严肃性；加强用款计划管理；规范专项转移支付资金的预算执行管理。</w:t>
            </w:r>
          </w:p>
        </w:tc>
      </w:tr>
      <w:tr w14:paraId="212345F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C1CBBB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EE2335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建议改进业务管理</w:t>
            </w:r>
          </w:p>
        </w:tc>
        <w:tc>
          <w:tcPr>
            <w:tcW w:w="0" w:type="auto"/>
            <w:tcBorders>
              <w:top w:val="nil"/>
              <w:left w:val="nil"/>
              <w:bottom w:val="single" w:color="auto" w:sz="4" w:space="0"/>
              <w:right w:val="single" w:color="auto" w:sz="4" w:space="0"/>
            </w:tcBorders>
            <w:shd w:val="clear" w:color="000000" w:fill="FFFFFF"/>
            <w:vAlign w:val="center"/>
          </w:tcPr>
          <w:p w14:paraId="1C5274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008357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3E7D4F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D874AC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3ABAB3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建议改进预算编制管理</w:t>
            </w:r>
          </w:p>
        </w:tc>
        <w:tc>
          <w:tcPr>
            <w:tcW w:w="0" w:type="auto"/>
            <w:tcBorders>
              <w:top w:val="nil"/>
              <w:left w:val="nil"/>
              <w:bottom w:val="single" w:color="auto" w:sz="4" w:space="0"/>
              <w:right w:val="single" w:color="auto" w:sz="4" w:space="0"/>
            </w:tcBorders>
            <w:shd w:val="clear" w:color="000000" w:fill="FFFFFF"/>
            <w:vAlign w:val="center"/>
          </w:tcPr>
          <w:p w14:paraId="7EC66A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4D0DA2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A97000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D95687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4876FD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17F5B8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59C81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B382CD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48A6C1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F4930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建议改进资产管理</w:t>
            </w:r>
          </w:p>
        </w:tc>
        <w:tc>
          <w:tcPr>
            <w:tcW w:w="0" w:type="auto"/>
            <w:tcBorders>
              <w:top w:val="nil"/>
              <w:left w:val="nil"/>
              <w:bottom w:val="single" w:color="auto" w:sz="4" w:space="0"/>
              <w:right w:val="single" w:color="auto" w:sz="4" w:space="0"/>
            </w:tcBorders>
            <w:shd w:val="clear" w:color="000000" w:fill="FFFFFF"/>
            <w:vAlign w:val="center"/>
          </w:tcPr>
          <w:p w14:paraId="2C9754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53D44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73CACB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5C4341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652DC7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建议改进政府采购管理</w:t>
            </w:r>
          </w:p>
        </w:tc>
        <w:tc>
          <w:tcPr>
            <w:tcW w:w="0" w:type="auto"/>
            <w:tcBorders>
              <w:top w:val="nil"/>
              <w:left w:val="nil"/>
              <w:bottom w:val="single" w:color="auto" w:sz="4" w:space="0"/>
              <w:right w:val="single" w:color="auto" w:sz="4" w:space="0"/>
            </w:tcBorders>
            <w:shd w:val="clear" w:color="000000" w:fill="FFFFFF"/>
            <w:vAlign w:val="center"/>
          </w:tcPr>
          <w:p w14:paraId="7CEC02E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A1277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6F11D1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4FC9EB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F0E727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61F71DE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AA8061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5A9263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E399D4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F1FEDE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nil"/>
              <w:left w:val="nil"/>
              <w:bottom w:val="single" w:color="auto" w:sz="4" w:space="0"/>
              <w:right w:val="single" w:color="auto" w:sz="4" w:space="0"/>
            </w:tcBorders>
            <w:shd w:val="clear" w:color="000000" w:fill="FFFFFF"/>
            <w:vAlign w:val="center"/>
          </w:tcPr>
          <w:p w14:paraId="3FCC4FD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17957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0CC623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5E7C7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5C6E61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建议消减低效、无效资金或结构调整</w:t>
            </w:r>
          </w:p>
        </w:tc>
        <w:tc>
          <w:tcPr>
            <w:tcW w:w="0" w:type="auto"/>
            <w:tcBorders>
              <w:top w:val="nil"/>
              <w:left w:val="nil"/>
              <w:bottom w:val="single" w:color="auto" w:sz="4" w:space="0"/>
              <w:right w:val="single" w:color="auto" w:sz="4" w:space="0"/>
            </w:tcBorders>
            <w:shd w:val="clear" w:color="000000" w:fill="FFFFFF"/>
            <w:vAlign w:val="center"/>
          </w:tcPr>
          <w:p w14:paraId="4FF7F72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83BD4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C9572C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186F9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F18DD0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建议回收长期沉淀的资金</w:t>
            </w:r>
          </w:p>
        </w:tc>
        <w:tc>
          <w:tcPr>
            <w:tcW w:w="0" w:type="auto"/>
            <w:tcBorders>
              <w:top w:val="nil"/>
              <w:left w:val="nil"/>
              <w:bottom w:val="single" w:color="auto" w:sz="4" w:space="0"/>
              <w:right w:val="single" w:color="auto" w:sz="4" w:space="0"/>
            </w:tcBorders>
            <w:shd w:val="clear" w:color="000000" w:fill="FFFFFF"/>
            <w:vAlign w:val="center"/>
          </w:tcPr>
          <w:p w14:paraId="6CE88F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D52FD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6A1A8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EE351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FE6C9E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341B304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420ED3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6B9CDF6">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6651DF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9151D1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03A2D8D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886C3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7421A5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E0D3F9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0C9180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03FEC50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4E97CA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10837B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9D5706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0FB14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67B5FC0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7094D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650B0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7AFF34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C02BB3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6DA4C8A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54702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9E2A03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3C24A6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2918EE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64E09AD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DD3028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17D92E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3C4731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C8A404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3B53DB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FD1B59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9AE49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5BD540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85F23B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277E177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4B461C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05110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4CD56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74D2D8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44AA71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B7367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D07CA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C96BB0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14F434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198D89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26C4C72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1AA31E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153DB0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1FDE181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2A201EE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D4C9DF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A4778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E8A4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B8B51D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089322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38C1E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A6235E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D4BF72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D7362F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4C2A258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432BF8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8F4F6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145510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B5587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04FF932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5BA3A7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C767423">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00BEDF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482318E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23C052">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2A59D5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411C633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1D66C3A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9175D8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E21B7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E8C76D1">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AF736B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238D1C8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B24F8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4845D79">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8D03F3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770C1B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76D0BC3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F9EFC40">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r w14:paraId="594F29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B3992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B26BCA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04EAF8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C69940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988F172">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CA3D93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A9133F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4959D03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6D21A3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4679D4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A3EEA7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36256F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56D3EEB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C8152A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5B2E5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BE3367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F68FC9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57BF73E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A7F5E3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C3DCF1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A38BC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D5349B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3B95746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3619B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78442F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6D0489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863C1F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7CCBDBB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F64BBB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A7091E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80A298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B8082A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4D40990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92B794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42767B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FD44C5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5EEBA62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712C627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42DF6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E14CAF0">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1CD684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67AF85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315DC27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610E8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0EE163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EEB1A1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9144C1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583A681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B4CAB7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D0A15F3">
        <w:tblPrEx>
          <w:tblCellMar>
            <w:top w:w="0" w:type="dxa"/>
            <w:left w:w="108" w:type="dxa"/>
            <w:bottom w:w="0" w:type="dxa"/>
            <w:right w:w="108" w:type="dxa"/>
          </w:tblCellMar>
        </w:tblPrEx>
        <w:trPr>
          <w:trHeight w:val="69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4B1F601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65F62030">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bl>
    <w:p w14:paraId="7AB9AE7E">
      <w:pPr>
        <w:widowControl/>
        <w:jc w:val="center"/>
        <w:rPr>
          <w:rFonts w:ascii="仿宋_GB2312" w:hAnsi="宋体" w:eastAsia="仿宋_GB2312" w:cs="仿宋_GB2312"/>
          <w:b/>
          <w:bCs/>
          <w:sz w:val="32"/>
          <w:szCs w:val="32"/>
        </w:rPr>
      </w:pPr>
      <w:r>
        <w:rPr>
          <w:rFonts w:hint="eastAsia" w:ascii="仿宋_GB2312" w:hAnsi="宋体" w:eastAsia="仿宋_GB2312" w:cs="仿宋_GB2312"/>
          <w:sz w:val="32"/>
          <w:szCs w:val="32"/>
        </w:rPr>
        <w:br w:type="page"/>
      </w:r>
    </w:p>
    <w:tbl>
      <w:tblPr>
        <w:tblStyle w:val="5"/>
        <w:tblW w:w="0" w:type="auto"/>
        <w:tblInd w:w="93" w:type="dxa"/>
        <w:tblLayout w:type="autofit"/>
        <w:tblCellMar>
          <w:top w:w="0" w:type="dxa"/>
          <w:left w:w="108" w:type="dxa"/>
          <w:bottom w:w="0" w:type="dxa"/>
          <w:right w:w="108" w:type="dxa"/>
        </w:tblCellMar>
      </w:tblPr>
      <w:tblGrid>
        <w:gridCol w:w="416"/>
        <w:gridCol w:w="416"/>
        <w:gridCol w:w="416"/>
        <w:gridCol w:w="416"/>
        <w:gridCol w:w="416"/>
        <w:gridCol w:w="515"/>
        <w:gridCol w:w="416"/>
        <w:gridCol w:w="1012"/>
        <w:gridCol w:w="416"/>
        <w:gridCol w:w="515"/>
        <w:gridCol w:w="515"/>
        <w:gridCol w:w="416"/>
        <w:gridCol w:w="416"/>
        <w:gridCol w:w="416"/>
        <w:gridCol w:w="416"/>
        <w:gridCol w:w="416"/>
        <w:gridCol w:w="515"/>
        <w:gridCol w:w="515"/>
        <w:gridCol w:w="614"/>
      </w:tblGrid>
      <w:tr w14:paraId="61639933">
        <w:tblPrEx>
          <w:tblCellMar>
            <w:top w:w="0" w:type="dxa"/>
            <w:left w:w="108" w:type="dxa"/>
            <w:bottom w:w="0" w:type="dxa"/>
            <w:right w:w="108" w:type="dxa"/>
          </w:tblCellMar>
        </w:tblPrEx>
        <w:trPr>
          <w:trHeight w:val="624" w:hRule="atLeast"/>
        </w:trPr>
        <w:tc>
          <w:tcPr>
            <w:tcW w:w="0" w:type="auto"/>
            <w:gridSpan w:val="19"/>
            <w:vMerge w:val="restart"/>
            <w:tcBorders>
              <w:top w:val="nil"/>
              <w:left w:val="nil"/>
              <w:bottom w:val="nil"/>
              <w:right w:val="nil"/>
            </w:tcBorders>
            <w:shd w:val="clear" w:color="000000" w:fill="FFFFFF"/>
            <w:vAlign w:val="center"/>
          </w:tcPr>
          <w:p w14:paraId="58F1BD69">
            <w:pPr>
              <w:widowControl/>
              <w:jc w:val="center"/>
              <w:rPr>
                <w:rFonts w:ascii="宋体" w:hAnsi="宋体" w:cs="宋体"/>
                <w:b/>
                <w:bCs/>
                <w:color w:val="000000"/>
                <w:kern w:val="0"/>
                <w:sz w:val="32"/>
                <w:szCs w:val="32"/>
              </w:rPr>
            </w:pPr>
            <w:bookmarkStart w:id="1" w:name="RANGE!A1:T73"/>
            <w:r>
              <w:rPr>
                <w:rFonts w:hint="eastAsia" w:ascii="宋体" w:hAnsi="宋体" w:cs="宋体"/>
                <w:b/>
                <w:bCs/>
                <w:color w:val="000000"/>
                <w:kern w:val="0"/>
                <w:sz w:val="32"/>
                <w:szCs w:val="32"/>
              </w:rPr>
              <w:t>部门（单位）整体绩效自评表</w:t>
            </w:r>
            <w:r>
              <w:rPr>
                <w:rFonts w:hint="eastAsia" w:ascii="宋体" w:hAnsi="宋体" w:cs="宋体"/>
                <w:b/>
                <w:bCs/>
                <w:color w:val="000000"/>
                <w:kern w:val="0"/>
                <w:sz w:val="32"/>
                <w:szCs w:val="32"/>
              </w:rPr>
              <w:br w:type="textWrapping"/>
            </w:r>
            <w:r>
              <w:rPr>
                <w:rFonts w:hint="eastAsia" w:ascii="宋体" w:hAnsi="宋体" w:cs="宋体"/>
                <w:color w:val="000000"/>
                <w:kern w:val="0"/>
                <w:sz w:val="24"/>
              </w:rPr>
              <w:t>（2021年度）</w:t>
            </w:r>
            <w:bookmarkEnd w:id="1"/>
          </w:p>
        </w:tc>
      </w:tr>
      <w:tr w14:paraId="45228D6B">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78B79B4C">
            <w:pPr>
              <w:widowControl/>
              <w:jc w:val="left"/>
              <w:rPr>
                <w:rFonts w:ascii="宋体" w:hAnsi="宋体" w:cs="宋体"/>
                <w:b/>
                <w:bCs/>
                <w:color w:val="000000"/>
                <w:kern w:val="0"/>
                <w:sz w:val="32"/>
                <w:szCs w:val="32"/>
              </w:rPr>
            </w:pPr>
          </w:p>
        </w:tc>
      </w:tr>
      <w:tr w14:paraId="2BC95590">
        <w:tblPrEx>
          <w:tblCellMar>
            <w:top w:w="0" w:type="dxa"/>
            <w:left w:w="108" w:type="dxa"/>
            <w:bottom w:w="0" w:type="dxa"/>
            <w:right w:w="108" w:type="dxa"/>
          </w:tblCellMar>
        </w:tblPrEx>
        <w:trPr>
          <w:trHeight w:val="624" w:hRule="atLeast"/>
        </w:trPr>
        <w:tc>
          <w:tcPr>
            <w:tcW w:w="0" w:type="auto"/>
            <w:gridSpan w:val="19"/>
            <w:vMerge w:val="continue"/>
            <w:tcBorders>
              <w:top w:val="nil"/>
              <w:left w:val="nil"/>
              <w:bottom w:val="nil"/>
              <w:right w:val="nil"/>
            </w:tcBorders>
            <w:vAlign w:val="center"/>
          </w:tcPr>
          <w:p w14:paraId="2C217350">
            <w:pPr>
              <w:widowControl/>
              <w:jc w:val="left"/>
              <w:rPr>
                <w:rFonts w:ascii="宋体" w:hAnsi="宋体" w:cs="宋体"/>
                <w:b/>
                <w:bCs/>
                <w:color w:val="000000"/>
                <w:kern w:val="0"/>
                <w:sz w:val="32"/>
                <w:szCs w:val="32"/>
              </w:rPr>
            </w:pPr>
          </w:p>
        </w:tc>
      </w:tr>
      <w:tr w14:paraId="221D7164">
        <w:tblPrEx>
          <w:tblCellMar>
            <w:top w:w="0" w:type="dxa"/>
            <w:left w:w="108" w:type="dxa"/>
            <w:bottom w:w="0" w:type="dxa"/>
            <w:right w:w="108" w:type="dxa"/>
          </w:tblCellMar>
        </w:tblPrEx>
        <w:trPr>
          <w:trHeight w:val="285"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773327C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部门（单位）名称</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C62B5B1">
            <w:pPr>
              <w:widowControl/>
              <w:jc w:val="center"/>
              <w:rPr>
                <w:rFonts w:ascii="宋体" w:hAnsi="宋体" w:cs="宋体"/>
                <w:color w:val="000000"/>
                <w:kern w:val="0"/>
                <w:sz w:val="20"/>
                <w:szCs w:val="20"/>
              </w:rPr>
            </w:pPr>
            <w:r>
              <w:rPr>
                <w:rFonts w:hint="eastAsia" w:ascii="宋体" w:hAnsi="宋体" w:cs="宋体"/>
                <w:color w:val="000000"/>
                <w:kern w:val="0"/>
                <w:sz w:val="20"/>
                <w:szCs w:val="20"/>
              </w:rPr>
              <w:t>102022盘锦市政府驻北京联络处-211100000</w:t>
            </w:r>
          </w:p>
        </w:tc>
      </w:tr>
      <w:tr w14:paraId="23B78D74">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1D6FC89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部门年初预算收入金额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0E0B1BCD">
            <w:pPr>
              <w:widowControl/>
              <w:jc w:val="center"/>
              <w:rPr>
                <w:rFonts w:ascii="宋体" w:hAnsi="宋体" w:cs="宋体"/>
                <w:color w:val="000000"/>
                <w:kern w:val="0"/>
                <w:sz w:val="20"/>
                <w:szCs w:val="20"/>
              </w:rPr>
            </w:pPr>
            <w:r>
              <w:rPr>
                <w:rFonts w:hint="eastAsia" w:ascii="宋体" w:hAnsi="宋体" w:cs="宋体"/>
                <w:color w:val="000000"/>
                <w:kern w:val="0"/>
                <w:sz w:val="20"/>
                <w:szCs w:val="20"/>
              </w:rPr>
              <w:t>172.73</w:t>
            </w:r>
          </w:p>
        </w:tc>
      </w:tr>
      <w:tr w14:paraId="18305BFD">
        <w:tblPrEx>
          <w:tblCellMar>
            <w:top w:w="0" w:type="dxa"/>
            <w:left w:w="108" w:type="dxa"/>
            <w:bottom w:w="0" w:type="dxa"/>
            <w:right w:w="108" w:type="dxa"/>
          </w:tblCellMar>
        </w:tblPrEx>
        <w:trPr>
          <w:trHeight w:val="312" w:hRule="atLeast"/>
        </w:trPr>
        <w:tc>
          <w:tcPr>
            <w:tcW w:w="0" w:type="auto"/>
            <w:gridSpan w:val="4"/>
            <w:tcBorders>
              <w:top w:val="single" w:color="auto" w:sz="4" w:space="0"/>
              <w:left w:val="single" w:color="auto" w:sz="4" w:space="0"/>
              <w:bottom w:val="single" w:color="auto" w:sz="4" w:space="0"/>
              <w:right w:val="single" w:color="auto" w:sz="4" w:space="0"/>
            </w:tcBorders>
            <w:shd w:val="clear" w:color="000000" w:fill="FFFFFF"/>
            <w:vAlign w:val="center"/>
          </w:tcPr>
          <w:p w14:paraId="08E485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部门年初预算支出金额</w:t>
            </w:r>
          </w:p>
        </w:tc>
        <w:tc>
          <w:tcPr>
            <w:tcW w:w="0" w:type="auto"/>
            <w:gridSpan w:val="15"/>
            <w:tcBorders>
              <w:top w:val="single" w:color="auto" w:sz="4" w:space="0"/>
              <w:left w:val="nil"/>
              <w:bottom w:val="single" w:color="auto" w:sz="4" w:space="0"/>
              <w:right w:val="single" w:color="auto" w:sz="4" w:space="0"/>
            </w:tcBorders>
            <w:shd w:val="clear" w:color="000000" w:fill="FFFFFF"/>
            <w:vAlign w:val="center"/>
          </w:tcPr>
          <w:p w14:paraId="4E4F9F85">
            <w:pPr>
              <w:widowControl/>
              <w:jc w:val="center"/>
              <w:rPr>
                <w:rFonts w:ascii="宋体" w:hAnsi="宋体" w:cs="宋体"/>
                <w:color w:val="000000"/>
                <w:kern w:val="0"/>
                <w:sz w:val="20"/>
                <w:szCs w:val="20"/>
              </w:rPr>
            </w:pPr>
            <w:r>
              <w:rPr>
                <w:rFonts w:hint="eastAsia" w:ascii="宋体" w:hAnsi="宋体" w:cs="宋体"/>
                <w:color w:val="000000"/>
                <w:kern w:val="0"/>
                <w:sz w:val="20"/>
                <w:szCs w:val="20"/>
              </w:rPr>
              <w:t>172.73</w:t>
            </w:r>
          </w:p>
        </w:tc>
      </w:tr>
      <w:tr w14:paraId="05ABD69B">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3B7F12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年度主要任务</w:t>
            </w: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2CCF521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工作名称</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4C12D6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对应项目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1353AC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项目下达金额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6F678D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项目执行金额</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4D0EAA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项目执行率</w:t>
            </w:r>
          </w:p>
        </w:tc>
        <w:tc>
          <w:tcPr>
            <w:tcW w:w="0" w:type="auto"/>
            <w:tcBorders>
              <w:top w:val="nil"/>
              <w:left w:val="nil"/>
              <w:bottom w:val="single" w:color="auto" w:sz="4" w:space="0"/>
              <w:right w:val="single" w:color="auto" w:sz="4" w:space="0"/>
            </w:tcBorders>
            <w:shd w:val="clear" w:color="000000" w:fill="FFFFFF"/>
            <w:vAlign w:val="center"/>
          </w:tcPr>
          <w:p w14:paraId="38BE74F1">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tcBorders>
              <w:top w:val="nil"/>
              <w:left w:val="nil"/>
              <w:bottom w:val="single" w:color="auto" w:sz="4" w:space="0"/>
              <w:right w:val="single" w:color="auto" w:sz="4" w:space="0"/>
            </w:tcBorders>
            <w:shd w:val="clear" w:color="000000" w:fill="FFFFFF"/>
            <w:vAlign w:val="center"/>
          </w:tcPr>
          <w:p w14:paraId="0A17865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3CB0200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完成情况</w:t>
            </w:r>
          </w:p>
        </w:tc>
      </w:tr>
      <w:tr w14:paraId="6AD7BF76">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3160A290">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14A2B7F4">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员工宿舍房租</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406E4B7A">
            <w:pPr>
              <w:widowControl/>
              <w:jc w:val="center"/>
              <w:rPr>
                <w:rFonts w:ascii="宋体" w:hAnsi="宋体" w:cs="宋体"/>
                <w:color w:val="000000"/>
                <w:kern w:val="0"/>
                <w:sz w:val="20"/>
                <w:szCs w:val="20"/>
              </w:rPr>
            </w:pPr>
            <w:r>
              <w:rPr>
                <w:rFonts w:hint="eastAsia" w:ascii="宋体" w:hAnsi="宋体" w:cs="宋体"/>
                <w:color w:val="000000"/>
                <w:kern w:val="0"/>
                <w:sz w:val="20"/>
                <w:szCs w:val="20"/>
              </w:rPr>
              <w:t>租房经费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89796F7">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16C7008D">
            <w:pPr>
              <w:widowControl/>
              <w:jc w:val="center"/>
              <w:rPr>
                <w:rFonts w:ascii="宋体" w:hAnsi="宋体" w:cs="宋体"/>
                <w:color w:val="000000"/>
                <w:kern w:val="0"/>
                <w:sz w:val="20"/>
                <w:szCs w:val="20"/>
              </w:rPr>
            </w:pPr>
            <w:r>
              <w:rPr>
                <w:rFonts w:hint="eastAsia" w:ascii="宋体" w:hAnsi="宋体" w:cs="宋体"/>
                <w:color w:val="000000"/>
                <w:kern w:val="0"/>
                <w:sz w:val="20"/>
                <w:szCs w:val="20"/>
              </w:rPr>
              <w:t>15</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80C752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BF77EAA">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683BE41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5FBF29E2">
            <w:pPr>
              <w:widowControl/>
              <w:jc w:val="center"/>
              <w:rPr>
                <w:rFonts w:ascii="宋体" w:hAnsi="宋体" w:cs="宋体"/>
                <w:color w:val="000000"/>
                <w:kern w:val="0"/>
                <w:sz w:val="20"/>
                <w:szCs w:val="20"/>
              </w:rPr>
            </w:pPr>
            <w:r>
              <w:rPr>
                <w:rFonts w:hint="eastAsia" w:ascii="宋体" w:hAnsi="宋体" w:cs="宋体"/>
                <w:color w:val="000000"/>
                <w:kern w:val="0"/>
                <w:sz w:val="20"/>
                <w:szCs w:val="20"/>
              </w:rPr>
              <w:t>员工宿舍房租</w:t>
            </w:r>
          </w:p>
        </w:tc>
      </w:tr>
      <w:tr w14:paraId="79801A2A">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AD98129">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730FCFF1">
            <w:pPr>
              <w:widowControl/>
              <w:jc w:val="center"/>
              <w:rPr>
                <w:rFonts w:ascii="宋体" w:hAnsi="宋体" w:cs="宋体"/>
                <w:color w:val="000000"/>
                <w:kern w:val="0"/>
                <w:sz w:val="20"/>
                <w:szCs w:val="20"/>
              </w:rPr>
            </w:pPr>
            <w:r>
              <w:rPr>
                <w:rFonts w:hint="eastAsia" w:ascii="宋体" w:hAnsi="宋体" w:cs="宋体"/>
                <w:color w:val="000000"/>
                <w:kern w:val="0"/>
                <w:sz w:val="20"/>
                <w:szCs w:val="20"/>
              </w:rPr>
              <w:t>补助在京人员的补助费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E30758B">
            <w:pPr>
              <w:widowControl/>
              <w:jc w:val="center"/>
              <w:rPr>
                <w:rFonts w:ascii="宋体" w:hAnsi="宋体" w:cs="宋体"/>
                <w:color w:val="000000"/>
                <w:kern w:val="0"/>
                <w:sz w:val="20"/>
                <w:szCs w:val="20"/>
              </w:rPr>
            </w:pPr>
            <w:r>
              <w:rPr>
                <w:rFonts w:hint="eastAsia" w:ascii="宋体" w:hAnsi="宋体" w:cs="宋体"/>
                <w:color w:val="000000"/>
                <w:kern w:val="0"/>
                <w:sz w:val="20"/>
                <w:szCs w:val="20"/>
              </w:rPr>
              <w:t>出差补助费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38DD79E">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F9C35E4">
            <w:pPr>
              <w:widowControl/>
              <w:jc w:val="center"/>
              <w:rPr>
                <w:rFonts w:ascii="宋体" w:hAnsi="宋体" w:cs="宋体"/>
                <w:color w:val="000000"/>
                <w:kern w:val="0"/>
                <w:sz w:val="20"/>
                <w:szCs w:val="20"/>
              </w:rPr>
            </w:pPr>
            <w:r>
              <w:rPr>
                <w:rFonts w:hint="eastAsia" w:ascii="宋体" w:hAnsi="宋体" w:cs="宋体"/>
                <w:color w:val="000000"/>
                <w:kern w:val="0"/>
                <w:sz w:val="20"/>
                <w:szCs w:val="20"/>
              </w:rPr>
              <w:t>19</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61B65F9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AF4C034">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02A7B297">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238BAA9D">
            <w:pPr>
              <w:widowControl/>
              <w:jc w:val="center"/>
              <w:rPr>
                <w:rFonts w:ascii="宋体" w:hAnsi="宋体" w:cs="宋体"/>
                <w:color w:val="000000"/>
                <w:kern w:val="0"/>
                <w:sz w:val="20"/>
                <w:szCs w:val="20"/>
              </w:rPr>
            </w:pPr>
            <w:r>
              <w:rPr>
                <w:rFonts w:hint="eastAsia" w:ascii="宋体" w:hAnsi="宋体" w:cs="宋体"/>
                <w:color w:val="000000"/>
                <w:kern w:val="0"/>
                <w:sz w:val="20"/>
                <w:szCs w:val="20"/>
              </w:rPr>
              <w:t>补助在京人员的补助费</w:t>
            </w:r>
          </w:p>
        </w:tc>
      </w:tr>
      <w:tr w14:paraId="5A68DE31">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6CCB7E77">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439C3C87">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25A1AA54">
            <w:pPr>
              <w:widowControl/>
              <w:jc w:val="center"/>
              <w:rPr>
                <w:rFonts w:ascii="宋体" w:hAnsi="宋体" w:cs="宋体"/>
                <w:color w:val="000000"/>
                <w:kern w:val="0"/>
                <w:sz w:val="20"/>
                <w:szCs w:val="20"/>
              </w:rPr>
            </w:pPr>
            <w:r>
              <w:rPr>
                <w:rFonts w:hint="eastAsia" w:ascii="宋体" w:hAnsi="宋体" w:cs="宋体"/>
                <w:color w:val="000000"/>
                <w:kern w:val="0"/>
                <w:sz w:val="20"/>
                <w:szCs w:val="20"/>
              </w:rPr>
              <w:t>办公用房物业费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FED5256">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4237AC29">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F1D4D0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F585A82">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561CEB5E">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67142C5D">
            <w:pPr>
              <w:widowControl/>
              <w:jc w:val="center"/>
              <w:rPr>
                <w:rFonts w:ascii="宋体" w:hAnsi="宋体" w:cs="宋体"/>
                <w:color w:val="000000"/>
                <w:kern w:val="0"/>
                <w:sz w:val="20"/>
                <w:szCs w:val="20"/>
              </w:rPr>
            </w:pPr>
            <w:r>
              <w:rPr>
                <w:rFonts w:hint="eastAsia" w:ascii="宋体" w:hAnsi="宋体" w:cs="宋体"/>
                <w:color w:val="000000"/>
                <w:kern w:val="0"/>
                <w:sz w:val="20"/>
                <w:szCs w:val="20"/>
              </w:rPr>
              <w:t>物业管理费</w:t>
            </w:r>
          </w:p>
        </w:tc>
      </w:tr>
      <w:tr w14:paraId="64F83992">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20463FC">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4EB8BAF5">
            <w:pPr>
              <w:widowControl/>
              <w:jc w:val="center"/>
              <w:rPr>
                <w:rFonts w:ascii="宋体" w:hAnsi="宋体" w:cs="宋体"/>
                <w:color w:val="000000"/>
                <w:kern w:val="0"/>
                <w:sz w:val="20"/>
                <w:szCs w:val="20"/>
              </w:rPr>
            </w:pPr>
            <w:r>
              <w:rPr>
                <w:rFonts w:hint="eastAsia" w:ascii="宋体" w:hAnsi="宋体" w:cs="宋体"/>
                <w:color w:val="000000"/>
                <w:kern w:val="0"/>
                <w:sz w:val="20"/>
                <w:szCs w:val="20"/>
              </w:rPr>
              <w:t>聘用人员工资、保险等，房租，租车位，车牌，办车证，食堂等</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7EE53D48">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业务经费</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BB9228C">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C94FACD">
            <w:pPr>
              <w:widowControl/>
              <w:jc w:val="center"/>
              <w:rPr>
                <w:rFonts w:ascii="宋体" w:hAnsi="宋体" w:cs="宋体"/>
                <w:color w:val="000000"/>
                <w:kern w:val="0"/>
                <w:sz w:val="20"/>
                <w:szCs w:val="20"/>
              </w:rPr>
            </w:pPr>
            <w:r>
              <w:rPr>
                <w:rFonts w:hint="eastAsia" w:ascii="宋体" w:hAnsi="宋体" w:cs="宋体"/>
                <w:color w:val="000000"/>
                <w:kern w:val="0"/>
                <w:sz w:val="20"/>
                <w:szCs w:val="20"/>
              </w:rPr>
              <w:t>72</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C8F973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85872A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33A118AC">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041F3167">
            <w:pPr>
              <w:widowControl/>
              <w:jc w:val="center"/>
              <w:rPr>
                <w:rFonts w:ascii="宋体" w:hAnsi="宋体" w:cs="宋体"/>
                <w:color w:val="000000"/>
                <w:kern w:val="0"/>
                <w:sz w:val="20"/>
                <w:szCs w:val="20"/>
              </w:rPr>
            </w:pPr>
            <w:r>
              <w:rPr>
                <w:rFonts w:hint="eastAsia" w:ascii="宋体" w:hAnsi="宋体" w:cs="宋体"/>
                <w:color w:val="000000"/>
                <w:kern w:val="0"/>
                <w:sz w:val="20"/>
                <w:szCs w:val="20"/>
              </w:rPr>
              <w:t>聘用人员工资、保险等，房租，租车位，车牌，办车证，食堂等</w:t>
            </w:r>
          </w:p>
        </w:tc>
      </w:tr>
      <w:tr w14:paraId="1E079513">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2BFD756F">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76370B48">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保证本单位人员工资福利待遇</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3C00C828">
            <w:pPr>
              <w:widowControl/>
              <w:jc w:val="center"/>
              <w:rPr>
                <w:rFonts w:ascii="宋体" w:hAnsi="宋体" w:cs="宋体"/>
                <w:color w:val="000000"/>
                <w:kern w:val="0"/>
                <w:sz w:val="20"/>
                <w:szCs w:val="20"/>
              </w:rPr>
            </w:pPr>
            <w:r>
              <w:rPr>
                <w:rFonts w:hint="eastAsia" w:ascii="宋体" w:hAnsi="宋体" w:cs="宋体"/>
                <w:color w:val="000000"/>
                <w:kern w:val="0"/>
                <w:sz w:val="20"/>
                <w:szCs w:val="20"/>
              </w:rPr>
              <w:t>人员类项目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6363C31">
            <w:pPr>
              <w:widowControl/>
              <w:jc w:val="center"/>
              <w:rPr>
                <w:rFonts w:ascii="宋体" w:hAnsi="宋体" w:cs="宋体"/>
                <w:color w:val="000000"/>
                <w:kern w:val="0"/>
                <w:sz w:val="20"/>
                <w:szCs w:val="20"/>
              </w:rPr>
            </w:pPr>
            <w:r>
              <w:rPr>
                <w:rFonts w:hint="eastAsia" w:ascii="宋体" w:hAnsi="宋体" w:cs="宋体"/>
                <w:color w:val="000000"/>
                <w:kern w:val="0"/>
                <w:sz w:val="20"/>
                <w:szCs w:val="20"/>
              </w:rPr>
              <w:t>44.43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35182841">
            <w:pPr>
              <w:widowControl/>
              <w:jc w:val="center"/>
              <w:rPr>
                <w:rFonts w:ascii="宋体" w:hAnsi="宋体" w:cs="宋体"/>
                <w:color w:val="000000"/>
                <w:kern w:val="0"/>
                <w:sz w:val="20"/>
                <w:szCs w:val="20"/>
              </w:rPr>
            </w:pPr>
            <w:r>
              <w:rPr>
                <w:rFonts w:hint="eastAsia" w:ascii="宋体" w:hAnsi="宋体" w:cs="宋体"/>
                <w:color w:val="000000"/>
                <w:kern w:val="0"/>
                <w:sz w:val="20"/>
                <w:szCs w:val="20"/>
              </w:rPr>
              <w:t>44.43</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53E3F7A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54A060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6C0C6A8D">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72ACD1E5">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保证本单位人员工资福利待遇</w:t>
            </w:r>
          </w:p>
        </w:tc>
      </w:tr>
      <w:tr w14:paraId="274A813B">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7701A29A">
            <w:pPr>
              <w:widowControl/>
              <w:jc w:val="left"/>
              <w:rPr>
                <w:rFonts w:ascii="宋体" w:hAnsi="宋体" w:cs="宋体"/>
                <w:b/>
                <w:bCs/>
                <w:color w:val="000000"/>
                <w:kern w:val="0"/>
                <w:sz w:val="20"/>
                <w:szCs w:val="20"/>
              </w:rPr>
            </w:pPr>
          </w:p>
        </w:tc>
        <w:tc>
          <w:tcPr>
            <w:tcW w:w="0" w:type="auto"/>
            <w:gridSpan w:val="5"/>
            <w:tcBorders>
              <w:top w:val="single" w:color="auto" w:sz="4" w:space="0"/>
              <w:left w:val="nil"/>
              <w:bottom w:val="single" w:color="auto" w:sz="4" w:space="0"/>
              <w:right w:val="single" w:color="000000" w:sz="4" w:space="0"/>
            </w:tcBorders>
            <w:shd w:val="clear" w:color="000000" w:fill="FFFFFF"/>
            <w:vAlign w:val="center"/>
          </w:tcPr>
          <w:p w14:paraId="7BACB850">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保证本单位正常运转</w:t>
            </w:r>
          </w:p>
        </w:tc>
        <w:tc>
          <w:tcPr>
            <w:tcW w:w="0" w:type="auto"/>
            <w:gridSpan w:val="4"/>
            <w:tcBorders>
              <w:top w:val="single" w:color="auto" w:sz="4" w:space="0"/>
              <w:left w:val="nil"/>
              <w:bottom w:val="single" w:color="auto" w:sz="4" w:space="0"/>
              <w:right w:val="single" w:color="000000" w:sz="4" w:space="0"/>
            </w:tcBorders>
            <w:shd w:val="clear" w:color="000000" w:fill="FFFFFF"/>
            <w:vAlign w:val="center"/>
          </w:tcPr>
          <w:p w14:paraId="76BBE2E6">
            <w:pPr>
              <w:widowControl/>
              <w:jc w:val="center"/>
              <w:rPr>
                <w:rFonts w:ascii="宋体" w:hAnsi="宋体" w:cs="宋体"/>
                <w:color w:val="000000"/>
                <w:kern w:val="0"/>
                <w:sz w:val="20"/>
                <w:szCs w:val="20"/>
              </w:rPr>
            </w:pPr>
            <w:r>
              <w:rPr>
                <w:rFonts w:hint="eastAsia" w:ascii="宋体" w:hAnsi="宋体" w:cs="宋体"/>
                <w:color w:val="000000"/>
                <w:kern w:val="0"/>
                <w:sz w:val="20"/>
                <w:szCs w:val="20"/>
              </w:rPr>
              <w:t>公用经费项目</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D825434">
            <w:pPr>
              <w:widowControl/>
              <w:jc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735164AA">
            <w:pPr>
              <w:widowControl/>
              <w:jc w:val="center"/>
              <w:rPr>
                <w:rFonts w:ascii="宋体" w:hAnsi="宋体" w:cs="宋体"/>
                <w:color w:val="000000"/>
                <w:kern w:val="0"/>
                <w:sz w:val="20"/>
                <w:szCs w:val="20"/>
              </w:rPr>
            </w:pPr>
            <w:r>
              <w:rPr>
                <w:rFonts w:hint="eastAsia" w:ascii="宋体" w:hAnsi="宋体" w:cs="宋体"/>
                <w:color w:val="000000"/>
                <w:kern w:val="0"/>
                <w:sz w:val="20"/>
                <w:szCs w:val="20"/>
              </w:rPr>
              <w:t>27.1</w:t>
            </w:r>
          </w:p>
        </w:tc>
        <w:tc>
          <w:tcPr>
            <w:tcW w:w="0" w:type="auto"/>
            <w:gridSpan w:val="2"/>
            <w:tcBorders>
              <w:top w:val="single" w:color="auto" w:sz="4" w:space="0"/>
              <w:left w:val="nil"/>
              <w:bottom w:val="single" w:color="auto" w:sz="4" w:space="0"/>
              <w:right w:val="single" w:color="000000" w:sz="4" w:space="0"/>
            </w:tcBorders>
            <w:shd w:val="clear" w:color="000000" w:fill="FFFFFF"/>
            <w:vAlign w:val="center"/>
          </w:tcPr>
          <w:p w14:paraId="2CE604B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31999827">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0" w:type="auto"/>
            <w:tcBorders>
              <w:top w:val="nil"/>
              <w:left w:val="nil"/>
              <w:bottom w:val="single" w:color="auto" w:sz="4" w:space="0"/>
              <w:right w:val="single" w:color="auto" w:sz="4" w:space="0"/>
            </w:tcBorders>
            <w:shd w:val="clear" w:color="000000" w:fill="FFFFFF"/>
            <w:vAlign w:val="center"/>
          </w:tcPr>
          <w:p w14:paraId="37368452">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0" w:type="auto"/>
            <w:tcBorders>
              <w:top w:val="single" w:color="auto" w:sz="4" w:space="0"/>
              <w:left w:val="nil"/>
              <w:bottom w:val="single" w:color="auto" w:sz="4" w:space="0"/>
              <w:right w:val="single" w:color="000000" w:sz="4" w:space="0"/>
            </w:tcBorders>
            <w:shd w:val="clear" w:color="000000" w:fill="FFFFFF"/>
            <w:vAlign w:val="center"/>
          </w:tcPr>
          <w:p w14:paraId="6A03B440">
            <w:pPr>
              <w:widowControl/>
              <w:jc w:val="center"/>
              <w:rPr>
                <w:rFonts w:ascii="宋体" w:hAnsi="宋体" w:cs="宋体"/>
                <w:color w:val="000000"/>
                <w:kern w:val="0"/>
                <w:sz w:val="20"/>
                <w:szCs w:val="20"/>
              </w:rPr>
            </w:pPr>
            <w:r>
              <w:rPr>
                <w:rFonts w:hint="eastAsia" w:ascii="宋体" w:hAnsi="宋体" w:cs="宋体"/>
                <w:color w:val="000000"/>
                <w:kern w:val="0"/>
                <w:sz w:val="20"/>
                <w:szCs w:val="20"/>
              </w:rPr>
              <w:t>保证本单位正常运转</w:t>
            </w:r>
          </w:p>
        </w:tc>
      </w:tr>
      <w:tr w14:paraId="35D53599">
        <w:tblPrEx>
          <w:tblCellMar>
            <w:top w:w="0" w:type="dxa"/>
            <w:left w:w="108" w:type="dxa"/>
            <w:bottom w:w="0" w:type="dxa"/>
            <w:right w:w="108" w:type="dxa"/>
          </w:tblCellMar>
        </w:tblPrEx>
        <w:trPr>
          <w:trHeight w:val="312" w:hRule="atLeast"/>
        </w:trPr>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E9829E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年度目标</w:t>
            </w: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284120C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年初总体目标</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200CB7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全年完成情况</w:t>
            </w:r>
          </w:p>
        </w:tc>
      </w:tr>
      <w:tr w14:paraId="46CD5151">
        <w:tblPrEx>
          <w:tblCellMar>
            <w:top w:w="0" w:type="dxa"/>
            <w:left w:w="108" w:type="dxa"/>
            <w:bottom w:w="0" w:type="dxa"/>
            <w:right w:w="108" w:type="dxa"/>
          </w:tblCellMar>
        </w:tblPrEx>
        <w:trPr>
          <w:trHeight w:val="480" w:hRule="atLeast"/>
        </w:trPr>
        <w:tc>
          <w:tcPr>
            <w:tcW w:w="0" w:type="auto"/>
            <w:vMerge w:val="continue"/>
            <w:tcBorders>
              <w:top w:val="nil"/>
              <w:left w:val="single" w:color="auto" w:sz="4" w:space="0"/>
              <w:bottom w:val="single" w:color="auto" w:sz="4" w:space="0"/>
              <w:right w:val="single" w:color="auto" w:sz="4" w:space="0"/>
            </w:tcBorders>
            <w:vAlign w:val="center"/>
          </w:tcPr>
          <w:p w14:paraId="0D85069A">
            <w:pPr>
              <w:widowControl/>
              <w:jc w:val="left"/>
              <w:rPr>
                <w:rFonts w:ascii="宋体" w:hAnsi="宋体" w:cs="宋体"/>
                <w:b/>
                <w:bCs/>
                <w:color w:val="000000"/>
                <w:kern w:val="0"/>
                <w:sz w:val="20"/>
                <w:szCs w:val="20"/>
              </w:rPr>
            </w:pPr>
          </w:p>
        </w:tc>
        <w:tc>
          <w:tcPr>
            <w:tcW w:w="0" w:type="auto"/>
            <w:gridSpan w:val="10"/>
            <w:tcBorders>
              <w:top w:val="single" w:color="auto" w:sz="4" w:space="0"/>
              <w:left w:val="nil"/>
              <w:bottom w:val="single" w:color="auto" w:sz="4" w:space="0"/>
              <w:right w:val="single" w:color="000000" w:sz="4" w:space="0"/>
            </w:tcBorders>
            <w:shd w:val="clear" w:color="000000" w:fill="FFFFFF"/>
            <w:vAlign w:val="center"/>
          </w:tcPr>
          <w:p w14:paraId="4F928CA9">
            <w:pPr>
              <w:widowControl/>
              <w:jc w:val="center"/>
              <w:rPr>
                <w:rFonts w:ascii="宋体" w:hAnsi="宋体" w:cs="宋体"/>
                <w:color w:val="000000"/>
                <w:kern w:val="0"/>
                <w:sz w:val="20"/>
                <w:szCs w:val="20"/>
              </w:rPr>
            </w:pPr>
            <w:r>
              <w:rPr>
                <w:rFonts w:hint="eastAsia" w:ascii="宋体" w:hAnsi="宋体" w:cs="宋体"/>
                <w:color w:val="000000"/>
                <w:kern w:val="0"/>
                <w:sz w:val="20"/>
                <w:szCs w:val="20"/>
              </w:rPr>
              <w:t>承办或协办市委、市政府在京举办的各类会议和活动。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为我市部门、单位到北京办理事务提供咨询、服务和后勤支援。</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96395F3">
            <w:pPr>
              <w:widowControl/>
              <w:jc w:val="center"/>
              <w:rPr>
                <w:rFonts w:ascii="宋体" w:hAnsi="宋体" w:cs="宋体"/>
                <w:color w:val="000000"/>
                <w:kern w:val="0"/>
                <w:sz w:val="20"/>
                <w:szCs w:val="20"/>
              </w:rPr>
            </w:pPr>
            <w:r>
              <w:rPr>
                <w:rFonts w:hint="eastAsia" w:ascii="宋体" w:hAnsi="宋体" w:cs="宋体"/>
                <w:color w:val="000000"/>
                <w:kern w:val="0"/>
                <w:sz w:val="20"/>
                <w:szCs w:val="20"/>
              </w:rPr>
              <w:t>承办或协办市委、市政府在京举办的各类会议和活动。</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为我市部门、单位到北京办理事务提供咨询、服务和后勤支援。</w:t>
            </w:r>
          </w:p>
        </w:tc>
      </w:tr>
      <w:tr w14:paraId="364E797A">
        <w:tblPrEx>
          <w:tblCellMar>
            <w:top w:w="0" w:type="dxa"/>
            <w:left w:w="108" w:type="dxa"/>
            <w:bottom w:w="0" w:type="dxa"/>
            <w:right w:w="108" w:type="dxa"/>
          </w:tblCellMar>
        </w:tblPrEx>
        <w:trPr>
          <w:trHeight w:val="285" w:hRule="atLeast"/>
        </w:trPr>
        <w:tc>
          <w:tcPr>
            <w:tcW w:w="0" w:type="auto"/>
            <w:vMerge w:val="restart"/>
            <w:tcBorders>
              <w:top w:val="nil"/>
              <w:left w:val="single" w:color="auto" w:sz="4" w:space="0"/>
              <w:bottom w:val="nil"/>
              <w:right w:val="single" w:color="auto" w:sz="4" w:space="0"/>
            </w:tcBorders>
            <w:shd w:val="clear" w:color="000000" w:fill="FFFFFF"/>
            <w:vAlign w:val="center"/>
          </w:tcPr>
          <w:p w14:paraId="7C96512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绩效指标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7405E3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一级指标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50732F7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二级指标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ED80C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三级指标</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06A417B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运算符号</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44FB36B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指标值</w:t>
            </w: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23E858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度量单位</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1C17E8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全年完成值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66F7063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完成程度</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0630BC0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分值</w:t>
            </w:r>
          </w:p>
        </w:tc>
        <w:tc>
          <w:tcPr>
            <w:tcW w:w="0" w:type="auto"/>
            <w:vMerge w:val="restart"/>
            <w:tcBorders>
              <w:top w:val="nil"/>
              <w:left w:val="single" w:color="auto" w:sz="4" w:space="0"/>
              <w:bottom w:val="single" w:color="000000" w:sz="4" w:space="0"/>
              <w:right w:val="single" w:color="auto" w:sz="4" w:space="0"/>
            </w:tcBorders>
            <w:shd w:val="clear" w:color="000000" w:fill="FFFFFF"/>
            <w:vAlign w:val="center"/>
          </w:tcPr>
          <w:p w14:paraId="277CCC9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得分</w:t>
            </w:r>
          </w:p>
        </w:tc>
        <w:tc>
          <w:tcPr>
            <w:tcW w:w="0" w:type="auto"/>
            <w:gridSpan w:val="5"/>
            <w:tcBorders>
              <w:top w:val="nil"/>
              <w:left w:val="nil"/>
              <w:bottom w:val="single" w:color="auto" w:sz="4" w:space="0"/>
              <w:right w:val="single" w:color="auto" w:sz="4" w:space="0"/>
            </w:tcBorders>
            <w:shd w:val="clear" w:color="000000" w:fill="FFFFFF"/>
            <w:vAlign w:val="center"/>
          </w:tcPr>
          <w:p w14:paraId="4106E5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偏差原因分析</w:t>
            </w:r>
          </w:p>
        </w:tc>
        <w:tc>
          <w:tcPr>
            <w:tcW w:w="0" w:type="auto"/>
            <w:gridSpan w:val="3"/>
            <w:vMerge w:val="restart"/>
            <w:tcBorders>
              <w:top w:val="single" w:color="auto" w:sz="4" w:space="0"/>
              <w:left w:val="single" w:color="auto" w:sz="4" w:space="0"/>
              <w:bottom w:val="single" w:color="000000" w:sz="4" w:space="0"/>
              <w:right w:val="single" w:color="000000" w:sz="4" w:space="0"/>
            </w:tcBorders>
            <w:shd w:val="clear" w:color="000000" w:fill="FFFFFF"/>
            <w:vAlign w:val="center"/>
          </w:tcPr>
          <w:p w14:paraId="0A99718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改进措施</w:t>
            </w:r>
          </w:p>
        </w:tc>
      </w:tr>
      <w:tr w14:paraId="03A908A0">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665B8DA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CE6F00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2E59609">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28C5A7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2506B023">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725E41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5ABF518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5C744367">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42DF9C5B">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4E182EB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000000" w:sz="4" w:space="0"/>
              <w:right w:val="single" w:color="auto" w:sz="4" w:space="0"/>
            </w:tcBorders>
            <w:vAlign w:val="center"/>
          </w:tcPr>
          <w:p w14:paraId="7174F514">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FE76F4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经费保障原因分析</w:t>
            </w:r>
          </w:p>
        </w:tc>
        <w:tc>
          <w:tcPr>
            <w:tcW w:w="0" w:type="auto"/>
            <w:tcBorders>
              <w:top w:val="nil"/>
              <w:left w:val="nil"/>
              <w:bottom w:val="single" w:color="auto" w:sz="4" w:space="0"/>
              <w:right w:val="single" w:color="auto" w:sz="4" w:space="0"/>
            </w:tcBorders>
            <w:shd w:val="clear" w:color="000000" w:fill="FFFFFF"/>
            <w:vAlign w:val="center"/>
          </w:tcPr>
          <w:p w14:paraId="4D1DE5B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制度保障原因分析</w:t>
            </w:r>
          </w:p>
        </w:tc>
        <w:tc>
          <w:tcPr>
            <w:tcW w:w="0" w:type="auto"/>
            <w:tcBorders>
              <w:top w:val="nil"/>
              <w:left w:val="nil"/>
              <w:bottom w:val="single" w:color="auto" w:sz="4" w:space="0"/>
              <w:right w:val="single" w:color="auto" w:sz="4" w:space="0"/>
            </w:tcBorders>
            <w:shd w:val="clear" w:color="000000" w:fill="FFFFFF"/>
            <w:vAlign w:val="center"/>
          </w:tcPr>
          <w:p w14:paraId="1B3FE54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人员保障原因分析</w:t>
            </w:r>
          </w:p>
        </w:tc>
        <w:tc>
          <w:tcPr>
            <w:tcW w:w="0" w:type="auto"/>
            <w:tcBorders>
              <w:top w:val="nil"/>
              <w:left w:val="nil"/>
              <w:bottom w:val="single" w:color="auto" w:sz="4" w:space="0"/>
              <w:right w:val="single" w:color="auto" w:sz="4" w:space="0"/>
            </w:tcBorders>
            <w:shd w:val="clear" w:color="000000" w:fill="FFFFFF"/>
            <w:vAlign w:val="center"/>
          </w:tcPr>
          <w:p w14:paraId="4AA6640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硬件条件保障原因分析</w:t>
            </w:r>
          </w:p>
        </w:tc>
        <w:tc>
          <w:tcPr>
            <w:tcW w:w="0" w:type="auto"/>
            <w:tcBorders>
              <w:top w:val="nil"/>
              <w:left w:val="nil"/>
              <w:bottom w:val="single" w:color="auto" w:sz="4" w:space="0"/>
              <w:right w:val="single" w:color="auto" w:sz="4" w:space="0"/>
            </w:tcBorders>
            <w:shd w:val="clear" w:color="000000" w:fill="FFFFFF"/>
            <w:vAlign w:val="center"/>
          </w:tcPr>
          <w:p w14:paraId="591CF91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其他原因分析</w:t>
            </w:r>
          </w:p>
        </w:tc>
        <w:tc>
          <w:tcPr>
            <w:tcW w:w="0" w:type="auto"/>
            <w:gridSpan w:val="3"/>
            <w:vMerge w:val="continue"/>
            <w:tcBorders>
              <w:top w:val="nil"/>
              <w:left w:val="nil"/>
              <w:bottom w:val="single" w:color="auto" w:sz="4" w:space="0"/>
              <w:right w:val="single" w:color="auto" w:sz="4" w:space="0"/>
            </w:tcBorders>
            <w:vAlign w:val="center"/>
          </w:tcPr>
          <w:p w14:paraId="59C53391">
            <w:pPr>
              <w:widowControl/>
              <w:jc w:val="left"/>
              <w:rPr>
                <w:rFonts w:ascii="宋体" w:hAnsi="宋体" w:cs="宋体"/>
                <w:b/>
                <w:bCs/>
                <w:color w:val="000000"/>
                <w:kern w:val="0"/>
                <w:sz w:val="20"/>
                <w:szCs w:val="20"/>
              </w:rPr>
            </w:pPr>
          </w:p>
        </w:tc>
      </w:tr>
      <w:tr w14:paraId="41951EBC">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1DEEF220">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7C1A547F">
            <w:pPr>
              <w:widowControl/>
              <w:jc w:val="center"/>
              <w:rPr>
                <w:rFonts w:ascii="宋体" w:hAnsi="宋体" w:cs="宋体"/>
                <w:color w:val="000000"/>
                <w:kern w:val="0"/>
                <w:sz w:val="20"/>
                <w:szCs w:val="20"/>
              </w:rPr>
            </w:pPr>
            <w:r>
              <w:rPr>
                <w:rFonts w:hint="eastAsia" w:ascii="宋体" w:hAnsi="宋体" w:cs="宋体"/>
                <w:color w:val="000000"/>
                <w:kern w:val="0"/>
                <w:sz w:val="20"/>
                <w:szCs w:val="20"/>
              </w:rPr>
              <w:t>履职效能</w:t>
            </w:r>
          </w:p>
        </w:tc>
        <w:tc>
          <w:tcPr>
            <w:tcW w:w="0" w:type="auto"/>
            <w:tcBorders>
              <w:top w:val="nil"/>
              <w:left w:val="nil"/>
              <w:bottom w:val="single" w:color="auto" w:sz="4" w:space="0"/>
              <w:right w:val="single" w:color="auto" w:sz="4" w:space="0"/>
            </w:tcBorders>
            <w:shd w:val="clear" w:color="000000" w:fill="FFFFFF"/>
            <w:vAlign w:val="center"/>
          </w:tcPr>
          <w:p w14:paraId="3FC298B6">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重点工作履行情况</w:t>
            </w:r>
          </w:p>
        </w:tc>
        <w:tc>
          <w:tcPr>
            <w:tcW w:w="0" w:type="auto"/>
            <w:tcBorders>
              <w:top w:val="nil"/>
              <w:left w:val="nil"/>
              <w:bottom w:val="single" w:color="auto" w:sz="4" w:space="0"/>
              <w:right w:val="single" w:color="auto" w:sz="4" w:space="0"/>
            </w:tcBorders>
            <w:shd w:val="clear" w:color="000000" w:fill="FFFFFF"/>
            <w:vAlign w:val="center"/>
          </w:tcPr>
          <w:p w14:paraId="42883F0A">
            <w:pPr>
              <w:widowControl/>
              <w:jc w:val="center"/>
              <w:rPr>
                <w:rFonts w:ascii="宋体" w:hAnsi="宋体" w:cs="宋体"/>
                <w:color w:val="000000"/>
                <w:kern w:val="0"/>
                <w:sz w:val="20"/>
                <w:szCs w:val="20"/>
              </w:rPr>
            </w:pPr>
            <w:r>
              <w:rPr>
                <w:rFonts w:hint="eastAsia" w:ascii="宋体" w:hAnsi="宋体" w:cs="宋体"/>
                <w:color w:val="000000"/>
                <w:kern w:val="0"/>
                <w:sz w:val="20"/>
                <w:szCs w:val="20"/>
              </w:rPr>
              <w:t>重点工作办结率</w:t>
            </w:r>
          </w:p>
        </w:tc>
        <w:tc>
          <w:tcPr>
            <w:tcW w:w="0" w:type="auto"/>
            <w:tcBorders>
              <w:top w:val="nil"/>
              <w:left w:val="nil"/>
              <w:bottom w:val="single" w:color="auto" w:sz="4" w:space="0"/>
              <w:right w:val="single" w:color="auto" w:sz="4" w:space="0"/>
            </w:tcBorders>
            <w:shd w:val="clear" w:color="000000" w:fill="FFFFFF"/>
            <w:vAlign w:val="center"/>
          </w:tcPr>
          <w:p w14:paraId="120F822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3713159">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24CE2E8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7B17AF7">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7B4F74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3CCB0BF3">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7F6F3353">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3B370E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AA9A2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96C659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9680F0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D15C2F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009DC6D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5421E43">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2D2BF201">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D4D670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89FAB48">
            <w:pPr>
              <w:widowControl/>
              <w:jc w:val="center"/>
              <w:rPr>
                <w:rFonts w:ascii="宋体" w:hAnsi="宋体" w:cs="宋体"/>
                <w:color w:val="000000"/>
                <w:kern w:val="0"/>
                <w:sz w:val="20"/>
                <w:szCs w:val="20"/>
              </w:rPr>
            </w:pPr>
            <w:r>
              <w:rPr>
                <w:rFonts w:hint="eastAsia" w:ascii="宋体" w:hAnsi="宋体" w:cs="宋体"/>
                <w:color w:val="000000"/>
                <w:kern w:val="0"/>
                <w:sz w:val="20"/>
                <w:szCs w:val="20"/>
              </w:rPr>
              <w:t>整体工作完成情况</w:t>
            </w:r>
          </w:p>
        </w:tc>
        <w:tc>
          <w:tcPr>
            <w:tcW w:w="0" w:type="auto"/>
            <w:tcBorders>
              <w:top w:val="nil"/>
              <w:left w:val="nil"/>
              <w:bottom w:val="single" w:color="auto" w:sz="4" w:space="0"/>
              <w:right w:val="single" w:color="auto" w:sz="4" w:space="0"/>
            </w:tcBorders>
            <w:shd w:val="clear" w:color="000000" w:fill="FFFFFF"/>
            <w:vAlign w:val="center"/>
          </w:tcPr>
          <w:p w14:paraId="5E5AA7AF">
            <w:pPr>
              <w:widowControl/>
              <w:jc w:val="center"/>
              <w:rPr>
                <w:rFonts w:ascii="宋体" w:hAnsi="宋体" w:cs="宋体"/>
                <w:color w:val="000000"/>
                <w:kern w:val="0"/>
                <w:sz w:val="20"/>
                <w:szCs w:val="20"/>
              </w:rPr>
            </w:pPr>
            <w:r>
              <w:rPr>
                <w:rFonts w:hint="eastAsia" w:ascii="宋体" w:hAnsi="宋体" w:cs="宋体"/>
                <w:color w:val="000000"/>
                <w:kern w:val="0"/>
                <w:sz w:val="20"/>
                <w:szCs w:val="20"/>
              </w:rPr>
              <w:t>总体工作完成率</w:t>
            </w:r>
          </w:p>
        </w:tc>
        <w:tc>
          <w:tcPr>
            <w:tcW w:w="0" w:type="auto"/>
            <w:tcBorders>
              <w:top w:val="nil"/>
              <w:left w:val="nil"/>
              <w:bottom w:val="single" w:color="auto" w:sz="4" w:space="0"/>
              <w:right w:val="single" w:color="auto" w:sz="4" w:space="0"/>
            </w:tcBorders>
            <w:shd w:val="clear" w:color="000000" w:fill="FFFFFF"/>
            <w:vAlign w:val="center"/>
          </w:tcPr>
          <w:p w14:paraId="7D1BE76F">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5EA02AA">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370FE7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03C6E0C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D7C4E2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B391A39">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52DC8BE8">
            <w:pPr>
              <w:widowControl/>
              <w:jc w:val="center"/>
              <w:rPr>
                <w:rFonts w:ascii="宋体" w:hAnsi="宋体" w:cs="宋体"/>
                <w:color w:val="000000"/>
                <w:kern w:val="0"/>
                <w:sz w:val="20"/>
                <w:szCs w:val="20"/>
              </w:rPr>
            </w:pPr>
            <w:r>
              <w:rPr>
                <w:rFonts w:hint="eastAsia" w:ascii="宋体" w:hAnsi="宋体" w:cs="宋体"/>
                <w:color w:val="000000"/>
                <w:kern w:val="0"/>
                <w:sz w:val="20"/>
                <w:szCs w:val="20"/>
              </w:rPr>
              <w:t>6.6</w:t>
            </w:r>
          </w:p>
        </w:tc>
        <w:tc>
          <w:tcPr>
            <w:tcW w:w="0" w:type="auto"/>
            <w:tcBorders>
              <w:top w:val="nil"/>
              <w:left w:val="nil"/>
              <w:bottom w:val="single" w:color="auto" w:sz="4" w:space="0"/>
              <w:right w:val="single" w:color="auto" w:sz="4" w:space="0"/>
            </w:tcBorders>
            <w:shd w:val="clear" w:color="000000" w:fill="FFFFFF"/>
            <w:vAlign w:val="center"/>
          </w:tcPr>
          <w:p w14:paraId="75B0C6B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DEB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D4B091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A9EF4E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A65F0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5BAB1E2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7463C71">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72942920">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EBAE19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0287E4CA">
            <w:pPr>
              <w:widowControl/>
              <w:jc w:val="center"/>
              <w:rPr>
                <w:rFonts w:ascii="宋体" w:hAnsi="宋体" w:cs="宋体"/>
                <w:color w:val="000000"/>
                <w:kern w:val="0"/>
                <w:sz w:val="20"/>
                <w:szCs w:val="20"/>
              </w:rPr>
            </w:pPr>
            <w:r>
              <w:rPr>
                <w:rFonts w:hint="eastAsia" w:ascii="宋体" w:hAnsi="宋体" w:cs="宋体"/>
                <w:color w:val="000000"/>
                <w:kern w:val="0"/>
                <w:sz w:val="20"/>
                <w:szCs w:val="20"/>
              </w:rPr>
              <w:t>基础管理</w:t>
            </w:r>
          </w:p>
        </w:tc>
        <w:tc>
          <w:tcPr>
            <w:tcW w:w="0" w:type="auto"/>
            <w:tcBorders>
              <w:top w:val="nil"/>
              <w:left w:val="nil"/>
              <w:bottom w:val="single" w:color="auto" w:sz="4" w:space="0"/>
              <w:right w:val="single" w:color="auto" w:sz="4" w:space="0"/>
            </w:tcBorders>
            <w:shd w:val="clear" w:color="000000" w:fill="FFFFFF"/>
            <w:vAlign w:val="center"/>
          </w:tcPr>
          <w:p w14:paraId="5EE7C836">
            <w:pPr>
              <w:widowControl/>
              <w:jc w:val="center"/>
              <w:rPr>
                <w:rFonts w:ascii="宋体" w:hAnsi="宋体" w:cs="宋体"/>
                <w:color w:val="000000"/>
                <w:kern w:val="0"/>
                <w:sz w:val="20"/>
                <w:szCs w:val="20"/>
              </w:rPr>
            </w:pPr>
            <w:r>
              <w:rPr>
                <w:rFonts w:hint="eastAsia" w:ascii="宋体" w:hAnsi="宋体" w:cs="宋体"/>
                <w:color w:val="000000"/>
                <w:kern w:val="0"/>
                <w:sz w:val="20"/>
                <w:szCs w:val="20"/>
              </w:rPr>
              <w:t>综合管理水平</w:t>
            </w:r>
          </w:p>
        </w:tc>
        <w:tc>
          <w:tcPr>
            <w:tcW w:w="0" w:type="auto"/>
            <w:tcBorders>
              <w:top w:val="nil"/>
              <w:left w:val="nil"/>
              <w:bottom w:val="single" w:color="auto" w:sz="4" w:space="0"/>
              <w:right w:val="single" w:color="auto" w:sz="4" w:space="0"/>
            </w:tcBorders>
            <w:shd w:val="clear" w:color="000000" w:fill="FFFFFF"/>
            <w:vAlign w:val="center"/>
          </w:tcPr>
          <w:p w14:paraId="4FEF30F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3DCBAB">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034BBB0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C52AAB2">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B948085">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F0C9B52">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14:paraId="0ED69676">
            <w:pPr>
              <w:widowControl/>
              <w:jc w:val="center"/>
              <w:rPr>
                <w:rFonts w:ascii="宋体" w:hAnsi="宋体" w:cs="宋体"/>
                <w:color w:val="000000"/>
                <w:kern w:val="0"/>
                <w:sz w:val="20"/>
                <w:szCs w:val="20"/>
              </w:rPr>
            </w:pPr>
            <w:r>
              <w:rPr>
                <w:rFonts w:hint="eastAsia" w:ascii="宋体" w:hAnsi="宋体" w:cs="宋体"/>
                <w:color w:val="000000"/>
                <w:kern w:val="0"/>
                <w:sz w:val="20"/>
                <w:szCs w:val="20"/>
              </w:rPr>
              <w:t>6.8</w:t>
            </w:r>
          </w:p>
        </w:tc>
        <w:tc>
          <w:tcPr>
            <w:tcW w:w="0" w:type="auto"/>
            <w:tcBorders>
              <w:top w:val="nil"/>
              <w:left w:val="nil"/>
              <w:bottom w:val="single" w:color="auto" w:sz="4" w:space="0"/>
              <w:right w:val="single" w:color="auto" w:sz="4" w:space="0"/>
            </w:tcBorders>
            <w:shd w:val="clear" w:color="000000" w:fill="FFFFFF"/>
            <w:vAlign w:val="center"/>
          </w:tcPr>
          <w:p w14:paraId="440854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E84135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0C776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FEEFA6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27A5E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721264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29A4B0">
        <w:tblPrEx>
          <w:tblCellMar>
            <w:top w:w="0" w:type="dxa"/>
            <w:left w:w="108" w:type="dxa"/>
            <w:bottom w:w="0" w:type="dxa"/>
            <w:right w:w="108" w:type="dxa"/>
          </w:tblCellMar>
        </w:tblPrEx>
        <w:trPr>
          <w:trHeight w:val="720" w:hRule="atLeast"/>
        </w:trPr>
        <w:tc>
          <w:tcPr>
            <w:tcW w:w="0" w:type="auto"/>
            <w:vMerge w:val="continue"/>
            <w:tcBorders>
              <w:top w:val="nil"/>
              <w:left w:val="single" w:color="auto" w:sz="4" w:space="0"/>
              <w:bottom w:val="nil"/>
              <w:right w:val="single" w:color="auto" w:sz="4" w:space="0"/>
            </w:tcBorders>
            <w:vAlign w:val="center"/>
          </w:tcPr>
          <w:p w14:paraId="4256740E">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1AD14D1">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w:t>
            </w:r>
          </w:p>
        </w:tc>
        <w:tc>
          <w:tcPr>
            <w:tcW w:w="0" w:type="auto"/>
            <w:tcBorders>
              <w:top w:val="nil"/>
              <w:left w:val="nil"/>
              <w:bottom w:val="single" w:color="auto" w:sz="4" w:space="0"/>
              <w:right w:val="single" w:color="auto" w:sz="4" w:space="0"/>
            </w:tcBorders>
            <w:shd w:val="clear" w:color="000000" w:fill="FFFFFF"/>
            <w:vAlign w:val="center"/>
          </w:tcPr>
          <w:p w14:paraId="5676F54E">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预算执行效率</w:t>
            </w:r>
          </w:p>
        </w:tc>
        <w:tc>
          <w:tcPr>
            <w:tcW w:w="0" w:type="auto"/>
            <w:tcBorders>
              <w:top w:val="nil"/>
              <w:left w:val="nil"/>
              <w:bottom w:val="single" w:color="auto" w:sz="4" w:space="0"/>
              <w:right w:val="single" w:color="auto" w:sz="4" w:space="0"/>
            </w:tcBorders>
            <w:shd w:val="clear" w:color="000000" w:fill="FFFFFF"/>
            <w:vAlign w:val="center"/>
          </w:tcPr>
          <w:p w14:paraId="3E387BE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预算执行率</w:t>
            </w:r>
          </w:p>
        </w:tc>
        <w:tc>
          <w:tcPr>
            <w:tcW w:w="0" w:type="auto"/>
            <w:tcBorders>
              <w:top w:val="nil"/>
              <w:left w:val="nil"/>
              <w:bottom w:val="single" w:color="auto" w:sz="4" w:space="0"/>
              <w:right w:val="single" w:color="auto" w:sz="4" w:space="0"/>
            </w:tcBorders>
            <w:shd w:val="clear" w:color="000000" w:fill="FFFFFF"/>
            <w:vAlign w:val="center"/>
          </w:tcPr>
          <w:p w14:paraId="37633DDC">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5A63681">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1D57813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0E18363">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73153F91">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B73DF7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704814F">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1FF8335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D7174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710E44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5838D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38739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333F35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59487F9">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14:paraId="04D12648">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67568C05">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管理效率</w:t>
            </w:r>
          </w:p>
        </w:tc>
        <w:tc>
          <w:tcPr>
            <w:tcW w:w="0" w:type="auto"/>
            <w:tcBorders>
              <w:top w:val="nil"/>
              <w:left w:val="nil"/>
              <w:bottom w:val="single" w:color="auto" w:sz="4" w:space="0"/>
              <w:right w:val="single" w:color="auto" w:sz="4" w:space="0"/>
            </w:tcBorders>
            <w:shd w:val="clear" w:color="000000" w:fill="FFFFFF"/>
            <w:vAlign w:val="center"/>
          </w:tcPr>
          <w:p w14:paraId="69F2062A">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预算编制管理</w:t>
            </w:r>
          </w:p>
        </w:tc>
        <w:tc>
          <w:tcPr>
            <w:tcW w:w="0" w:type="auto"/>
            <w:tcBorders>
              <w:top w:val="nil"/>
              <w:left w:val="nil"/>
              <w:bottom w:val="single" w:color="auto" w:sz="4" w:space="0"/>
              <w:right w:val="single" w:color="auto" w:sz="4" w:space="0"/>
            </w:tcBorders>
            <w:shd w:val="clear" w:color="000000" w:fill="FFFFFF"/>
            <w:vAlign w:val="center"/>
          </w:tcPr>
          <w:p w14:paraId="0D275775">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预算绩效目标覆盖率</w:t>
            </w:r>
          </w:p>
        </w:tc>
        <w:tc>
          <w:tcPr>
            <w:tcW w:w="0" w:type="auto"/>
            <w:tcBorders>
              <w:top w:val="nil"/>
              <w:left w:val="nil"/>
              <w:bottom w:val="single" w:color="auto" w:sz="4" w:space="0"/>
              <w:right w:val="single" w:color="auto" w:sz="4" w:space="0"/>
            </w:tcBorders>
            <w:shd w:val="clear" w:color="000000" w:fill="FFFFFF"/>
            <w:vAlign w:val="center"/>
          </w:tcPr>
          <w:p w14:paraId="690C529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673300C1">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4C3963D5">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AC42D7C">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1E4D30F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7571DE59">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6777DE93">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682A09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F4D74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27B30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79130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C0C3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4DE5B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B72D450">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5AB9797E">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42F75C36">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2FC7D119">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预算监督管理</w:t>
            </w:r>
          </w:p>
        </w:tc>
        <w:tc>
          <w:tcPr>
            <w:tcW w:w="0" w:type="auto"/>
            <w:tcBorders>
              <w:top w:val="nil"/>
              <w:left w:val="nil"/>
              <w:bottom w:val="single" w:color="auto" w:sz="4" w:space="0"/>
              <w:right w:val="single" w:color="auto" w:sz="4" w:space="0"/>
            </w:tcBorders>
            <w:shd w:val="clear" w:color="000000" w:fill="FFFFFF"/>
            <w:vAlign w:val="center"/>
          </w:tcPr>
          <w:p w14:paraId="0B1A8EF5">
            <w:pPr>
              <w:widowControl/>
              <w:jc w:val="center"/>
              <w:rPr>
                <w:rFonts w:ascii="宋体" w:hAnsi="宋体" w:cs="宋体"/>
                <w:color w:val="000000"/>
                <w:kern w:val="0"/>
                <w:sz w:val="20"/>
                <w:szCs w:val="20"/>
              </w:rPr>
            </w:pPr>
            <w:r>
              <w:rPr>
                <w:rFonts w:hint="eastAsia" w:ascii="宋体" w:hAnsi="宋体" w:cs="宋体"/>
                <w:color w:val="000000"/>
                <w:kern w:val="0"/>
                <w:sz w:val="20"/>
                <w:szCs w:val="20"/>
              </w:rPr>
              <w:t>预决算公开情况</w:t>
            </w:r>
          </w:p>
        </w:tc>
        <w:tc>
          <w:tcPr>
            <w:tcW w:w="0" w:type="auto"/>
            <w:tcBorders>
              <w:top w:val="nil"/>
              <w:left w:val="nil"/>
              <w:bottom w:val="single" w:color="auto" w:sz="4" w:space="0"/>
              <w:right w:val="single" w:color="auto" w:sz="4" w:space="0"/>
            </w:tcBorders>
            <w:shd w:val="clear" w:color="000000" w:fill="FFFFFF"/>
            <w:vAlign w:val="center"/>
          </w:tcPr>
          <w:p w14:paraId="6A7674C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4FF41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全部公开</w:t>
            </w:r>
          </w:p>
        </w:tc>
        <w:tc>
          <w:tcPr>
            <w:tcW w:w="0" w:type="auto"/>
            <w:tcBorders>
              <w:top w:val="nil"/>
              <w:left w:val="nil"/>
              <w:bottom w:val="single" w:color="auto" w:sz="4" w:space="0"/>
              <w:right w:val="single" w:color="auto" w:sz="4" w:space="0"/>
            </w:tcBorders>
            <w:shd w:val="clear" w:color="000000" w:fill="FFFFFF"/>
            <w:vAlign w:val="center"/>
          </w:tcPr>
          <w:p w14:paraId="259E284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B93A0CF">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E6BEC2A">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98D7D82">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45AC707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1AD8604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EA2CA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D1522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694E3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64C49F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04B8E20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51D70B">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3B4042B6">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15DAF93B">
            <w:pPr>
              <w:widowControl/>
              <w:jc w:val="left"/>
              <w:rPr>
                <w:rFonts w:ascii="宋体" w:hAnsi="宋体" w:cs="宋体"/>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3E57DD3C">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预算收支管理</w:t>
            </w:r>
          </w:p>
        </w:tc>
        <w:tc>
          <w:tcPr>
            <w:tcW w:w="0" w:type="auto"/>
            <w:tcBorders>
              <w:top w:val="nil"/>
              <w:left w:val="nil"/>
              <w:bottom w:val="single" w:color="auto" w:sz="4" w:space="0"/>
              <w:right w:val="single" w:color="auto" w:sz="4" w:space="0"/>
            </w:tcBorders>
            <w:shd w:val="clear" w:color="000000" w:fill="FFFFFF"/>
            <w:vAlign w:val="center"/>
          </w:tcPr>
          <w:p w14:paraId="46CB76C9">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预算收入管理规范性</w:t>
            </w:r>
          </w:p>
        </w:tc>
        <w:tc>
          <w:tcPr>
            <w:tcW w:w="0" w:type="auto"/>
            <w:tcBorders>
              <w:top w:val="nil"/>
              <w:left w:val="nil"/>
              <w:bottom w:val="single" w:color="auto" w:sz="4" w:space="0"/>
              <w:right w:val="single" w:color="auto" w:sz="4" w:space="0"/>
            </w:tcBorders>
            <w:shd w:val="clear" w:color="000000" w:fill="FFFFFF"/>
            <w:vAlign w:val="center"/>
          </w:tcPr>
          <w:p w14:paraId="1D67BB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DEF77E2">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49F099B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F9F198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9417810">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61A783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1454EC9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05B5061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5031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B9A3F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ED4336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7CF328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FB1C30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D2AEE82">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6A669DFF">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DBB3833">
            <w:pPr>
              <w:widowControl/>
              <w:jc w:val="left"/>
              <w:rPr>
                <w:rFonts w:ascii="宋体" w:hAnsi="宋体" w:cs="宋体"/>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7EC68089">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3AD56690">
            <w:pPr>
              <w:widowControl/>
              <w:jc w:val="center"/>
              <w:rPr>
                <w:rFonts w:ascii="宋体" w:hAnsi="宋体" w:cs="宋体"/>
                <w:color w:val="000000"/>
                <w:kern w:val="0"/>
                <w:sz w:val="20"/>
                <w:szCs w:val="20"/>
              </w:rPr>
            </w:pPr>
            <w:r>
              <w:rPr>
                <w:rFonts w:hint="eastAsia" w:ascii="宋体" w:hAnsi="宋体" w:cs="宋体"/>
                <w:color w:val="000000"/>
                <w:kern w:val="0"/>
                <w:sz w:val="20"/>
                <w:szCs w:val="20"/>
              </w:rPr>
              <w:t>预算支出管理规范性</w:t>
            </w:r>
          </w:p>
        </w:tc>
        <w:tc>
          <w:tcPr>
            <w:tcW w:w="0" w:type="auto"/>
            <w:tcBorders>
              <w:top w:val="nil"/>
              <w:left w:val="nil"/>
              <w:bottom w:val="single" w:color="auto" w:sz="4" w:space="0"/>
              <w:right w:val="single" w:color="auto" w:sz="4" w:space="0"/>
            </w:tcBorders>
            <w:shd w:val="clear" w:color="000000" w:fill="FFFFFF"/>
            <w:vAlign w:val="center"/>
          </w:tcPr>
          <w:p w14:paraId="17F6556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526B551">
            <w:pPr>
              <w:widowControl/>
              <w:jc w:val="center"/>
              <w:rPr>
                <w:rFonts w:ascii="宋体" w:hAnsi="宋体" w:cs="宋体"/>
                <w:color w:val="000000"/>
                <w:kern w:val="0"/>
                <w:sz w:val="20"/>
                <w:szCs w:val="20"/>
              </w:rPr>
            </w:pPr>
            <w:r>
              <w:rPr>
                <w:rFonts w:hint="eastAsia" w:ascii="宋体" w:hAnsi="宋体" w:cs="宋体"/>
                <w:color w:val="000000"/>
                <w:kern w:val="0"/>
                <w:sz w:val="20"/>
                <w:szCs w:val="20"/>
              </w:rPr>
              <w:t>管理规范</w:t>
            </w:r>
          </w:p>
        </w:tc>
        <w:tc>
          <w:tcPr>
            <w:tcW w:w="0" w:type="auto"/>
            <w:tcBorders>
              <w:top w:val="nil"/>
              <w:left w:val="nil"/>
              <w:bottom w:val="single" w:color="auto" w:sz="4" w:space="0"/>
              <w:right w:val="single" w:color="auto" w:sz="4" w:space="0"/>
            </w:tcBorders>
            <w:shd w:val="clear" w:color="000000" w:fill="FFFFFF"/>
            <w:vAlign w:val="center"/>
          </w:tcPr>
          <w:p w14:paraId="3D8B8C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9EEE5D1">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33D74973">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5892B23">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282D0BBE">
            <w:pPr>
              <w:widowControl/>
              <w:jc w:val="center"/>
              <w:rPr>
                <w:rFonts w:ascii="宋体" w:hAnsi="宋体" w:cs="宋体"/>
                <w:color w:val="000000"/>
                <w:kern w:val="0"/>
                <w:sz w:val="20"/>
                <w:szCs w:val="20"/>
              </w:rPr>
            </w:pPr>
            <w:r>
              <w:rPr>
                <w:rFonts w:hint="eastAsia" w:ascii="宋体" w:hAnsi="宋体" w:cs="宋体"/>
                <w:color w:val="000000"/>
                <w:kern w:val="0"/>
                <w:sz w:val="20"/>
                <w:szCs w:val="20"/>
              </w:rPr>
              <w:t>0.8</w:t>
            </w:r>
          </w:p>
        </w:tc>
        <w:tc>
          <w:tcPr>
            <w:tcW w:w="0" w:type="auto"/>
            <w:tcBorders>
              <w:top w:val="nil"/>
              <w:left w:val="nil"/>
              <w:bottom w:val="single" w:color="auto" w:sz="4" w:space="0"/>
              <w:right w:val="single" w:color="auto" w:sz="4" w:space="0"/>
            </w:tcBorders>
            <w:shd w:val="clear" w:color="000000" w:fill="FFFFFF"/>
            <w:vAlign w:val="center"/>
          </w:tcPr>
          <w:p w14:paraId="4D53D0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4CE1A3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5E47CC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5E3B8C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574E17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7B8DDB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0020956">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76A4F8E8">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0CE75981">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1B551A37">
            <w:pPr>
              <w:widowControl/>
              <w:jc w:val="center"/>
              <w:rPr>
                <w:rFonts w:ascii="宋体" w:hAnsi="宋体" w:cs="宋体"/>
                <w:color w:val="000000"/>
                <w:kern w:val="0"/>
                <w:sz w:val="20"/>
                <w:szCs w:val="20"/>
              </w:rPr>
            </w:pPr>
            <w:r>
              <w:rPr>
                <w:rFonts w:hint="eastAsia" w:ascii="宋体" w:hAnsi="宋体" w:cs="宋体"/>
                <w:color w:val="000000"/>
                <w:kern w:val="0"/>
                <w:sz w:val="20"/>
                <w:szCs w:val="20"/>
              </w:rPr>
              <w:t>财务管理</w:t>
            </w:r>
          </w:p>
        </w:tc>
        <w:tc>
          <w:tcPr>
            <w:tcW w:w="0" w:type="auto"/>
            <w:tcBorders>
              <w:top w:val="nil"/>
              <w:left w:val="nil"/>
              <w:bottom w:val="single" w:color="auto" w:sz="4" w:space="0"/>
              <w:right w:val="single" w:color="auto" w:sz="4" w:space="0"/>
            </w:tcBorders>
            <w:shd w:val="clear" w:color="000000" w:fill="FFFFFF"/>
            <w:vAlign w:val="center"/>
          </w:tcPr>
          <w:p w14:paraId="3FD194EA">
            <w:pPr>
              <w:widowControl/>
              <w:jc w:val="center"/>
              <w:rPr>
                <w:rFonts w:ascii="宋体" w:hAnsi="宋体" w:cs="宋体"/>
                <w:color w:val="000000"/>
                <w:kern w:val="0"/>
                <w:sz w:val="20"/>
                <w:szCs w:val="20"/>
              </w:rPr>
            </w:pPr>
            <w:r>
              <w:rPr>
                <w:rFonts w:hint="eastAsia" w:ascii="宋体" w:hAnsi="宋体" w:cs="宋体"/>
                <w:color w:val="000000"/>
                <w:kern w:val="0"/>
                <w:sz w:val="20"/>
                <w:szCs w:val="20"/>
              </w:rPr>
              <w:t>内控制度有效性</w:t>
            </w:r>
          </w:p>
        </w:tc>
        <w:tc>
          <w:tcPr>
            <w:tcW w:w="0" w:type="auto"/>
            <w:tcBorders>
              <w:top w:val="nil"/>
              <w:left w:val="nil"/>
              <w:bottom w:val="single" w:color="auto" w:sz="4" w:space="0"/>
              <w:right w:val="single" w:color="auto" w:sz="4" w:space="0"/>
            </w:tcBorders>
            <w:shd w:val="clear" w:color="000000" w:fill="FFFFFF"/>
            <w:vAlign w:val="center"/>
          </w:tcPr>
          <w:p w14:paraId="03ECD87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717B1F5">
            <w:pPr>
              <w:widowControl/>
              <w:jc w:val="center"/>
              <w:rPr>
                <w:rFonts w:ascii="宋体" w:hAnsi="宋体" w:cs="宋体"/>
                <w:color w:val="000000"/>
                <w:kern w:val="0"/>
                <w:sz w:val="20"/>
                <w:szCs w:val="20"/>
              </w:rPr>
            </w:pPr>
            <w:r>
              <w:rPr>
                <w:rFonts w:hint="eastAsia" w:ascii="宋体" w:hAnsi="宋体" w:cs="宋体"/>
                <w:color w:val="000000"/>
                <w:kern w:val="0"/>
                <w:sz w:val="20"/>
                <w:szCs w:val="20"/>
              </w:rPr>
              <w:t>制度有效</w:t>
            </w:r>
          </w:p>
        </w:tc>
        <w:tc>
          <w:tcPr>
            <w:tcW w:w="0" w:type="auto"/>
            <w:tcBorders>
              <w:top w:val="nil"/>
              <w:left w:val="nil"/>
              <w:bottom w:val="single" w:color="auto" w:sz="4" w:space="0"/>
              <w:right w:val="single" w:color="auto" w:sz="4" w:space="0"/>
            </w:tcBorders>
            <w:shd w:val="clear" w:color="000000" w:fill="FFFFFF"/>
            <w:vAlign w:val="center"/>
          </w:tcPr>
          <w:p w14:paraId="5F3B117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722960C">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082ACBDF">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003ADF40">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3CDF2F7A">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527DBB8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79834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8F3D97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26ED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BC473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731039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A8D0C42">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7C4BB35D">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659F5730">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0C02456">
            <w:pPr>
              <w:widowControl/>
              <w:jc w:val="center"/>
              <w:rPr>
                <w:rFonts w:ascii="宋体" w:hAnsi="宋体" w:cs="宋体"/>
                <w:color w:val="000000"/>
                <w:kern w:val="0"/>
                <w:sz w:val="20"/>
                <w:szCs w:val="20"/>
              </w:rPr>
            </w:pPr>
            <w:r>
              <w:rPr>
                <w:rFonts w:hint="eastAsia" w:ascii="宋体" w:hAnsi="宋体" w:cs="宋体"/>
                <w:color w:val="000000"/>
                <w:kern w:val="0"/>
                <w:sz w:val="20"/>
                <w:szCs w:val="20"/>
              </w:rPr>
              <w:t>资产管理</w:t>
            </w:r>
          </w:p>
        </w:tc>
        <w:tc>
          <w:tcPr>
            <w:tcW w:w="0" w:type="auto"/>
            <w:tcBorders>
              <w:top w:val="nil"/>
              <w:left w:val="nil"/>
              <w:bottom w:val="single" w:color="auto" w:sz="4" w:space="0"/>
              <w:right w:val="single" w:color="auto" w:sz="4" w:space="0"/>
            </w:tcBorders>
            <w:shd w:val="clear" w:color="000000" w:fill="FFFFFF"/>
            <w:vAlign w:val="center"/>
          </w:tcPr>
          <w:p w14:paraId="72C328B5">
            <w:pPr>
              <w:widowControl/>
              <w:jc w:val="center"/>
              <w:rPr>
                <w:rFonts w:ascii="宋体" w:hAnsi="宋体" w:cs="宋体"/>
                <w:color w:val="000000"/>
                <w:kern w:val="0"/>
                <w:sz w:val="20"/>
                <w:szCs w:val="20"/>
              </w:rPr>
            </w:pPr>
            <w:r>
              <w:rPr>
                <w:rFonts w:hint="eastAsia" w:ascii="宋体" w:hAnsi="宋体" w:cs="宋体"/>
                <w:color w:val="000000"/>
                <w:kern w:val="0"/>
                <w:sz w:val="20"/>
                <w:szCs w:val="20"/>
              </w:rPr>
              <w:t>固定资产利用率</w:t>
            </w:r>
          </w:p>
        </w:tc>
        <w:tc>
          <w:tcPr>
            <w:tcW w:w="0" w:type="auto"/>
            <w:tcBorders>
              <w:top w:val="nil"/>
              <w:left w:val="nil"/>
              <w:bottom w:val="single" w:color="auto" w:sz="4" w:space="0"/>
              <w:right w:val="single" w:color="auto" w:sz="4" w:space="0"/>
            </w:tcBorders>
            <w:shd w:val="clear" w:color="000000" w:fill="FFFFFF"/>
            <w:vAlign w:val="center"/>
          </w:tcPr>
          <w:p w14:paraId="24D133C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F2C163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6661BBE7">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2216EDCD">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059E6F42">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4769046D">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0B0CDF08">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7BF060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22F650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129BAC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1942DD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025BA6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34169A9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C71973">
        <w:tblPrEx>
          <w:tblCellMar>
            <w:top w:w="0" w:type="dxa"/>
            <w:left w:w="108" w:type="dxa"/>
            <w:bottom w:w="0" w:type="dxa"/>
            <w:right w:w="108" w:type="dxa"/>
          </w:tblCellMar>
        </w:tblPrEx>
        <w:trPr>
          <w:trHeight w:val="1920" w:hRule="atLeast"/>
        </w:trPr>
        <w:tc>
          <w:tcPr>
            <w:tcW w:w="0" w:type="auto"/>
            <w:vMerge w:val="continue"/>
            <w:tcBorders>
              <w:top w:val="nil"/>
              <w:left w:val="single" w:color="auto" w:sz="4" w:space="0"/>
              <w:bottom w:val="nil"/>
              <w:right w:val="single" w:color="auto" w:sz="4" w:space="0"/>
            </w:tcBorders>
            <w:vAlign w:val="center"/>
          </w:tcPr>
          <w:p w14:paraId="65EA3CC4">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BE6D4E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57AA8240">
            <w:pPr>
              <w:widowControl/>
              <w:jc w:val="center"/>
              <w:rPr>
                <w:rFonts w:ascii="宋体" w:hAnsi="宋体" w:cs="宋体"/>
                <w:color w:val="000000"/>
                <w:kern w:val="0"/>
                <w:sz w:val="20"/>
                <w:szCs w:val="20"/>
              </w:rPr>
            </w:pPr>
            <w:r>
              <w:rPr>
                <w:rFonts w:hint="eastAsia" w:ascii="宋体" w:hAnsi="宋体" w:cs="宋体"/>
                <w:color w:val="000000"/>
                <w:kern w:val="0"/>
                <w:sz w:val="20"/>
                <w:szCs w:val="20"/>
              </w:rPr>
              <w:t>业务管理</w:t>
            </w:r>
          </w:p>
        </w:tc>
        <w:tc>
          <w:tcPr>
            <w:tcW w:w="0" w:type="auto"/>
            <w:tcBorders>
              <w:top w:val="nil"/>
              <w:left w:val="nil"/>
              <w:bottom w:val="single" w:color="auto" w:sz="4" w:space="0"/>
              <w:right w:val="single" w:color="auto" w:sz="4" w:space="0"/>
            </w:tcBorders>
            <w:shd w:val="clear" w:color="000000" w:fill="FFFFFF"/>
            <w:vAlign w:val="center"/>
          </w:tcPr>
          <w:p w14:paraId="501E5A58">
            <w:pPr>
              <w:widowControl/>
              <w:jc w:val="center"/>
              <w:rPr>
                <w:rFonts w:ascii="宋体" w:hAnsi="宋体" w:cs="宋体"/>
                <w:color w:val="000000"/>
                <w:kern w:val="0"/>
                <w:sz w:val="20"/>
                <w:szCs w:val="20"/>
              </w:rPr>
            </w:pPr>
            <w:r>
              <w:rPr>
                <w:rFonts w:hint="eastAsia" w:ascii="宋体" w:hAnsi="宋体" w:cs="宋体"/>
                <w:color w:val="000000"/>
                <w:kern w:val="0"/>
                <w:sz w:val="20"/>
                <w:szCs w:val="20"/>
              </w:rPr>
              <w:t>政府采购管理违法违规行为发生次数</w:t>
            </w:r>
          </w:p>
        </w:tc>
        <w:tc>
          <w:tcPr>
            <w:tcW w:w="0" w:type="auto"/>
            <w:tcBorders>
              <w:top w:val="nil"/>
              <w:left w:val="nil"/>
              <w:bottom w:val="single" w:color="auto" w:sz="4" w:space="0"/>
              <w:right w:val="single" w:color="auto" w:sz="4" w:space="0"/>
            </w:tcBorders>
            <w:shd w:val="clear" w:color="000000" w:fill="FFFFFF"/>
            <w:vAlign w:val="center"/>
          </w:tcPr>
          <w:p w14:paraId="18A4803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87B6CAE">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14:paraId="417F2087">
            <w:pPr>
              <w:widowControl/>
              <w:jc w:val="center"/>
              <w:rPr>
                <w:rFonts w:ascii="宋体" w:hAnsi="宋体" w:cs="宋体"/>
                <w:color w:val="000000"/>
                <w:kern w:val="0"/>
                <w:sz w:val="20"/>
                <w:szCs w:val="20"/>
              </w:rPr>
            </w:pPr>
            <w:r>
              <w:rPr>
                <w:rFonts w:hint="eastAsia" w:ascii="宋体" w:hAnsi="宋体" w:cs="宋体"/>
                <w:color w:val="000000"/>
                <w:kern w:val="0"/>
                <w:sz w:val="20"/>
                <w:szCs w:val="20"/>
              </w:rPr>
              <w:t>次</w:t>
            </w:r>
          </w:p>
        </w:tc>
        <w:tc>
          <w:tcPr>
            <w:tcW w:w="0" w:type="auto"/>
            <w:tcBorders>
              <w:top w:val="nil"/>
              <w:left w:val="nil"/>
              <w:bottom w:val="single" w:color="auto" w:sz="4" w:space="0"/>
              <w:right w:val="single" w:color="auto" w:sz="4" w:space="0"/>
            </w:tcBorders>
            <w:shd w:val="clear" w:color="000000" w:fill="FFFFFF"/>
            <w:vAlign w:val="center"/>
          </w:tcPr>
          <w:p w14:paraId="2493329F">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0" w:type="auto"/>
            <w:tcBorders>
              <w:top w:val="nil"/>
              <w:left w:val="nil"/>
              <w:bottom w:val="single" w:color="auto" w:sz="4" w:space="0"/>
              <w:right w:val="single" w:color="auto" w:sz="4" w:space="0"/>
            </w:tcBorders>
            <w:shd w:val="clear" w:color="000000" w:fill="FFFFFF"/>
            <w:vAlign w:val="center"/>
          </w:tcPr>
          <w:p w14:paraId="7C865C5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5227D856">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4800FA51">
            <w:pPr>
              <w:widowControl/>
              <w:jc w:val="center"/>
              <w:rPr>
                <w:rFonts w:ascii="宋体" w:hAnsi="宋体" w:cs="宋体"/>
                <w:color w:val="000000"/>
                <w:kern w:val="0"/>
                <w:sz w:val="20"/>
                <w:szCs w:val="20"/>
              </w:rPr>
            </w:pPr>
            <w:r>
              <w:rPr>
                <w:rFonts w:hint="eastAsia" w:ascii="宋体" w:hAnsi="宋体" w:cs="宋体"/>
                <w:color w:val="000000"/>
                <w:kern w:val="0"/>
                <w:sz w:val="20"/>
                <w:szCs w:val="20"/>
              </w:rPr>
              <w:t>0.7</w:t>
            </w:r>
          </w:p>
        </w:tc>
        <w:tc>
          <w:tcPr>
            <w:tcW w:w="0" w:type="auto"/>
            <w:tcBorders>
              <w:top w:val="nil"/>
              <w:left w:val="nil"/>
              <w:bottom w:val="single" w:color="auto" w:sz="4" w:space="0"/>
              <w:right w:val="single" w:color="auto" w:sz="4" w:space="0"/>
            </w:tcBorders>
            <w:shd w:val="clear" w:color="000000" w:fill="FFFFFF"/>
            <w:vAlign w:val="center"/>
          </w:tcPr>
          <w:p w14:paraId="28D06D5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582D3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68C604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EF9B7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8646C2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7E7D8D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54B910A">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57DE237D">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6C9E9F69">
            <w:pPr>
              <w:widowControl/>
              <w:jc w:val="center"/>
              <w:rPr>
                <w:rFonts w:ascii="宋体" w:hAnsi="宋体" w:cs="宋体"/>
                <w:color w:val="000000"/>
                <w:kern w:val="0"/>
                <w:sz w:val="20"/>
                <w:szCs w:val="20"/>
              </w:rPr>
            </w:pPr>
            <w:r>
              <w:rPr>
                <w:rFonts w:hint="eastAsia" w:ascii="宋体" w:hAnsi="宋体" w:cs="宋体"/>
                <w:color w:val="000000"/>
                <w:kern w:val="0"/>
                <w:sz w:val="20"/>
                <w:szCs w:val="20"/>
              </w:rPr>
              <w:t>运行成本</w:t>
            </w:r>
          </w:p>
        </w:tc>
        <w:tc>
          <w:tcPr>
            <w:tcW w:w="0" w:type="auto"/>
            <w:tcBorders>
              <w:top w:val="nil"/>
              <w:left w:val="nil"/>
              <w:bottom w:val="single" w:color="auto" w:sz="4" w:space="0"/>
              <w:right w:val="single" w:color="auto" w:sz="4" w:space="0"/>
            </w:tcBorders>
            <w:shd w:val="clear" w:color="000000" w:fill="FFFFFF"/>
            <w:vAlign w:val="center"/>
          </w:tcPr>
          <w:p w14:paraId="6F826BD0">
            <w:pPr>
              <w:widowControl/>
              <w:jc w:val="center"/>
              <w:rPr>
                <w:rFonts w:ascii="宋体" w:hAnsi="宋体" w:cs="宋体"/>
                <w:color w:val="000000"/>
                <w:kern w:val="0"/>
                <w:sz w:val="20"/>
                <w:szCs w:val="20"/>
              </w:rPr>
            </w:pPr>
            <w:r>
              <w:rPr>
                <w:rFonts w:hint="eastAsia" w:ascii="宋体" w:hAnsi="宋体" w:cs="宋体"/>
                <w:color w:val="000000"/>
                <w:kern w:val="0"/>
                <w:sz w:val="20"/>
                <w:szCs w:val="20"/>
              </w:rPr>
              <w:t>成本控制成效</w:t>
            </w:r>
          </w:p>
        </w:tc>
        <w:tc>
          <w:tcPr>
            <w:tcW w:w="0" w:type="auto"/>
            <w:tcBorders>
              <w:top w:val="nil"/>
              <w:left w:val="nil"/>
              <w:bottom w:val="single" w:color="auto" w:sz="4" w:space="0"/>
              <w:right w:val="single" w:color="auto" w:sz="4" w:space="0"/>
            </w:tcBorders>
            <w:shd w:val="clear" w:color="000000" w:fill="FFFFFF"/>
            <w:vAlign w:val="center"/>
          </w:tcPr>
          <w:p w14:paraId="2145AE26">
            <w:pPr>
              <w:widowControl/>
              <w:jc w:val="center"/>
              <w:rPr>
                <w:rFonts w:ascii="宋体" w:hAnsi="宋体" w:cs="宋体"/>
                <w:color w:val="000000"/>
                <w:kern w:val="0"/>
                <w:sz w:val="20"/>
                <w:szCs w:val="20"/>
              </w:rPr>
            </w:pPr>
            <w:r>
              <w:rPr>
                <w:rFonts w:hint="eastAsia" w:ascii="宋体" w:hAnsi="宋体" w:cs="宋体"/>
                <w:color w:val="000000"/>
                <w:kern w:val="0"/>
                <w:sz w:val="20"/>
                <w:szCs w:val="20"/>
              </w:rPr>
              <w:t>在职人员控制率</w:t>
            </w:r>
          </w:p>
        </w:tc>
        <w:tc>
          <w:tcPr>
            <w:tcW w:w="0" w:type="auto"/>
            <w:tcBorders>
              <w:top w:val="nil"/>
              <w:left w:val="nil"/>
              <w:bottom w:val="single" w:color="auto" w:sz="4" w:space="0"/>
              <w:right w:val="single" w:color="auto" w:sz="4" w:space="0"/>
            </w:tcBorders>
            <w:shd w:val="clear" w:color="000000" w:fill="FFFFFF"/>
            <w:vAlign w:val="center"/>
          </w:tcPr>
          <w:p w14:paraId="5C8F5690">
            <w:pPr>
              <w:widowControl/>
              <w:jc w:val="center"/>
              <w:rPr>
                <w:rFonts w:ascii="宋体" w:hAnsi="宋体" w:cs="宋体"/>
                <w:color w:val="000000"/>
                <w:kern w:val="0"/>
                <w:sz w:val="20"/>
                <w:szCs w:val="20"/>
              </w:rPr>
            </w:pPr>
            <w:r>
              <w:rPr>
                <w:rFonts w:hint="eastAsia" w:ascii="宋体" w:hAnsi="宋体" w:cs="宋体"/>
                <w:color w:val="000000"/>
                <w:kern w:val="0"/>
                <w:sz w:val="20"/>
                <w:szCs w:val="20"/>
              </w:rPr>
              <w:t>&lt;=</w:t>
            </w:r>
          </w:p>
        </w:tc>
        <w:tc>
          <w:tcPr>
            <w:tcW w:w="0" w:type="auto"/>
            <w:tcBorders>
              <w:top w:val="nil"/>
              <w:left w:val="nil"/>
              <w:bottom w:val="single" w:color="auto" w:sz="4" w:space="0"/>
              <w:right w:val="single" w:color="auto" w:sz="4" w:space="0"/>
            </w:tcBorders>
            <w:shd w:val="clear" w:color="000000" w:fill="FFFFFF"/>
            <w:vAlign w:val="center"/>
          </w:tcPr>
          <w:p w14:paraId="35343919">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27B8FD3D">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1CF59205">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0" w:type="auto"/>
            <w:tcBorders>
              <w:top w:val="nil"/>
              <w:left w:val="nil"/>
              <w:bottom w:val="single" w:color="auto" w:sz="4" w:space="0"/>
              <w:right w:val="single" w:color="auto" w:sz="4" w:space="0"/>
            </w:tcBorders>
            <w:shd w:val="clear" w:color="000000" w:fill="FFFFFF"/>
            <w:vAlign w:val="center"/>
          </w:tcPr>
          <w:p w14:paraId="538E2D2C">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18418758">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0129FF64">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5B1340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2473B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A3973A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D1DA90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A40331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66BA887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BC36205">
        <w:tblPrEx>
          <w:tblCellMar>
            <w:top w:w="0" w:type="dxa"/>
            <w:left w:w="108" w:type="dxa"/>
            <w:bottom w:w="0" w:type="dxa"/>
            <w:right w:w="108" w:type="dxa"/>
          </w:tblCellMar>
        </w:tblPrEx>
        <w:trPr>
          <w:trHeight w:val="960" w:hRule="atLeast"/>
        </w:trPr>
        <w:tc>
          <w:tcPr>
            <w:tcW w:w="0" w:type="auto"/>
            <w:vMerge w:val="continue"/>
            <w:tcBorders>
              <w:top w:val="nil"/>
              <w:left w:val="single" w:color="auto" w:sz="4" w:space="0"/>
              <w:bottom w:val="nil"/>
              <w:right w:val="single" w:color="auto" w:sz="4" w:space="0"/>
            </w:tcBorders>
            <w:vAlign w:val="center"/>
          </w:tcPr>
          <w:p w14:paraId="6A3EB09D">
            <w:pPr>
              <w:widowControl/>
              <w:jc w:val="left"/>
              <w:rPr>
                <w:rFonts w:ascii="宋体" w:hAnsi="宋体" w:cs="宋体"/>
                <w:b/>
                <w:bCs/>
                <w:color w:val="000000"/>
                <w:kern w:val="0"/>
                <w:sz w:val="20"/>
                <w:szCs w:val="20"/>
              </w:rPr>
            </w:pPr>
          </w:p>
        </w:tc>
        <w:tc>
          <w:tcPr>
            <w:tcW w:w="0" w:type="auto"/>
            <w:vMerge w:val="restart"/>
            <w:tcBorders>
              <w:top w:val="nil"/>
              <w:left w:val="single" w:color="auto" w:sz="4" w:space="0"/>
              <w:bottom w:val="single" w:color="auto" w:sz="4" w:space="0"/>
              <w:right w:val="single" w:color="auto" w:sz="4" w:space="0"/>
            </w:tcBorders>
            <w:shd w:val="clear" w:color="000000" w:fill="FFFFFF"/>
            <w:vAlign w:val="center"/>
          </w:tcPr>
          <w:p w14:paraId="19C86986">
            <w:pPr>
              <w:widowControl/>
              <w:jc w:val="center"/>
              <w:rPr>
                <w:rFonts w:ascii="宋体" w:hAnsi="宋体" w:cs="宋体"/>
                <w:color w:val="000000"/>
                <w:kern w:val="0"/>
                <w:sz w:val="20"/>
                <w:szCs w:val="20"/>
              </w:rPr>
            </w:pPr>
            <w:r>
              <w:rPr>
                <w:rFonts w:hint="eastAsia" w:ascii="宋体" w:hAnsi="宋体" w:cs="宋体"/>
                <w:color w:val="000000"/>
                <w:kern w:val="0"/>
                <w:sz w:val="20"/>
                <w:szCs w:val="20"/>
              </w:rPr>
              <w:t>社会效应</w:t>
            </w:r>
          </w:p>
        </w:tc>
        <w:tc>
          <w:tcPr>
            <w:tcW w:w="0" w:type="auto"/>
            <w:tcBorders>
              <w:top w:val="nil"/>
              <w:left w:val="nil"/>
              <w:bottom w:val="single" w:color="auto" w:sz="4" w:space="0"/>
              <w:right w:val="single" w:color="auto" w:sz="4" w:space="0"/>
            </w:tcBorders>
            <w:shd w:val="clear" w:color="000000" w:fill="FFFFFF"/>
            <w:vAlign w:val="center"/>
          </w:tcPr>
          <w:p w14:paraId="105585E8">
            <w:pPr>
              <w:widowControl/>
              <w:jc w:val="center"/>
              <w:rPr>
                <w:rFonts w:ascii="宋体" w:hAnsi="宋体" w:cs="宋体"/>
                <w:color w:val="000000"/>
                <w:kern w:val="0"/>
                <w:sz w:val="20"/>
                <w:szCs w:val="20"/>
              </w:rPr>
            </w:pPr>
            <w:r>
              <w:rPr>
                <w:rFonts w:hint="eastAsia" w:ascii="宋体" w:hAnsi="宋体" w:cs="宋体"/>
                <w:color w:val="000000"/>
                <w:kern w:val="0"/>
                <w:sz w:val="20"/>
                <w:szCs w:val="20"/>
              </w:rPr>
              <w:t>服务对象满意度</w:t>
            </w:r>
          </w:p>
        </w:tc>
        <w:tc>
          <w:tcPr>
            <w:tcW w:w="0" w:type="auto"/>
            <w:tcBorders>
              <w:top w:val="nil"/>
              <w:left w:val="nil"/>
              <w:bottom w:val="single" w:color="auto" w:sz="4" w:space="0"/>
              <w:right w:val="single" w:color="auto" w:sz="4" w:space="0"/>
            </w:tcBorders>
            <w:shd w:val="clear" w:color="000000" w:fill="FFFFFF"/>
            <w:vAlign w:val="center"/>
          </w:tcPr>
          <w:p w14:paraId="4EAD5DEA">
            <w:pPr>
              <w:widowControl/>
              <w:jc w:val="center"/>
              <w:rPr>
                <w:rFonts w:ascii="宋体" w:hAnsi="宋体" w:cs="宋体"/>
                <w:color w:val="000000"/>
                <w:kern w:val="0"/>
                <w:sz w:val="20"/>
                <w:szCs w:val="20"/>
              </w:rPr>
            </w:pPr>
            <w:r>
              <w:rPr>
                <w:rFonts w:hint="eastAsia" w:ascii="宋体" w:hAnsi="宋体" w:cs="宋体"/>
                <w:color w:val="000000"/>
                <w:kern w:val="0"/>
                <w:sz w:val="20"/>
                <w:szCs w:val="20"/>
              </w:rPr>
              <w:t>客户满意度</w:t>
            </w:r>
          </w:p>
        </w:tc>
        <w:tc>
          <w:tcPr>
            <w:tcW w:w="0" w:type="auto"/>
            <w:tcBorders>
              <w:top w:val="nil"/>
              <w:left w:val="nil"/>
              <w:bottom w:val="single" w:color="auto" w:sz="4" w:space="0"/>
              <w:right w:val="single" w:color="auto" w:sz="4" w:space="0"/>
            </w:tcBorders>
            <w:shd w:val="clear" w:color="000000" w:fill="FFFFFF"/>
            <w:vAlign w:val="center"/>
          </w:tcPr>
          <w:p w14:paraId="5BE83BC7">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F05A235">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3C7E7A1E">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5F0C12F">
            <w:pPr>
              <w:widowControl/>
              <w:jc w:val="center"/>
              <w:rPr>
                <w:rFonts w:ascii="宋体" w:hAnsi="宋体" w:cs="宋体"/>
                <w:color w:val="000000"/>
                <w:kern w:val="0"/>
                <w:sz w:val="20"/>
                <w:szCs w:val="20"/>
              </w:rPr>
            </w:pPr>
            <w:r>
              <w:rPr>
                <w:rFonts w:hint="eastAsia" w:ascii="宋体" w:hAnsi="宋体" w:cs="宋体"/>
                <w:color w:val="000000"/>
                <w:kern w:val="0"/>
                <w:sz w:val="20"/>
                <w:szCs w:val="20"/>
              </w:rPr>
              <w:t>96</w:t>
            </w:r>
          </w:p>
        </w:tc>
        <w:tc>
          <w:tcPr>
            <w:tcW w:w="0" w:type="auto"/>
            <w:tcBorders>
              <w:top w:val="nil"/>
              <w:left w:val="nil"/>
              <w:bottom w:val="single" w:color="auto" w:sz="4" w:space="0"/>
              <w:right w:val="single" w:color="auto" w:sz="4" w:space="0"/>
            </w:tcBorders>
            <w:shd w:val="clear" w:color="000000" w:fill="FFFFFF"/>
            <w:vAlign w:val="center"/>
          </w:tcPr>
          <w:p w14:paraId="4B1E2929">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6A288D46">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754653AF">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338B3DE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389656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68F0EF2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5042B75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EC776E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6A8535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9469B1F">
        <w:tblPrEx>
          <w:tblCellMar>
            <w:top w:w="0" w:type="dxa"/>
            <w:left w:w="108" w:type="dxa"/>
            <w:bottom w:w="0" w:type="dxa"/>
            <w:right w:w="108" w:type="dxa"/>
          </w:tblCellMar>
        </w:tblPrEx>
        <w:trPr>
          <w:trHeight w:val="1200" w:hRule="atLeast"/>
        </w:trPr>
        <w:tc>
          <w:tcPr>
            <w:tcW w:w="0" w:type="auto"/>
            <w:vMerge w:val="continue"/>
            <w:tcBorders>
              <w:top w:val="nil"/>
              <w:left w:val="single" w:color="auto" w:sz="4" w:space="0"/>
              <w:bottom w:val="nil"/>
              <w:right w:val="single" w:color="auto" w:sz="4" w:space="0"/>
            </w:tcBorders>
            <w:vAlign w:val="center"/>
          </w:tcPr>
          <w:p w14:paraId="6667A20C">
            <w:pPr>
              <w:widowControl/>
              <w:jc w:val="left"/>
              <w:rPr>
                <w:rFonts w:ascii="宋体" w:hAnsi="宋体" w:cs="宋体"/>
                <w:b/>
                <w:bCs/>
                <w:color w:val="000000"/>
                <w:kern w:val="0"/>
                <w:sz w:val="20"/>
                <w:szCs w:val="20"/>
              </w:rPr>
            </w:pPr>
          </w:p>
        </w:tc>
        <w:tc>
          <w:tcPr>
            <w:tcW w:w="0" w:type="auto"/>
            <w:vMerge w:val="continue"/>
            <w:tcBorders>
              <w:top w:val="nil"/>
              <w:left w:val="single" w:color="auto" w:sz="4" w:space="0"/>
              <w:bottom w:val="single" w:color="auto" w:sz="4" w:space="0"/>
              <w:right w:val="single" w:color="auto" w:sz="4" w:space="0"/>
            </w:tcBorders>
            <w:vAlign w:val="center"/>
          </w:tcPr>
          <w:p w14:paraId="3F144CFD">
            <w:pPr>
              <w:widowControl/>
              <w:jc w:val="left"/>
              <w:rPr>
                <w:rFonts w:ascii="宋体" w:hAnsi="宋体" w:cs="宋体"/>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4BF36E78">
            <w:pPr>
              <w:widowControl/>
              <w:jc w:val="center"/>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0" w:type="auto"/>
            <w:tcBorders>
              <w:top w:val="nil"/>
              <w:left w:val="nil"/>
              <w:bottom w:val="single" w:color="auto" w:sz="4" w:space="0"/>
              <w:right w:val="single" w:color="auto" w:sz="4" w:space="0"/>
            </w:tcBorders>
            <w:shd w:val="clear" w:color="000000" w:fill="FFFFFF"/>
            <w:vAlign w:val="center"/>
          </w:tcPr>
          <w:p w14:paraId="1FF9A54D">
            <w:pPr>
              <w:widowControl/>
              <w:jc w:val="center"/>
              <w:rPr>
                <w:rFonts w:ascii="宋体" w:hAnsi="宋体" w:cs="宋体"/>
                <w:color w:val="000000"/>
                <w:kern w:val="0"/>
                <w:sz w:val="20"/>
                <w:szCs w:val="20"/>
              </w:rPr>
            </w:pPr>
            <w:r>
              <w:rPr>
                <w:rFonts w:hint="eastAsia" w:ascii="宋体" w:hAnsi="宋体" w:cs="宋体"/>
                <w:color w:val="000000"/>
                <w:kern w:val="0"/>
                <w:sz w:val="20"/>
                <w:szCs w:val="20"/>
              </w:rPr>
              <w:t>上级主管部门满意度</w:t>
            </w:r>
          </w:p>
        </w:tc>
        <w:tc>
          <w:tcPr>
            <w:tcW w:w="0" w:type="auto"/>
            <w:tcBorders>
              <w:top w:val="nil"/>
              <w:left w:val="nil"/>
              <w:bottom w:val="single" w:color="auto" w:sz="4" w:space="0"/>
              <w:right w:val="single" w:color="auto" w:sz="4" w:space="0"/>
            </w:tcBorders>
            <w:shd w:val="clear" w:color="000000" w:fill="FFFFFF"/>
            <w:vAlign w:val="center"/>
          </w:tcPr>
          <w:p w14:paraId="2A07AC12">
            <w:pPr>
              <w:widowControl/>
              <w:jc w:val="center"/>
              <w:rPr>
                <w:rFonts w:ascii="宋体" w:hAnsi="宋体" w:cs="宋体"/>
                <w:color w:val="000000"/>
                <w:kern w:val="0"/>
                <w:sz w:val="20"/>
                <w:szCs w:val="20"/>
              </w:rPr>
            </w:pPr>
            <w:r>
              <w:rPr>
                <w:rFonts w:hint="eastAsia" w:ascii="宋体" w:hAnsi="宋体" w:cs="宋体"/>
                <w:color w:val="000000"/>
                <w:kern w:val="0"/>
                <w:sz w:val="20"/>
                <w:szCs w:val="20"/>
              </w:rPr>
              <w:t>&gt;=</w:t>
            </w:r>
          </w:p>
        </w:tc>
        <w:tc>
          <w:tcPr>
            <w:tcW w:w="0" w:type="auto"/>
            <w:tcBorders>
              <w:top w:val="nil"/>
              <w:left w:val="nil"/>
              <w:bottom w:val="single" w:color="auto" w:sz="4" w:space="0"/>
              <w:right w:val="single" w:color="auto" w:sz="4" w:space="0"/>
            </w:tcBorders>
            <w:shd w:val="clear" w:color="000000" w:fill="FFFFFF"/>
            <w:vAlign w:val="center"/>
          </w:tcPr>
          <w:p w14:paraId="0DA0C3F6">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0" w:type="auto"/>
            <w:tcBorders>
              <w:top w:val="nil"/>
              <w:left w:val="nil"/>
              <w:bottom w:val="single" w:color="auto" w:sz="4" w:space="0"/>
              <w:right w:val="single" w:color="auto" w:sz="4" w:space="0"/>
            </w:tcBorders>
            <w:shd w:val="clear" w:color="000000" w:fill="FFFFFF"/>
            <w:vAlign w:val="center"/>
          </w:tcPr>
          <w:p w14:paraId="7A1F5E16">
            <w:pPr>
              <w:widowControl/>
              <w:jc w:val="center"/>
              <w:rPr>
                <w:rFonts w:ascii="宋体" w:hAnsi="宋体" w:cs="宋体"/>
                <w:color w:val="000000"/>
                <w:kern w:val="0"/>
                <w:sz w:val="20"/>
                <w:szCs w:val="20"/>
              </w:rPr>
            </w:pPr>
            <w:r>
              <w:rPr>
                <w:rFonts w:hint="eastAsia" w:ascii="宋体" w:hAnsi="宋体" w:cs="宋体"/>
                <w:color w:val="000000"/>
                <w:kern w:val="0"/>
                <w:sz w:val="20"/>
                <w:szCs w:val="20"/>
              </w:rPr>
              <w:t>%</w:t>
            </w:r>
          </w:p>
        </w:tc>
        <w:tc>
          <w:tcPr>
            <w:tcW w:w="0" w:type="auto"/>
            <w:tcBorders>
              <w:top w:val="nil"/>
              <w:left w:val="nil"/>
              <w:bottom w:val="single" w:color="auto" w:sz="4" w:space="0"/>
              <w:right w:val="single" w:color="auto" w:sz="4" w:space="0"/>
            </w:tcBorders>
            <w:shd w:val="clear" w:color="000000" w:fill="FFFFFF"/>
            <w:vAlign w:val="center"/>
          </w:tcPr>
          <w:p w14:paraId="52B77B57">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0" w:type="auto"/>
            <w:tcBorders>
              <w:top w:val="nil"/>
              <w:left w:val="nil"/>
              <w:bottom w:val="single" w:color="auto" w:sz="4" w:space="0"/>
              <w:right w:val="single" w:color="auto" w:sz="4" w:space="0"/>
            </w:tcBorders>
            <w:shd w:val="clear" w:color="000000" w:fill="FFFFFF"/>
            <w:vAlign w:val="center"/>
          </w:tcPr>
          <w:p w14:paraId="6B7897E7">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827B4FA">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493FB40B">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0" w:type="auto"/>
            <w:tcBorders>
              <w:top w:val="nil"/>
              <w:left w:val="nil"/>
              <w:bottom w:val="single" w:color="auto" w:sz="4" w:space="0"/>
              <w:right w:val="single" w:color="auto" w:sz="4" w:space="0"/>
            </w:tcBorders>
            <w:shd w:val="clear" w:color="000000" w:fill="FFFFFF"/>
            <w:vAlign w:val="center"/>
          </w:tcPr>
          <w:p w14:paraId="17C944D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4068758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0725FA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422EE2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40D5C1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19622E7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0F32C1F">
        <w:tblPrEx>
          <w:tblCellMar>
            <w:top w:w="0" w:type="dxa"/>
            <w:left w:w="108" w:type="dxa"/>
            <w:bottom w:w="0" w:type="dxa"/>
            <w:right w:w="108" w:type="dxa"/>
          </w:tblCellMar>
        </w:tblPrEx>
        <w:trPr>
          <w:trHeight w:val="2400" w:hRule="atLeast"/>
        </w:trPr>
        <w:tc>
          <w:tcPr>
            <w:tcW w:w="0" w:type="auto"/>
            <w:vMerge w:val="continue"/>
            <w:tcBorders>
              <w:top w:val="nil"/>
              <w:left w:val="single" w:color="auto" w:sz="4" w:space="0"/>
              <w:bottom w:val="nil"/>
              <w:right w:val="single" w:color="auto" w:sz="4" w:space="0"/>
            </w:tcBorders>
            <w:vAlign w:val="center"/>
          </w:tcPr>
          <w:p w14:paraId="04D91ABA">
            <w:pPr>
              <w:widowControl/>
              <w:jc w:val="left"/>
              <w:rPr>
                <w:rFonts w:ascii="宋体" w:hAnsi="宋体" w:cs="宋体"/>
                <w:b/>
                <w:bCs/>
                <w:color w:val="000000"/>
                <w:kern w:val="0"/>
                <w:sz w:val="20"/>
                <w:szCs w:val="20"/>
              </w:rPr>
            </w:pPr>
          </w:p>
        </w:tc>
        <w:tc>
          <w:tcPr>
            <w:tcW w:w="0" w:type="auto"/>
            <w:tcBorders>
              <w:top w:val="nil"/>
              <w:left w:val="nil"/>
              <w:bottom w:val="single" w:color="auto" w:sz="4" w:space="0"/>
              <w:right w:val="single" w:color="auto" w:sz="4" w:space="0"/>
            </w:tcBorders>
            <w:shd w:val="clear" w:color="000000" w:fill="FFFFFF"/>
            <w:vAlign w:val="center"/>
          </w:tcPr>
          <w:p w14:paraId="71564E2F">
            <w:pPr>
              <w:widowControl/>
              <w:jc w:val="center"/>
              <w:rPr>
                <w:rFonts w:ascii="宋体" w:hAnsi="宋体" w:cs="宋体"/>
                <w:color w:val="000000"/>
                <w:kern w:val="0"/>
                <w:sz w:val="20"/>
                <w:szCs w:val="20"/>
              </w:rPr>
            </w:pPr>
            <w:r>
              <w:rPr>
                <w:rFonts w:hint="eastAsia" w:ascii="宋体" w:hAnsi="宋体" w:cs="宋体"/>
                <w:color w:val="000000"/>
                <w:kern w:val="0"/>
                <w:sz w:val="20"/>
                <w:szCs w:val="20"/>
              </w:rPr>
              <w:t>可持续性</w:t>
            </w:r>
          </w:p>
        </w:tc>
        <w:tc>
          <w:tcPr>
            <w:tcW w:w="0" w:type="auto"/>
            <w:tcBorders>
              <w:top w:val="nil"/>
              <w:left w:val="nil"/>
              <w:bottom w:val="single" w:color="auto" w:sz="4" w:space="0"/>
              <w:right w:val="single" w:color="auto" w:sz="4" w:space="0"/>
            </w:tcBorders>
            <w:shd w:val="clear" w:color="000000" w:fill="FFFFFF"/>
            <w:vAlign w:val="center"/>
          </w:tcPr>
          <w:p w14:paraId="0E989EE4">
            <w:pPr>
              <w:widowControl/>
              <w:jc w:val="center"/>
              <w:rPr>
                <w:rFonts w:ascii="宋体" w:hAnsi="宋体" w:cs="宋体"/>
                <w:color w:val="000000"/>
                <w:kern w:val="0"/>
                <w:sz w:val="20"/>
                <w:szCs w:val="20"/>
              </w:rPr>
            </w:pPr>
            <w:r>
              <w:rPr>
                <w:rFonts w:hint="eastAsia" w:ascii="宋体" w:hAnsi="宋体" w:cs="宋体"/>
                <w:color w:val="000000"/>
                <w:kern w:val="0"/>
                <w:sz w:val="20"/>
                <w:szCs w:val="20"/>
              </w:rPr>
              <w:t>体制机制改革</w:t>
            </w:r>
          </w:p>
        </w:tc>
        <w:tc>
          <w:tcPr>
            <w:tcW w:w="0" w:type="auto"/>
            <w:tcBorders>
              <w:top w:val="nil"/>
              <w:left w:val="nil"/>
              <w:bottom w:val="single" w:color="auto" w:sz="4" w:space="0"/>
              <w:right w:val="single" w:color="auto" w:sz="4" w:space="0"/>
            </w:tcBorders>
            <w:shd w:val="clear" w:color="000000" w:fill="FFFFFF"/>
            <w:vAlign w:val="center"/>
          </w:tcPr>
          <w:p w14:paraId="575B5869">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建立制度规范档案管理</w:t>
            </w:r>
          </w:p>
        </w:tc>
        <w:tc>
          <w:tcPr>
            <w:tcW w:w="0" w:type="auto"/>
            <w:tcBorders>
              <w:top w:val="nil"/>
              <w:left w:val="nil"/>
              <w:bottom w:val="single" w:color="auto" w:sz="4" w:space="0"/>
              <w:right w:val="single" w:color="auto" w:sz="4" w:space="0"/>
            </w:tcBorders>
            <w:shd w:val="clear" w:color="000000" w:fill="FFFFFF"/>
            <w:vAlign w:val="center"/>
          </w:tcPr>
          <w:p w14:paraId="6A4167A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630C5E6">
            <w:pPr>
              <w:widowControl/>
              <w:jc w:val="center"/>
              <w:rPr>
                <w:rFonts w:ascii="宋体" w:hAnsi="宋体" w:cs="宋体"/>
                <w:color w:val="000000"/>
                <w:kern w:val="0"/>
                <w:sz w:val="20"/>
                <w:szCs w:val="20"/>
              </w:rPr>
            </w:pPr>
            <w:r>
              <w:rPr>
                <w:rFonts w:hint="eastAsia" w:ascii="宋体" w:hAnsi="宋体" w:cs="宋体"/>
                <w:color w:val="000000"/>
                <w:kern w:val="0"/>
                <w:sz w:val="20"/>
                <w:szCs w:val="20"/>
              </w:rPr>
              <w:t>建立健全</w:t>
            </w:r>
          </w:p>
        </w:tc>
        <w:tc>
          <w:tcPr>
            <w:tcW w:w="0" w:type="auto"/>
            <w:tcBorders>
              <w:top w:val="nil"/>
              <w:left w:val="nil"/>
              <w:bottom w:val="single" w:color="auto" w:sz="4" w:space="0"/>
              <w:right w:val="single" w:color="auto" w:sz="4" w:space="0"/>
            </w:tcBorders>
            <w:shd w:val="clear" w:color="000000" w:fill="FFFFFF"/>
            <w:vAlign w:val="center"/>
          </w:tcPr>
          <w:p w14:paraId="11D411F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1B85E453">
            <w:pPr>
              <w:widowControl/>
              <w:jc w:val="center"/>
              <w:rPr>
                <w:rFonts w:ascii="宋体" w:hAnsi="宋体" w:cs="宋体"/>
                <w:color w:val="000000"/>
                <w:kern w:val="0"/>
                <w:sz w:val="20"/>
                <w:szCs w:val="20"/>
              </w:rPr>
            </w:pPr>
            <w:r>
              <w:rPr>
                <w:rFonts w:hint="eastAsia" w:ascii="宋体" w:hAnsi="宋体" w:cs="宋体"/>
                <w:color w:val="000000"/>
                <w:kern w:val="0"/>
                <w:sz w:val="20"/>
                <w:szCs w:val="20"/>
              </w:rPr>
              <w:t>全部或基本达成预期指标100%-80%（含）</w:t>
            </w:r>
          </w:p>
        </w:tc>
        <w:tc>
          <w:tcPr>
            <w:tcW w:w="0" w:type="auto"/>
            <w:tcBorders>
              <w:top w:val="nil"/>
              <w:left w:val="nil"/>
              <w:bottom w:val="single" w:color="auto" w:sz="4" w:space="0"/>
              <w:right w:val="single" w:color="auto" w:sz="4" w:space="0"/>
            </w:tcBorders>
            <w:shd w:val="clear" w:color="000000" w:fill="FFFFFF"/>
            <w:vAlign w:val="center"/>
          </w:tcPr>
          <w:p w14:paraId="15F68BC8">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0" w:type="auto"/>
            <w:tcBorders>
              <w:top w:val="nil"/>
              <w:left w:val="nil"/>
              <w:bottom w:val="single" w:color="auto" w:sz="4" w:space="0"/>
              <w:right w:val="single" w:color="auto" w:sz="4" w:space="0"/>
            </w:tcBorders>
            <w:shd w:val="clear" w:color="000000" w:fill="FFFFFF"/>
            <w:vAlign w:val="center"/>
          </w:tcPr>
          <w:p w14:paraId="2E867AEB">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CCA93EE">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0" w:type="auto"/>
            <w:tcBorders>
              <w:top w:val="nil"/>
              <w:left w:val="nil"/>
              <w:bottom w:val="single" w:color="auto" w:sz="4" w:space="0"/>
              <w:right w:val="single" w:color="auto" w:sz="4" w:space="0"/>
            </w:tcBorders>
            <w:shd w:val="clear" w:color="000000" w:fill="FFFFFF"/>
            <w:vAlign w:val="center"/>
          </w:tcPr>
          <w:p w14:paraId="316AA6B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25D5F6A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193EF4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76A2F77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tcBorders>
              <w:top w:val="nil"/>
              <w:left w:val="nil"/>
              <w:bottom w:val="single" w:color="auto" w:sz="4" w:space="0"/>
              <w:right w:val="single" w:color="auto" w:sz="4" w:space="0"/>
            </w:tcBorders>
            <w:shd w:val="clear" w:color="000000" w:fill="FFFFFF"/>
            <w:vAlign w:val="center"/>
          </w:tcPr>
          <w:p w14:paraId="00DB595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0" w:type="auto"/>
            <w:gridSpan w:val="3"/>
            <w:tcBorders>
              <w:top w:val="single" w:color="auto" w:sz="4" w:space="0"/>
              <w:left w:val="nil"/>
              <w:bottom w:val="single" w:color="auto" w:sz="4" w:space="0"/>
              <w:right w:val="single" w:color="000000" w:sz="4" w:space="0"/>
            </w:tcBorders>
            <w:shd w:val="clear" w:color="000000" w:fill="FFFFFF"/>
            <w:vAlign w:val="center"/>
          </w:tcPr>
          <w:p w14:paraId="44D11AA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A1B65B1">
        <w:tblPrEx>
          <w:tblCellMar>
            <w:top w:w="0" w:type="dxa"/>
            <w:left w:w="108" w:type="dxa"/>
            <w:bottom w:w="0" w:type="dxa"/>
            <w:right w:w="108" w:type="dxa"/>
          </w:tblCellMar>
        </w:tblPrEx>
        <w:trPr>
          <w:trHeight w:val="285" w:hRule="atLeast"/>
        </w:trPr>
        <w:tc>
          <w:tcPr>
            <w:tcW w:w="0" w:type="auto"/>
            <w:gridSpan w:val="11"/>
            <w:tcBorders>
              <w:top w:val="single" w:color="auto" w:sz="4" w:space="0"/>
              <w:left w:val="single" w:color="auto" w:sz="4" w:space="0"/>
              <w:bottom w:val="single" w:color="auto" w:sz="4" w:space="0"/>
              <w:right w:val="single" w:color="auto" w:sz="4" w:space="0"/>
            </w:tcBorders>
            <w:shd w:val="clear" w:color="auto" w:fill="auto"/>
            <w:noWrap/>
            <w:vAlign w:val="bottom"/>
          </w:tcPr>
          <w:p w14:paraId="33647041">
            <w:pPr>
              <w:widowControl/>
              <w:jc w:val="center"/>
              <w:rPr>
                <w:rFonts w:ascii="宋体" w:hAnsi="宋体" w:cs="宋体"/>
                <w:color w:val="000000"/>
                <w:kern w:val="0"/>
                <w:sz w:val="22"/>
                <w:szCs w:val="22"/>
              </w:rPr>
            </w:pPr>
            <w:r>
              <w:rPr>
                <w:rFonts w:hint="eastAsia" w:ascii="宋体" w:hAnsi="宋体" w:cs="宋体"/>
                <w:color w:val="000000"/>
                <w:kern w:val="0"/>
                <w:sz w:val="22"/>
                <w:szCs w:val="22"/>
              </w:rPr>
              <w:t>总评价得分</w:t>
            </w:r>
          </w:p>
        </w:tc>
        <w:tc>
          <w:tcPr>
            <w:tcW w:w="0" w:type="auto"/>
            <w:gridSpan w:val="8"/>
            <w:tcBorders>
              <w:top w:val="single" w:color="auto" w:sz="4" w:space="0"/>
              <w:left w:val="nil"/>
              <w:bottom w:val="single" w:color="auto" w:sz="4" w:space="0"/>
              <w:right w:val="single" w:color="000000" w:sz="4" w:space="0"/>
            </w:tcBorders>
            <w:shd w:val="clear" w:color="auto" w:fill="auto"/>
            <w:noWrap/>
            <w:vAlign w:val="bottom"/>
          </w:tcPr>
          <w:p w14:paraId="4322FE32">
            <w:pPr>
              <w:widowControl/>
              <w:jc w:val="center"/>
              <w:rPr>
                <w:rFonts w:ascii="宋体" w:hAnsi="宋体" w:cs="宋体"/>
                <w:color w:val="000000"/>
                <w:kern w:val="0"/>
                <w:sz w:val="22"/>
                <w:szCs w:val="22"/>
              </w:rPr>
            </w:pPr>
            <w:r>
              <w:rPr>
                <w:rFonts w:hint="eastAsia" w:ascii="宋体" w:hAnsi="宋体" w:cs="宋体"/>
                <w:color w:val="000000"/>
                <w:kern w:val="0"/>
                <w:sz w:val="22"/>
                <w:szCs w:val="22"/>
              </w:rPr>
              <w:t>100</w:t>
            </w:r>
          </w:p>
        </w:tc>
      </w:tr>
      <w:tr w14:paraId="59E0C687">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7C09889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w:t>
            </w:r>
          </w:p>
        </w:tc>
        <w:tc>
          <w:tcPr>
            <w:tcW w:w="0" w:type="auto"/>
            <w:gridSpan w:val="8"/>
            <w:tcBorders>
              <w:top w:val="single" w:color="auto" w:sz="4" w:space="0"/>
              <w:left w:val="nil"/>
              <w:bottom w:val="single" w:color="auto" w:sz="4" w:space="0"/>
              <w:right w:val="single" w:color="auto" w:sz="4" w:space="0"/>
            </w:tcBorders>
            <w:shd w:val="clear" w:color="000000" w:fill="FFFFFF"/>
            <w:vAlign w:val="center"/>
          </w:tcPr>
          <w:p w14:paraId="31B4B1B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结果应用建议选项</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01385B4">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具体建议内容</w:t>
            </w:r>
          </w:p>
        </w:tc>
      </w:tr>
      <w:tr w14:paraId="7E9876F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DD7316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344AED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建议进一步规范预算管理</w:t>
            </w:r>
          </w:p>
        </w:tc>
        <w:tc>
          <w:tcPr>
            <w:tcW w:w="0" w:type="auto"/>
            <w:tcBorders>
              <w:top w:val="nil"/>
              <w:left w:val="nil"/>
              <w:bottom w:val="single" w:color="auto" w:sz="4" w:space="0"/>
              <w:right w:val="single" w:color="auto" w:sz="4" w:space="0"/>
            </w:tcBorders>
            <w:shd w:val="clear" w:color="000000" w:fill="FFFFFF"/>
            <w:vAlign w:val="center"/>
          </w:tcPr>
          <w:p w14:paraId="74D71D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1D7AF9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30EC3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13AA14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BE7DE4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建议改进业务管理</w:t>
            </w:r>
          </w:p>
        </w:tc>
        <w:tc>
          <w:tcPr>
            <w:tcW w:w="0" w:type="auto"/>
            <w:tcBorders>
              <w:top w:val="nil"/>
              <w:left w:val="nil"/>
              <w:bottom w:val="single" w:color="auto" w:sz="4" w:space="0"/>
              <w:right w:val="single" w:color="auto" w:sz="4" w:space="0"/>
            </w:tcBorders>
            <w:shd w:val="clear" w:color="000000" w:fill="FFFFFF"/>
            <w:vAlign w:val="center"/>
          </w:tcPr>
          <w:p w14:paraId="336ED2D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26E58B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46A669C">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77C3B5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476260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建议改进预算编制管理</w:t>
            </w:r>
          </w:p>
        </w:tc>
        <w:tc>
          <w:tcPr>
            <w:tcW w:w="0" w:type="auto"/>
            <w:tcBorders>
              <w:top w:val="nil"/>
              <w:left w:val="nil"/>
              <w:bottom w:val="single" w:color="auto" w:sz="4" w:space="0"/>
              <w:right w:val="single" w:color="auto" w:sz="4" w:space="0"/>
            </w:tcBorders>
            <w:shd w:val="clear" w:color="000000" w:fill="FFFFFF"/>
            <w:vAlign w:val="center"/>
          </w:tcPr>
          <w:p w14:paraId="571AB86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A4B90E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D67301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71D8AB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E52B7F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建议进一步提升预算执行效率和效益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76F4D14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58C5BE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B31A71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1F3513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480F23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建议改进资产管理</w:t>
            </w:r>
          </w:p>
        </w:tc>
        <w:tc>
          <w:tcPr>
            <w:tcW w:w="0" w:type="auto"/>
            <w:tcBorders>
              <w:top w:val="nil"/>
              <w:left w:val="nil"/>
              <w:bottom w:val="single" w:color="auto" w:sz="4" w:space="0"/>
              <w:right w:val="single" w:color="auto" w:sz="4" w:space="0"/>
            </w:tcBorders>
            <w:shd w:val="clear" w:color="000000" w:fill="FFFFFF"/>
            <w:vAlign w:val="center"/>
          </w:tcPr>
          <w:p w14:paraId="56EA01E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2CA62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EE924C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72BF89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3EB04F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建议改进政府采购管理</w:t>
            </w:r>
          </w:p>
        </w:tc>
        <w:tc>
          <w:tcPr>
            <w:tcW w:w="0" w:type="auto"/>
            <w:tcBorders>
              <w:top w:val="nil"/>
              <w:left w:val="nil"/>
              <w:bottom w:val="single" w:color="auto" w:sz="4" w:space="0"/>
              <w:right w:val="single" w:color="auto" w:sz="4" w:space="0"/>
            </w:tcBorders>
            <w:shd w:val="clear" w:color="000000" w:fill="FFFFFF"/>
            <w:vAlign w:val="center"/>
          </w:tcPr>
          <w:p w14:paraId="4210121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ABC2F71">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844B8E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AAEFFA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DC50D0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建议调整公共服务标准</w:t>
            </w:r>
          </w:p>
        </w:tc>
        <w:tc>
          <w:tcPr>
            <w:tcW w:w="0" w:type="auto"/>
            <w:tcBorders>
              <w:top w:val="nil"/>
              <w:left w:val="nil"/>
              <w:bottom w:val="single" w:color="auto" w:sz="4" w:space="0"/>
              <w:right w:val="single" w:color="auto" w:sz="4" w:space="0"/>
            </w:tcBorders>
            <w:shd w:val="clear" w:color="000000" w:fill="FFFFFF"/>
            <w:vAlign w:val="center"/>
          </w:tcPr>
          <w:p w14:paraId="470853D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8FD952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D9EA99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538E648">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9238B9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结果应用建议_建议核减下一年度经费数额</w:t>
            </w:r>
          </w:p>
        </w:tc>
        <w:tc>
          <w:tcPr>
            <w:tcW w:w="0" w:type="auto"/>
            <w:tcBorders>
              <w:top w:val="nil"/>
              <w:left w:val="nil"/>
              <w:bottom w:val="single" w:color="auto" w:sz="4" w:space="0"/>
              <w:right w:val="single" w:color="auto" w:sz="4" w:space="0"/>
            </w:tcBorders>
            <w:shd w:val="clear" w:color="000000" w:fill="FFFFFF"/>
            <w:vAlign w:val="center"/>
          </w:tcPr>
          <w:p w14:paraId="174F0B6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06576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DA0166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A7F9A46">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131A54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建议消减低效、无效资金或结构调整</w:t>
            </w:r>
          </w:p>
        </w:tc>
        <w:tc>
          <w:tcPr>
            <w:tcW w:w="0" w:type="auto"/>
            <w:tcBorders>
              <w:top w:val="nil"/>
              <w:left w:val="nil"/>
              <w:bottom w:val="single" w:color="auto" w:sz="4" w:space="0"/>
              <w:right w:val="single" w:color="auto" w:sz="4" w:space="0"/>
            </w:tcBorders>
            <w:shd w:val="clear" w:color="000000" w:fill="FFFFFF"/>
            <w:vAlign w:val="center"/>
          </w:tcPr>
          <w:p w14:paraId="2FE6B45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C175F8E">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C711C5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5478BF2">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CFB550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建议回收长期沉淀的资金</w:t>
            </w:r>
          </w:p>
        </w:tc>
        <w:tc>
          <w:tcPr>
            <w:tcW w:w="0" w:type="auto"/>
            <w:tcBorders>
              <w:top w:val="nil"/>
              <w:left w:val="nil"/>
              <w:bottom w:val="single" w:color="auto" w:sz="4" w:space="0"/>
              <w:right w:val="single" w:color="auto" w:sz="4" w:space="0"/>
            </w:tcBorders>
            <w:shd w:val="clear" w:color="000000" w:fill="FFFFFF"/>
            <w:vAlign w:val="center"/>
          </w:tcPr>
          <w:p w14:paraId="39FBE31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2051EE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63C722B">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051A5B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6B6408C">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其他建议</w:t>
            </w:r>
          </w:p>
        </w:tc>
        <w:tc>
          <w:tcPr>
            <w:tcW w:w="0" w:type="auto"/>
            <w:tcBorders>
              <w:top w:val="nil"/>
              <w:left w:val="nil"/>
              <w:bottom w:val="single" w:color="auto" w:sz="4" w:space="0"/>
              <w:right w:val="single" w:color="auto" w:sz="4" w:space="0"/>
            </w:tcBorders>
            <w:shd w:val="clear" w:color="000000" w:fill="FFFFFF"/>
            <w:vAlign w:val="center"/>
          </w:tcPr>
          <w:p w14:paraId="785F8AF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E3D814C">
            <w:pPr>
              <w:widowControl/>
              <w:jc w:val="center"/>
              <w:rPr>
                <w:rFonts w:ascii="宋体" w:hAnsi="宋体" w:cs="宋体"/>
                <w:color w:val="000000"/>
                <w:kern w:val="0"/>
                <w:sz w:val="20"/>
                <w:szCs w:val="20"/>
              </w:rPr>
            </w:pPr>
            <w:r>
              <w:rPr>
                <w:rFonts w:hint="eastAsia" w:ascii="宋体" w:hAnsi="宋体" w:cs="宋体"/>
                <w:color w:val="000000"/>
                <w:kern w:val="0"/>
                <w:sz w:val="20"/>
                <w:szCs w:val="20"/>
              </w:rPr>
              <w:t>加强全过程绩效管理，细化资金测算，加强项目实施管理，因一部建立健全预算绩效管理体系</w:t>
            </w:r>
          </w:p>
        </w:tc>
      </w:tr>
      <w:tr w14:paraId="7D053F8C">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43EA1C2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66391B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5A6D9E90">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332977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C304E4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CD1627">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760E56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33952B4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32FCDD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B9A74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FB5C4A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516278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4BD56A2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E8F8AF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6069123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FE1CA0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08B7FE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1427B63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45F7AA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708D5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0B154F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2812F8E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7D44D3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23F004F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BF8B22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960C41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B2D126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5041107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AAD081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640478E">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4640E1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C29143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20AF70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3004E27">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953E5C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46378D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7FF623CF">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48869E25">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A626D46">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941D6E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446A959">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ACE8088">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490FDEA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BDBA51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2CDC1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21E3E703">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0A3B6CE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6F16DE79">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891FEF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4A91CFD">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2B51A70">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485032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6053343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D9A1B4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BE632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2AAB84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4C6E481A">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12F55F3D">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202C99CD">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417DC18">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87E234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6CF9E1E">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2107227A">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637D6FB">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9F128BC">
        <w:tblPrEx>
          <w:tblCellMar>
            <w:top w:w="0" w:type="dxa"/>
            <w:left w:w="108" w:type="dxa"/>
            <w:bottom w:w="0" w:type="dxa"/>
            <w:right w:w="108" w:type="dxa"/>
          </w:tblCellMar>
        </w:tblPrEx>
        <w:trPr>
          <w:trHeight w:val="285"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37E424A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主管部门总体意见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382A023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866645A">
        <w:tblPrEx>
          <w:tblCellMar>
            <w:top w:w="0" w:type="dxa"/>
            <w:left w:w="108" w:type="dxa"/>
            <w:bottom w:w="0" w:type="dxa"/>
            <w:right w:w="108" w:type="dxa"/>
          </w:tblCellMar>
        </w:tblPrEx>
        <w:trPr>
          <w:trHeight w:val="285" w:hRule="atLeast"/>
        </w:trPr>
        <w:tc>
          <w:tcPr>
            <w:tcW w:w="0" w:type="auto"/>
            <w:gridSpan w:val="3"/>
            <w:vMerge w:val="restart"/>
            <w:tcBorders>
              <w:top w:val="single" w:color="auto" w:sz="4" w:space="0"/>
              <w:left w:val="single" w:color="auto" w:sz="4" w:space="0"/>
              <w:bottom w:val="single" w:color="auto" w:sz="4" w:space="0"/>
              <w:right w:val="single" w:color="auto" w:sz="4" w:space="0"/>
            </w:tcBorders>
            <w:shd w:val="clear" w:color="000000" w:fill="FFFFFF"/>
            <w:vAlign w:val="center"/>
          </w:tcPr>
          <w:p w14:paraId="59B5181C">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财政部门审核意见</w:t>
            </w: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1552A50">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建议继续全额安排</w:t>
            </w:r>
          </w:p>
        </w:tc>
        <w:tc>
          <w:tcPr>
            <w:tcW w:w="0" w:type="auto"/>
            <w:tcBorders>
              <w:top w:val="nil"/>
              <w:left w:val="nil"/>
              <w:bottom w:val="single" w:color="auto" w:sz="4" w:space="0"/>
              <w:right w:val="single" w:color="auto" w:sz="4" w:space="0"/>
            </w:tcBorders>
            <w:shd w:val="clear" w:color="000000" w:fill="FFFFFF"/>
            <w:vAlign w:val="center"/>
          </w:tcPr>
          <w:p w14:paraId="66A649D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0134ABC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A709485">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863D6E4">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0FF75A86">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建议继续安排，按规定调整下一年度预算金额</w:t>
            </w:r>
          </w:p>
        </w:tc>
        <w:tc>
          <w:tcPr>
            <w:tcW w:w="0" w:type="auto"/>
            <w:tcBorders>
              <w:top w:val="nil"/>
              <w:left w:val="nil"/>
              <w:bottom w:val="single" w:color="auto" w:sz="4" w:space="0"/>
              <w:right w:val="single" w:color="auto" w:sz="4" w:space="0"/>
            </w:tcBorders>
            <w:shd w:val="clear" w:color="000000" w:fill="FFFFFF"/>
            <w:vAlign w:val="center"/>
          </w:tcPr>
          <w:p w14:paraId="52E068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B195F9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3406217">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9C52F85">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551E55A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规范预算管理</w:t>
            </w:r>
          </w:p>
        </w:tc>
        <w:tc>
          <w:tcPr>
            <w:tcW w:w="0" w:type="auto"/>
            <w:tcBorders>
              <w:top w:val="nil"/>
              <w:left w:val="nil"/>
              <w:bottom w:val="single" w:color="auto" w:sz="4" w:space="0"/>
              <w:right w:val="single" w:color="auto" w:sz="4" w:space="0"/>
            </w:tcBorders>
            <w:shd w:val="clear" w:color="000000" w:fill="FFFFFF"/>
            <w:vAlign w:val="center"/>
          </w:tcPr>
          <w:p w14:paraId="345C81D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CC710E3">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r w14:paraId="0F9BAD5F">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0D1161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6CCC7FDB">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改进业务管理</w:t>
            </w:r>
          </w:p>
        </w:tc>
        <w:tc>
          <w:tcPr>
            <w:tcW w:w="0" w:type="auto"/>
            <w:tcBorders>
              <w:top w:val="nil"/>
              <w:left w:val="nil"/>
              <w:bottom w:val="single" w:color="auto" w:sz="4" w:space="0"/>
              <w:right w:val="single" w:color="auto" w:sz="4" w:space="0"/>
            </w:tcBorders>
            <w:shd w:val="clear" w:color="000000" w:fill="FFFFFF"/>
            <w:vAlign w:val="center"/>
          </w:tcPr>
          <w:p w14:paraId="3A4E49C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636DC4FA">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4903DE4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6A4DA62B">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7163D384">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改进预算编制管理</w:t>
            </w:r>
          </w:p>
        </w:tc>
        <w:tc>
          <w:tcPr>
            <w:tcW w:w="0" w:type="auto"/>
            <w:tcBorders>
              <w:top w:val="nil"/>
              <w:left w:val="nil"/>
              <w:bottom w:val="single" w:color="auto" w:sz="4" w:space="0"/>
              <w:right w:val="single" w:color="auto" w:sz="4" w:space="0"/>
            </w:tcBorders>
            <w:shd w:val="clear" w:color="000000" w:fill="FFFFFF"/>
            <w:vAlign w:val="center"/>
          </w:tcPr>
          <w:p w14:paraId="5616D69B">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AE5A7D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2527B16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0288DCF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98329D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提升预算执行效率和效益</w:t>
            </w:r>
          </w:p>
        </w:tc>
        <w:tc>
          <w:tcPr>
            <w:tcW w:w="0" w:type="auto"/>
            <w:tcBorders>
              <w:top w:val="nil"/>
              <w:left w:val="nil"/>
              <w:bottom w:val="single" w:color="auto" w:sz="4" w:space="0"/>
              <w:right w:val="single" w:color="auto" w:sz="4" w:space="0"/>
            </w:tcBorders>
            <w:shd w:val="clear" w:color="000000" w:fill="FFFFFF"/>
            <w:vAlign w:val="center"/>
          </w:tcPr>
          <w:p w14:paraId="62E703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6036F02">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C99F10A">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708278F">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1709988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改进资产管理</w:t>
            </w:r>
          </w:p>
        </w:tc>
        <w:tc>
          <w:tcPr>
            <w:tcW w:w="0" w:type="auto"/>
            <w:tcBorders>
              <w:top w:val="nil"/>
              <w:left w:val="nil"/>
              <w:bottom w:val="single" w:color="auto" w:sz="4" w:space="0"/>
              <w:right w:val="single" w:color="auto" w:sz="4" w:space="0"/>
            </w:tcBorders>
            <w:shd w:val="clear" w:color="000000" w:fill="FFFFFF"/>
            <w:vAlign w:val="center"/>
          </w:tcPr>
          <w:p w14:paraId="13220A7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59C02390">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783747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761EAC5E">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8540A42">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改进政府采购管理</w:t>
            </w:r>
          </w:p>
        </w:tc>
        <w:tc>
          <w:tcPr>
            <w:tcW w:w="0" w:type="auto"/>
            <w:tcBorders>
              <w:top w:val="nil"/>
              <w:left w:val="nil"/>
              <w:bottom w:val="single" w:color="auto" w:sz="4" w:space="0"/>
              <w:right w:val="single" w:color="auto" w:sz="4" w:space="0"/>
            </w:tcBorders>
            <w:shd w:val="clear" w:color="000000" w:fill="FFFFFF"/>
            <w:vAlign w:val="center"/>
          </w:tcPr>
          <w:p w14:paraId="61612B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2BBC0F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F47BB24">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72A560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2FA97D59">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调整公共服务标准</w:t>
            </w:r>
          </w:p>
        </w:tc>
        <w:tc>
          <w:tcPr>
            <w:tcW w:w="0" w:type="auto"/>
            <w:tcBorders>
              <w:top w:val="nil"/>
              <w:left w:val="nil"/>
              <w:bottom w:val="single" w:color="auto" w:sz="4" w:space="0"/>
              <w:right w:val="single" w:color="auto" w:sz="4" w:space="0"/>
            </w:tcBorders>
            <w:shd w:val="clear" w:color="000000" w:fill="FFFFFF"/>
            <w:vAlign w:val="center"/>
          </w:tcPr>
          <w:p w14:paraId="34F0FB96">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47394C4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CB3F8C1">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40A08D1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18A57C7">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削减低效、无效资金</w:t>
            </w:r>
          </w:p>
        </w:tc>
        <w:tc>
          <w:tcPr>
            <w:tcW w:w="0" w:type="auto"/>
            <w:tcBorders>
              <w:top w:val="nil"/>
              <w:left w:val="nil"/>
              <w:bottom w:val="single" w:color="auto" w:sz="4" w:space="0"/>
              <w:right w:val="single" w:color="auto" w:sz="4" w:space="0"/>
            </w:tcBorders>
            <w:shd w:val="clear" w:color="000000" w:fill="FFFFFF"/>
            <w:vAlign w:val="center"/>
          </w:tcPr>
          <w:p w14:paraId="39110211">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136E4C6F">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DC2125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1A58E96A">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30EB2323">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对资金结构进行调整</w:t>
            </w:r>
          </w:p>
        </w:tc>
        <w:tc>
          <w:tcPr>
            <w:tcW w:w="0" w:type="auto"/>
            <w:tcBorders>
              <w:top w:val="nil"/>
              <w:left w:val="nil"/>
              <w:bottom w:val="single" w:color="auto" w:sz="4" w:space="0"/>
              <w:right w:val="single" w:color="auto" w:sz="4" w:space="0"/>
            </w:tcBorders>
            <w:shd w:val="clear" w:color="000000" w:fill="FFFFFF"/>
            <w:vAlign w:val="center"/>
          </w:tcPr>
          <w:p w14:paraId="3381E49E">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79B49A3C">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34E274B6">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3A128FFD">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000000" w:sz="4" w:space="0"/>
            </w:tcBorders>
            <w:shd w:val="clear" w:color="000000" w:fill="FFFFFF"/>
            <w:vAlign w:val="center"/>
          </w:tcPr>
          <w:p w14:paraId="65E63BE5">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收回长期沉淀的资金</w:t>
            </w:r>
          </w:p>
        </w:tc>
        <w:tc>
          <w:tcPr>
            <w:tcW w:w="0" w:type="auto"/>
            <w:tcBorders>
              <w:top w:val="nil"/>
              <w:left w:val="nil"/>
              <w:bottom w:val="single" w:color="auto" w:sz="4" w:space="0"/>
              <w:right w:val="single" w:color="auto" w:sz="4" w:space="0"/>
            </w:tcBorders>
            <w:shd w:val="clear" w:color="000000" w:fill="FFFFFF"/>
            <w:vAlign w:val="center"/>
          </w:tcPr>
          <w:p w14:paraId="3D33BFE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5CDE3C8">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5D0957D3">
        <w:tblPrEx>
          <w:tblCellMar>
            <w:top w:w="0" w:type="dxa"/>
            <w:left w:w="108" w:type="dxa"/>
            <w:bottom w:w="0" w:type="dxa"/>
            <w:right w:w="108" w:type="dxa"/>
          </w:tblCellMar>
        </w:tblPrEx>
        <w:trPr>
          <w:trHeight w:val="285" w:hRule="atLeast"/>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14:paraId="5526F29C">
            <w:pPr>
              <w:widowControl/>
              <w:jc w:val="left"/>
              <w:rPr>
                <w:rFonts w:ascii="宋体" w:hAnsi="宋体" w:cs="宋体"/>
                <w:b/>
                <w:bCs/>
                <w:color w:val="000000"/>
                <w:kern w:val="0"/>
                <w:sz w:val="20"/>
                <w:szCs w:val="20"/>
              </w:rPr>
            </w:pPr>
          </w:p>
        </w:tc>
        <w:tc>
          <w:tcPr>
            <w:tcW w:w="0" w:type="auto"/>
            <w:gridSpan w:val="7"/>
            <w:tcBorders>
              <w:top w:val="single" w:color="auto" w:sz="4" w:space="0"/>
              <w:left w:val="nil"/>
              <w:bottom w:val="single" w:color="auto" w:sz="4" w:space="0"/>
              <w:right w:val="single" w:color="auto" w:sz="4" w:space="0"/>
            </w:tcBorders>
            <w:shd w:val="clear" w:color="000000" w:fill="FFFFFF"/>
            <w:vAlign w:val="center"/>
          </w:tcPr>
          <w:p w14:paraId="36D0F9DD">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其他意见</w:t>
            </w:r>
          </w:p>
        </w:tc>
        <w:tc>
          <w:tcPr>
            <w:tcW w:w="0" w:type="auto"/>
            <w:tcBorders>
              <w:top w:val="nil"/>
              <w:left w:val="nil"/>
              <w:bottom w:val="single" w:color="auto" w:sz="4" w:space="0"/>
              <w:right w:val="single" w:color="auto" w:sz="4" w:space="0"/>
            </w:tcBorders>
            <w:shd w:val="clear" w:color="000000" w:fill="FFFFFF"/>
            <w:vAlign w:val="center"/>
          </w:tcPr>
          <w:p w14:paraId="7998E397">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0" w:type="auto"/>
            <w:gridSpan w:val="8"/>
            <w:tcBorders>
              <w:top w:val="single" w:color="auto" w:sz="4" w:space="0"/>
              <w:left w:val="nil"/>
              <w:bottom w:val="single" w:color="auto" w:sz="4" w:space="0"/>
              <w:right w:val="single" w:color="000000" w:sz="4" w:space="0"/>
            </w:tcBorders>
            <w:shd w:val="clear" w:color="000000" w:fill="FFFFFF"/>
            <w:vAlign w:val="center"/>
          </w:tcPr>
          <w:p w14:paraId="3AA79AB9">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79FEAE26">
        <w:tblPrEx>
          <w:tblCellMar>
            <w:top w:w="0" w:type="dxa"/>
            <w:left w:w="108" w:type="dxa"/>
            <w:bottom w:w="0" w:type="dxa"/>
            <w:right w:w="108" w:type="dxa"/>
          </w:tblCellMar>
        </w:tblPrEx>
        <w:trPr>
          <w:trHeight w:val="698" w:hRule="atLeast"/>
        </w:trPr>
        <w:tc>
          <w:tcPr>
            <w:tcW w:w="0" w:type="auto"/>
            <w:gridSpan w:val="3"/>
            <w:tcBorders>
              <w:top w:val="single" w:color="auto" w:sz="4" w:space="0"/>
              <w:left w:val="single" w:color="auto" w:sz="4" w:space="0"/>
              <w:bottom w:val="single" w:color="auto" w:sz="4" w:space="0"/>
              <w:right w:val="single" w:color="auto" w:sz="4" w:space="0"/>
            </w:tcBorders>
            <w:shd w:val="clear" w:color="000000" w:fill="FFFFFF"/>
            <w:vAlign w:val="center"/>
          </w:tcPr>
          <w:p w14:paraId="6C9D4C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财政部门总体意见</w:t>
            </w:r>
          </w:p>
        </w:tc>
        <w:tc>
          <w:tcPr>
            <w:tcW w:w="0" w:type="auto"/>
            <w:gridSpan w:val="16"/>
            <w:tcBorders>
              <w:top w:val="single" w:color="auto" w:sz="4" w:space="0"/>
              <w:left w:val="nil"/>
              <w:bottom w:val="single" w:color="auto" w:sz="4" w:space="0"/>
              <w:right w:val="single" w:color="000000" w:sz="4" w:space="0"/>
            </w:tcBorders>
            <w:shd w:val="clear" w:color="000000" w:fill="FFFFFF"/>
            <w:vAlign w:val="center"/>
          </w:tcPr>
          <w:p w14:paraId="0BAB9030">
            <w:pPr>
              <w:widowControl/>
              <w:jc w:val="center"/>
              <w:rPr>
                <w:rFonts w:ascii="宋体" w:hAnsi="宋体" w:cs="宋体"/>
                <w:color w:val="000000"/>
                <w:kern w:val="0"/>
                <w:sz w:val="20"/>
                <w:szCs w:val="20"/>
              </w:rPr>
            </w:pPr>
            <w:r>
              <w:rPr>
                <w:rFonts w:hint="eastAsia" w:ascii="宋体" w:hAnsi="宋体" w:cs="宋体"/>
                <w:color w:val="000000"/>
                <w:kern w:val="0"/>
                <w:sz w:val="20"/>
                <w:szCs w:val="20"/>
              </w:rPr>
              <w:t>规范部门预算管理</w:t>
            </w:r>
          </w:p>
        </w:tc>
      </w:tr>
    </w:tbl>
    <w:p w14:paraId="54CBAA26">
      <w:pPr>
        <w:widowControl/>
        <w:jc w:val="center"/>
        <w:rPr>
          <w:rFonts w:ascii="仿宋_GB2312" w:hAnsi="宋体" w:eastAsia="仿宋_GB2312" w:cs="仿宋_GB2312"/>
          <w:sz w:val="32"/>
          <w:szCs w:val="32"/>
        </w:rPr>
      </w:pPr>
      <w:r>
        <w:rPr>
          <w:rFonts w:hint="eastAsia" w:ascii="仿宋_GB2312" w:hAnsi="宋体" w:eastAsia="仿宋_GB2312" w:cs="仿宋_GB2312"/>
          <w:b/>
          <w:bCs/>
          <w:sz w:val="32"/>
          <w:szCs w:val="32"/>
        </w:rPr>
        <w:br w:type="page"/>
      </w:r>
      <w:r>
        <w:rPr>
          <w:rFonts w:hint="eastAsia" w:ascii="宋体" w:hAnsi="宋体"/>
          <w:b/>
          <w:sz w:val="36"/>
          <w:szCs w:val="36"/>
        </w:rPr>
        <w:t>第三部分 名词解释</w:t>
      </w:r>
    </w:p>
    <w:p w14:paraId="039746B5">
      <w:pPr>
        <w:spacing w:line="540" w:lineRule="exact"/>
        <w:jc w:val="center"/>
        <w:rPr>
          <w:rFonts w:ascii="宋体" w:hAnsi="宋体"/>
          <w:b/>
          <w:sz w:val="36"/>
          <w:szCs w:val="36"/>
        </w:rPr>
      </w:pPr>
    </w:p>
    <w:p w14:paraId="1FF01CF8">
      <w:pPr>
        <w:spacing w:line="540" w:lineRule="exact"/>
        <w:ind w:firstLine="643" w:firstLineChars="200"/>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14:paraId="55B57517">
      <w:pPr>
        <w:spacing w:line="540" w:lineRule="exact"/>
        <w:ind w:firstLine="643" w:firstLineChars="200"/>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38343ECC">
      <w:pPr>
        <w:spacing w:line="540" w:lineRule="exact"/>
        <w:ind w:firstLine="643" w:firstLineChars="200"/>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3BC3778B">
      <w:pPr>
        <w:spacing w:line="540" w:lineRule="exact"/>
        <w:ind w:firstLine="643" w:firstLineChars="200"/>
        <w:rPr>
          <w:rFonts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6B7488E2">
      <w:pPr>
        <w:spacing w:line="540" w:lineRule="exact"/>
        <w:ind w:firstLine="643" w:firstLineChars="200"/>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43A3E25A">
      <w:pPr>
        <w:spacing w:line="540" w:lineRule="exact"/>
        <w:ind w:firstLine="643" w:firstLineChars="200"/>
        <w:rPr>
          <w:rFonts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2C47FA12">
      <w:pPr>
        <w:spacing w:line="540" w:lineRule="exact"/>
        <w:ind w:firstLine="643" w:firstLineChars="200"/>
        <w:rPr>
          <w:rFonts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7607890D">
      <w:pPr>
        <w:spacing w:line="540" w:lineRule="exact"/>
        <w:ind w:firstLine="643" w:firstLineChars="200"/>
        <w:rPr>
          <w:rFonts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6C3B993B">
      <w:pPr>
        <w:spacing w:line="540" w:lineRule="exact"/>
        <w:ind w:firstLine="643" w:firstLineChars="200"/>
        <w:rPr>
          <w:rFonts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37263B2D">
      <w:pPr>
        <w:spacing w:line="540" w:lineRule="exact"/>
        <w:ind w:firstLine="643" w:firstLineChars="200"/>
        <w:rPr>
          <w:rFonts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14:paraId="58B53D24">
      <w:pPr>
        <w:spacing w:line="540" w:lineRule="exact"/>
        <w:ind w:firstLine="643" w:firstLineChars="200"/>
        <w:rPr>
          <w:rFonts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179B72E">
      <w:pPr>
        <w:spacing w:line="540" w:lineRule="exact"/>
        <w:ind w:firstLine="643" w:firstLineChars="200"/>
        <w:rPr>
          <w:rFonts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7AACA093">
      <w:pPr>
        <w:spacing w:line="540" w:lineRule="exact"/>
        <w:ind w:firstLine="643" w:firstLineChars="200"/>
        <w:rPr>
          <w:rFonts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015908AF">
      <w:pPr>
        <w:spacing w:line="540" w:lineRule="exact"/>
        <w:ind w:firstLine="643" w:firstLineChars="200"/>
        <w:rPr>
          <w:rFonts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586E780D">
      <w:pPr>
        <w:spacing w:line="540" w:lineRule="exact"/>
        <w:ind w:firstLine="643" w:firstLineChars="200"/>
        <w:rPr>
          <w:rFonts w:ascii="仿宋_GB2312" w:eastAsia="仿宋_GB2312"/>
          <w:sz w:val="32"/>
          <w:szCs w:val="32"/>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4CB0CC7E">
      <w:pPr>
        <w:spacing w:line="540" w:lineRule="exact"/>
        <w:ind w:firstLine="643" w:firstLineChars="200"/>
        <w:rPr>
          <w:rFonts w:ascii="仿宋_GB2312" w:eastAsia="仿宋_GB2312"/>
          <w:sz w:val="32"/>
          <w:szCs w:val="32"/>
        </w:rPr>
      </w:pPr>
      <w:r>
        <w:rPr>
          <w:rFonts w:hint="eastAsia" w:ascii="仿宋_GB2312" w:eastAsia="仿宋_GB2312"/>
          <w:b/>
          <w:sz w:val="32"/>
          <w:szCs w:val="32"/>
        </w:rPr>
        <w:t>16.一般公共服务支出（类）政府办公厅（室）及相关机构事务（款）行政运行（项）：</w:t>
      </w:r>
      <w:r>
        <w:rPr>
          <w:rFonts w:hint="eastAsia" w:ascii="仿宋_GB2312" w:eastAsia="仿宋_GB2312"/>
          <w:sz w:val="32"/>
          <w:szCs w:val="32"/>
        </w:rPr>
        <w:t>反映行政单位（包括实行公务员管理的事业单位）的基本支出。</w:t>
      </w:r>
    </w:p>
    <w:p w14:paraId="19E6540C">
      <w:pPr>
        <w:spacing w:line="540" w:lineRule="exact"/>
        <w:ind w:firstLine="643" w:firstLineChars="200"/>
        <w:rPr>
          <w:rFonts w:ascii="仿宋_GB2312" w:eastAsia="仿宋_GB2312"/>
          <w:sz w:val="32"/>
          <w:szCs w:val="32"/>
        </w:rPr>
      </w:pPr>
      <w:r>
        <w:rPr>
          <w:rFonts w:hint="eastAsia" w:ascii="仿宋_GB2312" w:eastAsia="仿宋_GB2312"/>
          <w:b/>
          <w:sz w:val="32"/>
          <w:szCs w:val="32"/>
        </w:rPr>
        <w:t>17.一般公共服务支出（类）政府办公厅（室）及相关机构事务（款）一般行政管理事务（项）：</w:t>
      </w:r>
      <w:r>
        <w:rPr>
          <w:rFonts w:hint="eastAsia" w:ascii="仿宋_GB2312" w:eastAsia="仿宋_GB2312"/>
          <w:sz w:val="32"/>
          <w:szCs w:val="32"/>
        </w:rPr>
        <w:t>反映行政单位（包括实行公务员管理的事业单位）未单独设置项级科目的其他项目支出。</w:t>
      </w:r>
    </w:p>
    <w:p w14:paraId="1328A390">
      <w:pPr>
        <w:spacing w:line="540" w:lineRule="exact"/>
        <w:ind w:firstLine="643" w:firstLineChars="200"/>
        <w:jc w:val="left"/>
        <w:rPr>
          <w:rFonts w:ascii="仿宋" w:hAnsi="仿宋" w:eastAsia="仿宋"/>
          <w:bCs/>
          <w:sz w:val="32"/>
          <w:szCs w:val="32"/>
        </w:rPr>
      </w:pPr>
      <w:r>
        <w:rPr>
          <w:rFonts w:hint="eastAsia" w:ascii="仿宋_GB2312" w:eastAsia="仿宋_GB2312"/>
          <w:b/>
          <w:sz w:val="32"/>
          <w:szCs w:val="32"/>
        </w:rPr>
        <w:t>18.一般公共服务支出（类）政府办公厅（室）及相关机构事务（款）事业运行（项）：</w:t>
      </w:r>
      <w:r>
        <w:rPr>
          <w:rFonts w:hint="eastAsia" w:ascii="仿宋" w:hAnsi="仿宋" w:eastAsia="仿宋"/>
          <w:bCs/>
          <w:sz w:val="32"/>
          <w:szCs w:val="32"/>
        </w:rPr>
        <w:t>反映事业单位的基本支出，不包括行政单位（包括实行公务员管理的事业单位）后勤服务中心、医务室等附属事业单位。</w:t>
      </w:r>
    </w:p>
    <w:p w14:paraId="0A2887AC">
      <w:pPr>
        <w:spacing w:line="540" w:lineRule="exact"/>
        <w:ind w:firstLine="643" w:firstLineChars="200"/>
        <w:rPr>
          <w:rFonts w:ascii="仿宋_GB2312" w:eastAsia="仿宋_GB2312"/>
          <w:sz w:val="32"/>
          <w:szCs w:val="32"/>
        </w:rPr>
      </w:pPr>
      <w:r>
        <w:rPr>
          <w:rFonts w:hint="eastAsia" w:ascii="仿宋_GB2312" w:eastAsia="仿宋_GB2312"/>
          <w:b/>
          <w:sz w:val="32"/>
          <w:szCs w:val="32"/>
        </w:rPr>
        <w:t>19.一般公共服务支出（类）政府办公厅（室）及相关机构事务（款）其他政府办公厅（室）及相关机构事务支出（项）：</w:t>
      </w:r>
      <w:r>
        <w:rPr>
          <w:rFonts w:hint="eastAsia" w:ascii="仿宋" w:hAnsi="仿宋" w:eastAsia="仿宋"/>
          <w:bCs/>
          <w:sz w:val="32"/>
          <w:szCs w:val="32"/>
        </w:rPr>
        <w:t>反映除上述项目以外的其他政府办公厅（室）及相关机构事务的支出。</w:t>
      </w:r>
    </w:p>
    <w:p w14:paraId="294D82D4">
      <w:pPr>
        <w:spacing w:line="540" w:lineRule="exact"/>
        <w:ind w:firstLine="643" w:firstLineChars="200"/>
        <w:rPr>
          <w:rFonts w:ascii="仿宋_GB2312" w:eastAsia="仿宋_GB2312"/>
          <w:sz w:val="32"/>
          <w:szCs w:val="32"/>
        </w:rPr>
      </w:pPr>
      <w:r>
        <w:rPr>
          <w:rFonts w:hint="eastAsia" w:ascii="仿宋_GB2312" w:eastAsia="仿宋_GB2312"/>
          <w:b/>
          <w:sz w:val="32"/>
          <w:szCs w:val="32"/>
        </w:rPr>
        <w:t>20.一般公共服务支出（类）纪检监察事务（款）派驻派出机构（项）：</w:t>
      </w:r>
      <w:r>
        <w:rPr>
          <w:rFonts w:hint="eastAsia" w:ascii="仿宋_GB2312" w:eastAsia="仿宋_GB2312"/>
          <w:sz w:val="32"/>
          <w:szCs w:val="32"/>
        </w:rPr>
        <w:t>反映由纪检监察部门负担的派驻各部门和单位的纪检监察人员的专项业务支出。</w:t>
      </w:r>
    </w:p>
    <w:p w14:paraId="689D944E">
      <w:pPr>
        <w:spacing w:line="540" w:lineRule="exact"/>
        <w:ind w:firstLine="643" w:firstLineChars="200"/>
        <w:rPr>
          <w:rFonts w:ascii="仿宋_GB2312" w:eastAsia="仿宋_GB2312"/>
          <w:sz w:val="32"/>
          <w:szCs w:val="32"/>
        </w:rPr>
      </w:pPr>
      <w:r>
        <w:rPr>
          <w:rFonts w:hint="eastAsia" w:ascii="仿宋" w:hAnsi="仿宋" w:eastAsia="仿宋"/>
          <w:b/>
          <w:sz w:val="32"/>
          <w:szCs w:val="32"/>
        </w:rPr>
        <w:t>21.其他支出（类）其他支出（款）其他支出（项）：</w:t>
      </w:r>
      <w:r>
        <w:rPr>
          <w:rFonts w:hint="eastAsia" w:ascii="仿宋" w:hAnsi="仿宋" w:eastAsia="仿宋"/>
          <w:bCs/>
          <w:sz w:val="32"/>
          <w:szCs w:val="32"/>
        </w:rPr>
        <w:t>反映除上述项目以外其他不能划分到具体功能科目中的支出项目。</w:t>
      </w:r>
    </w:p>
    <w:p w14:paraId="47E85EDE">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22.社会保障和就业支出（类）行政事业单位养老支出（款）行政单位离退休（项）：</w:t>
      </w:r>
      <w:r>
        <w:rPr>
          <w:rFonts w:hint="eastAsia" w:ascii="仿宋" w:hAnsi="仿宋" w:eastAsia="仿宋"/>
          <w:sz w:val="32"/>
          <w:szCs w:val="32"/>
        </w:rPr>
        <w:t>反映行政单位（包括实行公务员管理的事业单位）开支的离退休经费。</w:t>
      </w:r>
    </w:p>
    <w:p w14:paraId="7E57057C">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23.社会保障和就业支出（类）行政事业单位养老支出（款）事业单位离退休（项）：</w:t>
      </w:r>
      <w:r>
        <w:rPr>
          <w:rFonts w:hint="eastAsia" w:ascii="仿宋" w:hAnsi="仿宋" w:eastAsia="仿宋"/>
          <w:sz w:val="32"/>
          <w:szCs w:val="32"/>
        </w:rPr>
        <w:t>反映事业单位开支的离退休经费。</w:t>
      </w:r>
    </w:p>
    <w:p w14:paraId="12F756DA">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24.社会保障和就业支出（类）行政事业单位养老支出（款）机关事业单位基本养老保险缴费支出（项）：</w:t>
      </w:r>
      <w:r>
        <w:rPr>
          <w:rFonts w:hint="eastAsia" w:ascii="仿宋" w:hAnsi="仿宋" w:eastAsia="仿宋"/>
          <w:sz w:val="32"/>
          <w:szCs w:val="32"/>
        </w:rPr>
        <w:t>反映机关事业单位实施养老保险制度由单位缴纳的基本养老保险费支出。</w:t>
      </w:r>
    </w:p>
    <w:p w14:paraId="02127AC5">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25.社会保障和就业支出（类）行政事业单位养老支出（款）机关事业单位职业年金缴费支出（项）：</w:t>
      </w:r>
      <w:r>
        <w:rPr>
          <w:rFonts w:hint="eastAsia" w:ascii="仿宋" w:hAnsi="仿宋" w:eastAsia="仿宋"/>
          <w:sz w:val="32"/>
          <w:szCs w:val="32"/>
        </w:rPr>
        <w:t>反映机关事业单位实施养老保险制度由单位实际缴纳的职业年金支出。</w:t>
      </w:r>
    </w:p>
    <w:p w14:paraId="11446F2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26.社会保障和就业支出（类）抚恤（款）死亡抚恤（项）：</w:t>
      </w:r>
      <w:r>
        <w:rPr>
          <w:rFonts w:hint="eastAsia" w:ascii="仿宋" w:hAnsi="仿宋" w:eastAsia="仿宋"/>
          <w:sz w:val="32"/>
          <w:szCs w:val="32"/>
        </w:rPr>
        <w:t>反映按规定用于烈士和牺牲、病故人员家属的一次性和定期抚恤金以及丧葬补助费。</w:t>
      </w:r>
    </w:p>
    <w:p w14:paraId="2487839A">
      <w:pPr>
        <w:spacing w:line="540" w:lineRule="exact"/>
        <w:ind w:firstLine="643" w:firstLineChars="200"/>
        <w:rPr>
          <w:rFonts w:ascii="仿宋" w:hAnsi="仿宋" w:eastAsia="仿宋"/>
          <w:sz w:val="32"/>
          <w:szCs w:val="32"/>
        </w:rPr>
      </w:pPr>
      <w:r>
        <w:rPr>
          <w:rFonts w:hint="eastAsia" w:ascii="仿宋" w:hAnsi="仿宋" w:eastAsia="仿宋"/>
          <w:b/>
          <w:bCs/>
          <w:sz w:val="32"/>
          <w:szCs w:val="32"/>
        </w:rPr>
        <w:t>27.社会保障和就业支出（类）其他社会保障和就业支出（款）其他社会保障和就业支出（项）：</w:t>
      </w:r>
      <w:r>
        <w:rPr>
          <w:rFonts w:hint="eastAsia" w:ascii="仿宋" w:hAnsi="仿宋" w:eastAsia="仿宋"/>
          <w:sz w:val="32"/>
          <w:szCs w:val="32"/>
        </w:rPr>
        <w:t>反映除上述项目以外其他用于社会保障和就业方面的支出</w:t>
      </w:r>
    </w:p>
    <w:p w14:paraId="120F2B56">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28.卫生健康支出（类）行政事业单位医疗（款）行政单位医疗（项）：</w:t>
      </w:r>
      <w:r>
        <w:rPr>
          <w:rFonts w:hint="eastAsia" w:ascii="仿宋" w:hAnsi="仿宋" w:eastAsia="仿宋"/>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7832043D">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29.卫生健康支出（类）行政事业单位医疗（款）事业单位医疗（项）：</w:t>
      </w:r>
      <w:r>
        <w:rPr>
          <w:rFonts w:hint="eastAsia" w:ascii="仿宋" w:hAnsi="仿宋" w:eastAsia="仿宋"/>
          <w:sz w:val="32"/>
          <w:szCs w:val="32"/>
        </w:rPr>
        <w:t>反映财政部门安排的事业单位基本医疗保险缴费经费，未参加医疗保险的事业单位的公费医疗经费，按国家规定享受离休人员待遇人员的医疗经费。</w:t>
      </w:r>
    </w:p>
    <w:p w14:paraId="2F412354">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30.卫生健康支出（类）行政事业单位医疗（款）其他行政事业单位医疗支出（项）：</w:t>
      </w:r>
      <w:r>
        <w:rPr>
          <w:rFonts w:hint="eastAsia" w:ascii="仿宋" w:hAnsi="仿宋" w:eastAsia="仿宋"/>
          <w:sz w:val="32"/>
          <w:szCs w:val="32"/>
        </w:rPr>
        <w:t>反映除上述项目以外的其他用于行政事业单位医疗方面的支出。</w:t>
      </w:r>
    </w:p>
    <w:p w14:paraId="3A6D2077">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31.住房保障支出（类）住房改革支出（款）住房公积金（项）：</w:t>
      </w:r>
      <w:r>
        <w:rPr>
          <w:rFonts w:hint="eastAsia" w:ascii="仿宋" w:hAnsi="仿宋" w:eastAsia="仿宋"/>
          <w:sz w:val="32"/>
          <w:szCs w:val="32"/>
        </w:rPr>
        <w:t>反映行政事业单位按人力资源和社会保障部、财政部规定的基本工资和津贴补贴以及规定比例为职工缴纳的住房公积金。</w:t>
      </w:r>
    </w:p>
    <w:p w14:paraId="5D6EAB3B">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32.工资福利支出：</w:t>
      </w:r>
      <w:r>
        <w:rPr>
          <w:rFonts w:hint="eastAsia" w:ascii="仿宋" w:hAnsi="仿宋" w:eastAsia="仿宋"/>
          <w:sz w:val="32"/>
          <w:szCs w:val="32"/>
        </w:rPr>
        <w:t>反映单位开支的在职职工和编制外长期聘用人员的各类劳动报酬，以及为上述人员缴纳的各项社会保险费等。</w:t>
      </w:r>
    </w:p>
    <w:p w14:paraId="2AD545B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33.商品和服务支出：</w:t>
      </w:r>
      <w:r>
        <w:rPr>
          <w:rFonts w:hint="eastAsia" w:ascii="仿宋" w:hAnsi="仿宋" w:eastAsia="仿宋"/>
          <w:sz w:val="32"/>
          <w:szCs w:val="32"/>
        </w:rPr>
        <w:t>反映单位购买商品和服务的支出，不包括用于购置固定资产、战略性和应急性物资储备等资本性支出。</w:t>
      </w:r>
    </w:p>
    <w:p w14:paraId="3E8EC8D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34.对个人和家庭补助：</w:t>
      </w:r>
      <w:r>
        <w:rPr>
          <w:rFonts w:hint="eastAsia" w:ascii="仿宋" w:hAnsi="仿宋" w:eastAsia="仿宋"/>
          <w:sz w:val="32"/>
          <w:szCs w:val="32"/>
        </w:rPr>
        <w:t>反映政府用于对个人和家庭的补助支出。</w:t>
      </w:r>
    </w:p>
    <w:p w14:paraId="72B624C8">
      <w:pPr>
        <w:spacing w:line="540" w:lineRule="exact"/>
        <w:ind w:firstLine="643" w:firstLineChars="200"/>
        <w:jc w:val="left"/>
        <w:rPr>
          <w:rFonts w:ascii="仿宋" w:hAnsi="仿宋" w:eastAsia="仿宋"/>
          <w:sz w:val="32"/>
          <w:szCs w:val="32"/>
        </w:rPr>
      </w:pPr>
      <w:r>
        <w:rPr>
          <w:rFonts w:hint="eastAsia" w:ascii="仿宋" w:hAnsi="仿宋" w:eastAsia="仿宋"/>
          <w:b/>
          <w:bCs/>
          <w:sz w:val="32"/>
          <w:szCs w:val="32"/>
        </w:rPr>
        <w:t>35.资本性支出：</w:t>
      </w:r>
      <w:r>
        <w:rPr>
          <w:rFonts w:hint="eastAsia" w:ascii="仿宋" w:hAnsi="仿宋" w:eastAsia="仿宋"/>
          <w:sz w:val="32"/>
          <w:szCs w:val="32"/>
        </w:rPr>
        <w:t>反映各单位安排的资本性支出。切块由发展改革部门安排的基本建设支出不在此科目反映。</w:t>
      </w:r>
    </w:p>
    <w:p w14:paraId="7DB863CB">
      <w:pPr>
        <w:spacing w:line="540" w:lineRule="exact"/>
        <w:jc w:val="center"/>
        <w:rPr>
          <w:rFonts w:ascii="宋体" w:hAnsi="宋体"/>
          <w:b/>
          <w:sz w:val="36"/>
          <w:szCs w:val="36"/>
        </w:rPr>
      </w:pPr>
    </w:p>
    <w:p w14:paraId="60452885">
      <w:pPr>
        <w:spacing w:line="540" w:lineRule="exact"/>
        <w:jc w:val="center"/>
        <w:rPr>
          <w:rFonts w:ascii="宋体" w:hAnsi="宋体"/>
          <w:b/>
          <w:sz w:val="36"/>
          <w:szCs w:val="36"/>
        </w:rPr>
      </w:pPr>
    </w:p>
    <w:p w14:paraId="529805BE">
      <w:pPr>
        <w:spacing w:line="540" w:lineRule="exact"/>
        <w:jc w:val="center"/>
        <w:rPr>
          <w:rFonts w:ascii="宋体" w:hAnsi="宋体"/>
          <w:b/>
          <w:sz w:val="36"/>
          <w:szCs w:val="36"/>
        </w:rPr>
      </w:pPr>
    </w:p>
    <w:p w14:paraId="126002BC">
      <w:pPr>
        <w:spacing w:line="540" w:lineRule="exact"/>
        <w:jc w:val="center"/>
        <w:rPr>
          <w:rFonts w:ascii="宋体" w:hAnsi="宋体"/>
          <w:b/>
          <w:sz w:val="36"/>
          <w:szCs w:val="36"/>
        </w:rPr>
      </w:pPr>
    </w:p>
    <w:p w14:paraId="7288A810">
      <w:pPr>
        <w:spacing w:line="540" w:lineRule="exact"/>
        <w:jc w:val="center"/>
        <w:rPr>
          <w:rFonts w:ascii="宋体" w:hAnsi="宋体"/>
          <w:b/>
          <w:sz w:val="36"/>
          <w:szCs w:val="36"/>
        </w:rPr>
      </w:pPr>
    </w:p>
    <w:p w14:paraId="58792620">
      <w:pPr>
        <w:spacing w:line="540" w:lineRule="exact"/>
        <w:jc w:val="center"/>
        <w:rPr>
          <w:rFonts w:ascii="宋体" w:hAnsi="宋体"/>
          <w:b/>
          <w:sz w:val="36"/>
          <w:szCs w:val="36"/>
        </w:rPr>
      </w:pPr>
    </w:p>
    <w:p w14:paraId="6775613B">
      <w:pPr>
        <w:spacing w:line="540" w:lineRule="exact"/>
        <w:jc w:val="center"/>
        <w:rPr>
          <w:rFonts w:ascii="宋体" w:hAnsi="宋体"/>
          <w:b/>
          <w:sz w:val="36"/>
          <w:szCs w:val="36"/>
        </w:rPr>
      </w:pPr>
    </w:p>
    <w:p w14:paraId="60283EFE">
      <w:pPr>
        <w:spacing w:line="540" w:lineRule="exact"/>
        <w:jc w:val="center"/>
        <w:rPr>
          <w:rFonts w:ascii="宋体" w:hAnsi="宋体"/>
          <w:b/>
          <w:sz w:val="36"/>
          <w:szCs w:val="36"/>
        </w:rPr>
      </w:pPr>
    </w:p>
    <w:p w14:paraId="55E0C52B">
      <w:pPr>
        <w:spacing w:line="540" w:lineRule="exact"/>
        <w:jc w:val="center"/>
        <w:rPr>
          <w:rFonts w:ascii="宋体" w:hAnsi="宋体"/>
          <w:b/>
          <w:sz w:val="36"/>
          <w:szCs w:val="36"/>
        </w:rPr>
      </w:pPr>
    </w:p>
    <w:p w14:paraId="2EF82302">
      <w:pPr>
        <w:spacing w:line="540" w:lineRule="exact"/>
        <w:jc w:val="center"/>
        <w:rPr>
          <w:rFonts w:ascii="宋体" w:hAnsi="宋体"/>
          <w:b/>
          <w:sz w:val="36"/>
          <w:szCs w:val="36"/>
        </w:rPr>
      </w:pPr>
    </w:p>
    <w:p w14:paraId="2861B2C4">
      <w:pPr>
        <w:spacing w:line="540" w:lineRule="exact"/>
        <w:jc w:val="center"/>
        <w:rPr>
          <w:rFonts w:ascii="宋体" w:hAnsi="宋体"/>
          <w:b/>
          <w:sz w:val="36"/>
          <w:szCs w:val="36"/>
        </w:rPr>
      </w:pPr>
    </w:p>
    <w:p w14:paraId="329FCF6C">
      <w:pPr>
        <w:spacing w:line="540" w:lineRule="exact"/>
        <w:jc w:val="center"/>
        <w:rPr>
          <w:rFonts w:ascii="宋体" w:hAnsi="宋体"/>
          <w:b/>
          <w:sz w:val="36"/>
          <w:szCs w:val="36"/>
        </w:rPr>
      </w:pPr>
    </w:p>
    <w:p w14:paraId="57C81FB1">
      <w:pPr>
        <w:spacing w:line="540" w:lineRule="exact"/>
        <w:jc w:val="center"/>
        <w:rPr>
          <w:rFonts w:ascii="宋体" w:hAnsi="宋体"/>
          <w:b/>
          <w:sz w:val="36"/>
          <w:szCs w:val="36"/>
        </w:rPr>
      </w:pPr>
    </w:p>
    <w:p w14:paraId="1F25729C">
      <w:pPr>
        <w:spacing w:line="540" w:lineRule="exact"/>
        <w:jc w:val="center"/>
        <w:rPr>
          <w:rFonts w:ascii="宋体" w:hAnsi="宋体"/>
          <w:b/>
          <w:sz w:val="36"/>
          <w:szCs w:val="36"/>
        </w:rPr>
      </w:pPr>
    </w:p>
    <w:p w14:paraId="7CD60309">
      <w:pPr>
        <w:spacing w:line="540" w:lineRule="exact"/>
        <w:jc w:val="center"/>
        <w:rPr>
          <w:rFonts w:ascii="仿宋_GB2312" w:eastAsia="仿宋_GB2312"/>
          <w:sz w:val="52"/>
          <w:szCs w:val="52"/>
        </w:rPr>
      </w:pPr>
      <w:r>
        <w:rPr>
          <w:rFonts w:hint="eastAsia" w:ascii="宋体" w:hAnsi="宋体"/>
          <w:b/>
          <w:sz w:val="52"/>
          <w:szCs w:val="52"/>
        </w:rPr>
        <w:t>第四部分 2021年度部门决算表</w:t>
      </w:r>
    </w:p>
    <w:p w14:paraId="17287BCB">
      <w:pPr>
        <w:spacing w:line="540" w:lineRule="exact"/>
        <w:jc w:val="center"/>
        <w:rPr>
          <w:sz w:val="32"/>
          <w:szCs w:val="32"/>
        </w:rPr>
      </w:pPr>
    </w:p>
    <w:p w14:paraId="3A50F57F">
      <w:pPr>
        <w:spacing w:line="540" w:lineRule="exact"/>
        <w:rPr>
          <w:rFonts w:ascii="仿宋_GB2312" w:eastAsia="仿宋_GB2312"/>
          <w:sz w:val="32"/>
          <w:szCs w:val="32"/>
        </w:rPr>
      </w:pPr>
      <w:r>
        <w:rPr>
          <w:rFonts w:hint="eastAsia" w:ascii="仿宋_GB2312" w:eastAsia="仿宋_GB2312"/>
          <w:sz w:val="32"/>
          <w:szCs w:val="32"/>
        </w:rPr>
        <w:t>详见：《盘锦市人民政府办公室2021年度部门决算公开表》</w:t>
      </w:r>
    </w:p>
    <w:p w14:paraId="56F39089"/>
    <w:sectPr>
      <w:footerReference r:id="rId3" w:type="default"/>
      <w:footerReference r:id="rId4" w:type="even"/>
      <w:pgSz w:w="11906" w:h="16838"/>
      <w:pgMar w:top="1701" w:right="1418" w:bottom="170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altName w:val="微软雅黑"/>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8F64">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17</w:t>
    </w:r>
    <w:r>
      <w:fldChar w:fldCharType="end"/>
    </w:r>
  </w:p>
  <w:p w14:paraId="6231A8DE">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EC9E6B">
    <w:pPr>
      <w:pStyle w:val="3"/>
      <w:framePr w:wrap="around" w:vAnchor="text" w:hAnchor="margin" w:xAlign="center" w:y="1"/>
      <w:rPr>
        <w:rStyle w:val="7"/>
      </w:rPr>
    </w:pPr>
    <w:r>
      <w:fldChar w:fldCharType="begin"/>
    </w:r>
    <w:r>
      <w:rPr>
        <w:rStyle w:val="7"/>
      </w:rPr>
      <w:instrText xml:space="preserve">PAGE  </w:instrText>
    </w:r>
    <w:r>
      <w:fldChar w:fldCharType="end"/>
    </w:r>
  </w:p>
  <w:p w14:paraId="0CB7598C">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06E7B1D"/>
    <w:multiLevelType w:val="multilevel"/>
    <w:tmpl w:val="406E7B1D"/>
    <w:lvl w:ilvl="0" w:tentative="0">
      <w:start w:val="1"/>
      <w:numFmt w:val="japaneseCounting"/>
      <w:lvlText w:val="%1、"/>
      <w:lvlJc w:val="left"/>
      <w:pPr>
        <w:ind w:left="1347" w:hanging="720"/>
      </w:pPr>
      <w:rPr>
        <w:rFonts w:hint="default"/>
      </w:rPr>
    </w:lvl>
    <w:lvl w:ilvl="1" w:tentative="0">
      <w:start w:val="1"/>
      <w:numFmt w:val="lowerLetter"/>
      <w:lvlText w:val="%2)"/>
      <w:lvlJc w:val="left"/>
      <w:pPr>
        <w:ind w:left="1467" w:hanging="420"/>
      </w:pPr>
    </w:lvl>
    <w:lvl w:ilvl="2" w:tentative="0">
      <w:start w:val="1"/>
      <w:numFmt w:val="lowerRoman"/>
      <w:lvlText w:val="%3."/>
      <w:lvlJc w:val="right"/>
      <w:pPr>
        <w:ind w:left="1887" w:hanging="420"/>
      </w:pPr>
    </w:lvl>
    <w:lvl w:ilvl="3" w:tentative="0">
      <w:start w:val="1"/>
      <w:numFmt w:val="decimal"/>
      <w:lvlText w:val="%4."/>
      <w:lvlJc w:val="left"/>
      <w:pPr>
        <w:ind w:left="2307" w:hanging="420"/>
      </w:pPr>
    </w:lvl>
    <w:lvl w:ilvl="4" w:tentative="0">
      <w:start w:val="1"/>
      <w:numFmt w:val="lowerLetter"/>
      <w:lvlText w:val="%5)"/>
      <w:lvlJc w:val="left"/>
      <w:pPr>
        <w:ind w:left="2727" w:hanging="420"/>
      </w:pPr>
    </w:lvl>
    <w:lvl w:ilvl="5" w:tentative="0">
      <w:start w:val="1"/>
      <w:numFmt w:val="lowerRoman"/>
      <w:lvlText w:val="%6."/>
      <w:lvlJc w:val="right"/>
      <w:pPr>
        <w:ind w:left="3147" w:hanging="420"/>
      </w:pPr>
    </w:lvl>
    <w:lvl w:ilvl="6" w:tentative="0">
      <w:start w:val="1"/>
      <w:numFmt w:val="decimal"/>
      <w:lvlText w:val="%7."/>
      <w:lvlJc w:val="left"/>
      <w:pPr>
        <w:ind w:left="3567" w:hanging="420"/>
      </w:pPr>
    </w:lvl>
    <w:lvl w:ilvl="7" w:tentative="0">
      <w:start w:val="1"/>
      <w:numFmt w:val="lowerLetter"/>
      <w:lvlText w:val="%8)"/>
      <w:lvlJc w:val="left"/>
      <w:pPr>
        <w:ind w:left="3987" w:hanging="420"/>
      </w:pPr>
    </w:lvl>
    <w:lvl w:ilvl="8" w:tentative="0">
      <w:start w:val="1"/>
      <w:numFmt w:val="lowerRoman"/>
      <w:lvlText w:val="%9."/>
      <w:lvlJc w:val="right"/>
      <w:pPr>
        <w:ind w:left="4407" w:hanging="420"/>
      </w:p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I1YzdiZDM2YzNlMzRlY2UxMzI2N2RkYzc0OTAxOWYifQ=="/>
  </w:docVars>
  <w:rsids>
    <w:rsidRoot w:val="00FF5E76"/>
    <w:rsid w:val="00035D14"/>
    <w:rsid w:val="0009688F"/>
    <w:rsid w:val="000D0A8B"/>
    <w:rsid w:val="000D1FCC"/>
    <w:rsid w:val="000F02BB"/>
    <w:rsid w:val="001F3756"/>
    <w:rsid w:val="002026DB"/>
    <w:rsid w:val="0029446E"/>
    <w:rsid w:val="003B4649"/>
    <w:rsid w:val="003D6941"/>
    <w:rsid w:val="003F1BBB"/>
    <w:rsid w:val="00400F08"/>
    <w:rsid w:val="004F3C27"/>
    <w:rsid w:val="005D0253"/>
    <w:rsid w:val="0062536B"/>
    <w:rsid w:val="0062733C"/>
    <w:rsid w:val="00635B13"/>
    <w:rsid w:val="00697C08"/>
    <w:rsid w:val="006A49D0"/>
    <w:rsid w:val="00746831"/>
    <w:rsid w:val="007B57C4"/>
    <w:rsid w:val="008259E9"/>
    <w:rsid w:val="00872E88"/>
    <w:rsid w:val="0087674B"/>
    <w:rsid w:val="009356E0"/>
    <w:rsid w:val="009D6ABC"/>
    <w:rsid w:val="009E5FB0"/>
    <w:rsid w:val="00B97572"/>
    <w:rsid w:val="00BA2308"/>
    <w:rsid w:val="00BA36A2"/>
    <w:rsid w:val="00BB07AC"/>
    <w:rsid w:val="00BF7800"/>
    <w:rsid w:val="00D72CFE"/>
    <w:rsid w:val="00EA3E8D"/>
    <w:rsid w:val="00F65310"/>
    <w:rsid w:val="00F82401"/>
    <w:rsid w:val="00F93096"/>
    <w:rsid w:val="00FA64F2"/>
    <w:rsid w:val="00FD3F92"/>
    <w:rsid w:val="00FF5E76"/>
    <w:rsid w:val="04E636A6"/>
    <w:rsid w:val="099D2BE2"/>
    <w:rsid w:val="10B80CCA"/>
    <w:rsid w:val="1E25654C"/>
    <w:rsid w:val="24EF3454"/>
    <w:rsid w:val="4BC26F3F"/>
    <w:rsid w:val="519A39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9"/>
    <w:unhideWhenUsed/>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semiHidden/>
    <w:uiPriority w:val="99"/>
    <w:rPr>
      <w:sz w:val="18"/>
      <w:szCs w:val="18"/>
    </w:rPr>
  </w:style>
  <w:style w:type="paragraph" w:styleId="10">
    <w:name w:val="List Paragraph"/>
    <w:basedOn w:val="1"/>
    <w:qFormat/>
    <w:uiPriority w:val="34"/>
    <w:pPr>
      <w:ind w:firstLine="420" w:firstLineChars="200"/>
    </w:pPr>
  </w:style>
  <w:style w:type="character" w:customStyle="1" w:styleId="11">
    <w:name w:val="批注框文本 Char"/>
    <w:basedOn w:val="6"/>
    <w:link w:val="2"/>
    <w:semiHidden/>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31</Pages>
  <Words>10812</Words>
  <Characters>11983</Characters>
  <Lines>98</Lines>
  <Paragraphs>27</Paragraphs>
  <TotalTime>29</TotalTime>
  <ScaleCrop>false</ScaleCrop>
  <LinksUpToDate>false</LinksUpToDate>
  <CharactersWithSpaces>12359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2022-09-07T02:59:00Z</dcterms:created>
  <dc:creator>lenovo</dc:creator>
  <cp:lastModifiedBy>王振洋</cp:lastModifiedBy>
  <dcterms:modified xsi:type="dcterms:W3CDTF">2024-10-09T08:40:24Z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18CD7DB5C5344795A2FB5D704D68E032</vt:lpwstr>
  </property>
</Properties>
</file>